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August 6, 2026</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STEPSTONE GROUP INC.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2"/>
        <w:gridCol w:w="1577"/>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val="false"/>
                <w:color w:val="000000"/>
                <w:sz w:val="20"/>
              </w:rPr>
            </w:pPr>
            <w:r>
              <w:rPr>
                <w:rFonts w:ascii="Times New Roman;serif" w:hAnsi="Times New Roman;serif"/>
                <w:b w:val="false"/>
                <w:color w:val="000000"/>
                <w:sz w:val="20"/>
              </w:rPr>
              <w:t>001-39510</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84-3868757</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60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pPr>
            <w:r>
              <w:rPr>
                <w:rFonts w:ascii="Times New Roman;serif" w:hAnsi="Times New Roman;serif"/>
                <w:b/>
                <w:color w:val="000000"/>
                <w:sz w:val="20"/>
              </w:rPr>
              <w:t>277 Park Avenue, 45</w:t>
            </w:r>
            <w:r>
              <w:rPr>
                <w:rFonts w:ascii="Times New Roman;serif" w:hAnsi="Times New Roman;serif"/>
                <w:b/>
                <w:color w:val="000000"/>
                <w:sz w:val="13"/>
              </w:rPr>
              <w:t>th</w:t>
            </w:r>
            <w:r>
              <w:rPr>
                <w:color w:val="000000"/>
              </w:rPr>
              <w:t xml:space="preserve"> </w:t>
            </w:r>
            <w:r>
              <w:rPr>
                <w:rFonts w:ascii="Times New Roman;serif" w:hAnsi="Times New Roman;serif"/>
                <w:b/>
                <w:color w:val="000000"/>
                <w:sz w:val="20"/>
              </w:rPr>
              <w:t>Floor</w:t>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New York,</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NY</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10172</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(212) 351-6100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689" w:type="dxa"/>
        <w:jc w:val="center"/>
        <w:tblInd w:w="0" w:type="dxa"/>
        <w:tblLayout w:type="fixed"/>
        <w:tblCellMar>
          <w:top w:w="28" w:type="dxa"/>
          <w:left w:w="28" w:type="dxa"/>
          <w:bottom w:w="28" w:type="dxa"/>
          <w:right w:w="28" w:type="dxa"/>
        </w:tblCellMar>
      </w:tblPr>
      <w:tblGrid>
        <w:gridCol w:w="1581"/>
        <w:gridCol w:w="1384"/>
        <w:gridCol w:w="1400"/>
        <w:gridCol w:w="539"/>
        <w:gridCol w:w="539"/>
        <w:gridCol w:w="541"/>
        <w:gridCol w:w="1085"/>
        <w:gridCol w:w="1085"/>
        <w:gridCol w:w="1535"/>
      </w:tblGrid>
      <w:tr>
        <w:trPr/>
        <w:tc>
          <w:tcPr>
            <w:tcW w:w="158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3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STEP</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On August 6, 2026, StepStone Group Inc. issued a press release announcing its financial results for the first fiscal quarter ended June 30, 2026. A copy of the press release is furnished as Exhibit 99.1 to this Current Report on Form 8-K and is incorporated by reference into this Item 2.02 as if fully set forth herein.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information included in, or furnished with, this Item 2.02 of the report shall not be deemed “filed” for purposes of Section 18 of the Securities Exchange Act of 1934, as amended (the “Exchange Act”), nor shall it be deemed incorporated by reference in any filing under the Securities Act of 1933, as amended,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(d) Exhibits</w:t>
      </w:r>
    </w:p>
    <w:tbl>
      <w:tblPr>
        <w:tblW w:w="8545"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095"/>
        <w:gridCol w:w="2095"/>
        <w:gridCol w:w="296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stepfy2027q1earningspressr.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of StepStone Group Inc. dated August 6, 2026 regarding financial results</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240" w:after="240"/>
        <w:jc w:val="left"/>
        <w:rPr/>
      </w:pPr>
      <w:r>
        <w:rPr/>
      </w:r>
    </w:p>
    <w:tbl>
      <w:tblPr>
        <w:tblW w:w="7799" w:type="dxa"/>
        <w:jc w:val="left"/>
        <w:tblInd w:w="0" w:type="dxa"/>
        <w:tblLayout w:type="fixed"/>
        <w:tblCellMar>
          <w:top w:w="28" w:type="dxa"/>
          <w:left w:w="28" w:type="dxa"/>
          <w:bottom w:w="28" w:type="dxa"/>
          <w:right w:w="28" w:type="dxa"/>
        </w:tblCellMar>
      </w:tblPr>
      <w:tblGrid>
        <w:gridCol w:w="771"/>
        <w:gridCol w:w="678"/>
        <w:gridCol w:w="681"/>
        <w:gridCol w:w="144"/>
        <w:gridCol w:w="144"/>
        <w:gridCol w:w="146"/>
        <w:gridCol w:w="1534"/>
        <w:gridCol w:w="1534"/>
        <w:gridCol w:w="2167"/>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STEPSTONE GROUP INC.</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6, 2026</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David Y. Park</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David Y. Park</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Financial Officer and Authorized Signatory)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2457450" cy="3905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457450" cy="390525"/>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ind w:left="0" w:right="0" w:firstLine="720"/>
        <w:jc w:val="center"/>
        <w:rPr/>
      </w:pPr>
      <w:r>
        <w:rPr/>
      </w:r>
    </w:p>
    <w:p>
      <w:pPr>
        <w:pStyle w:val="TextBody"/>
        <w:bidi w:val="0"/>
        <w:spacing w:lineRule="auto" w:line="288" w:before="0" w:after="160"/>
        <w:jc w:val="center"/>
        <w:rPr>
          <w:rFonts w:ascii="Times New Roman;serif" w:hAnsi="Times New Roman;serif"/>
          <w:b/>
          <w:color w:val="000000"/>
          <w:sz w:val="22"/>
        </w:rPr>
      </w:pPr>
      <w:r>
        <w:rPr>
          <w:rFonts w:ascii="Times New Roman;serif" w:hAnsi="Times New Roman;serif"/>
          <w:b/>
          <w:color w:val="000000"/>
          <w:sz w:val="22"/>
        </w:rPr>
        <w:t>STEPSTONE GROUP REPORTS FIRST QUARTER FISCAL YEAR 2027 RESULTS</w:t>
      </w:r>
    </w:p>
    <w:p>
      <w:pPr>
        <w:pStyle w:val="TextBody"/>
        <w:bidi w:val="0"/>
        <w:spacing w:lineRule="auto" w:line="288" w:before="0" w:after="160"/>
        <w:jc w:val="both"/>
        <w:rPr/>
      </w:pPr>
      <w:r>
        <w:rPr>
          <w:rFonts w:ascii="Times New Roman;serif" w:hAnsi="Times New Roman;serif"/>
          <w:b/>
          <w:color w:val="000000"/>
          <w:sz w:val="22"/>
        </w:rPr>
        <w:t xml:space="preserve">NEW YORK, August 6, 2026 – </w:t>
      </w:r>
      <w:r>
        <w:rPr>
          <w:rFonts w:ascii="Times New Roman;serif" w:hAnsi="Times New Roman;serif"/>
          <w:b w:val="false"/>
          <w:color w:val="000000"/>
          <w:sz w:val="22"/>
        </w:rPr>
        <w:t>StepStone Group Inc. (Nasdaq: STEP), a global private markets investment firm focused on providing customized investment solutions and advisory and data services, today reported results for the quarter ended June 30, 2026. This represents results for the first quarter of the fiscal year ending March 31, 2027. The Board of Directors of the Company has declared a quarterly cash dividend of $0.33 per share of Class A common stock, payable on September 15, 2026, to the holders of record as of the close of business on August 31, 2026.</w:t>
      </w:r>
    </w:p>
    <w:p>
      <w:pPr>
        <w:pStyle w:val="TextBody"/>
        <w:bidi w:val="0"/>
        <w:spacing w:lineRule="auto" w:line="288" w:before="0" w:after="160"/>
        <w:jc w:val="both"/>
        <w:rPr/>
      </w:pPr>
      <w:r>
        <w:rPr>
          <w:rFonts w:ascii="Times New Roman;serif" w:hAnsi="Times New Roman;serif"/>
          <w:b/>
          <w:i/>
          <w:color w:val="000000"/>
          <w:sz w:val="22"/>
        </w:rPr>
        <w:t xml:space="preserve">StepStone issued a full detailed presentation of its first quarter fiscal 2027 results, which can be accessed by visiting the Company’s website at </w:t>
      </w:r>
      <w:r>
        <w:rPr>
          <w:rFonts w:ascii="Times New Roman;serif" w:hAnsi="Times New Roman;serif"/>
          <w:b w:val="false"/>
          <w:color w:val="0000FF"/>
          <w:sz w:val="22"/>
          <w:u w:val="single"/>
        </w:rPr>
        <w:t>https://shareholders.stepstonegroup.com</w:t>
      </w:r>
      <w:r>
        <w:rPr>
          <w:rFonts w:ascii="Times New Roman;serif" w:hAnsi="Times New Roman;serif"/>
          <w:b w:val="false"/>
          <w:color w:val="000000"/>
          <w:sz w:val="22"/>
        </w:rPr>
        <w:t>.</w:t>
      </w:r>
    </w:p>
    <w:p>
      <w:pPr>
        <w:pStyle w:val="TextBody"/>
        <w:bidi w:val="0"/>
        <w:spacing w:lineRule="auto" w:line="288" w:before="0" w:after="160"/>
        <w:jc w:val="both"/>
        <w:rPr>
          <w:rFonts w:ascii="Times New Roman;serif" w:hAnsi="Times New Roman;serif"/>
          <w:b/>
          <w:color w:val="000000"/>
          <w:sz w:val="22"/>
        </w:rPr>
      </w:pPr>
      <w:r>
        <w:rPr>
          <w:rFonts w:ascii="Times New Roman;serif" w:hAnsi="Times New Roman;serif"/>
          <w:b/>
          <w:color w:val="000000"/>
          <w:sz w:val="22"/>
        </w:rPr>
        <w:t>Webcast and Earnings Conference Call</w:t>
      </w:r>
    </w:p>
    <w:p>
      <w:pPr>
        <w:pStyle w:val="TextBody"/>
        <w:bidi w:val="0"/>
        <w:spacing w:lineRule="auto" w:line="288" w:before="0" w:after="240"/>
        <w:jc w:val="both"/>
        <w:rPr/>
      </w:pPr>
      <w:r>
        <w:rPr>
          <w:rFonts w:ascii="Times New Roman;serif" w:hAnsi="Times New Roman;serif"/>
          <w:b w:val="false"/>
          <w:color w:val="000000"/>
          <w:sz w:val="22"/>
        </w:rPr>
        <w:t xml:space="preserve">Management will host a webcast and conference call today, Thursday, August 6, 2026, at 5:00 pm ET to discuss the Company’s results for the first quarter of the fiscal year ending March 31, 2027. The webcast will be made available on the Shareholders section of the Company’s website at </w:t>
      </w:r>
      <w:r>
        <w:rPr>
          <w:rFonts w:ascii="Times New Roman;serif" w:hAnsi="Times New Roman;serif"/>
          <w:b w:val="false"/>
          <w:color w:val="0000FF"/>
          <w:sz w:val="22"/>
          <w:u w:val="single"/>
        </w:rPr>
        <w:t>https://shareholders.stepstonegroup.com</w:t>
      </w:r>
      <w:r>
        <w:rPr>
          <w:rFonts w:ascii="Times New Roman;serif" w:hAnsi="Times New Roman;serif"/>
          <w:b w:val="false"/>
          <w:color w:val="000000"/>
          <w:sz w:val="22"/>
        </w:rPr>
        <w:t>. To listen to a live broadcast, go to the site at least 15 minutes prior to the scheduled start time to register. A replay will also be available on the Shareholders section of the Company’s website approximately two hours after the conclusion of the event.</w:t>
      </w:r>
    </w:p>
    <w:p>
      <w:pPr>
        <w:pStyle w:val="TextBody"/>
        <w:bidi w:val="0"/>
        <w:spacing w:lineRule="auto" w:line="288" w:before="0" w:after="240"/>
        <w:jc w:val="left"/>
        <w:rPr/>
      </w:pPr>
      <w:r>
        <w:rPr>
          <w:rFonts w:ascii="Times New Roman;serif" w:hAnsi="Times New Roman;serif"/>
          <w:b w:val="false"/>
          <w:color w:val="000000"/>
          <w:sz w:val="22"/>
        </w:rPr>
        <w:t xml:space="preserve">To join as a live participant in the question and answer portion of the call, participants must register at </w:t>
      </w:r>
      <w:r>
        <w:rPr>
          <w:rFonts w:ascii="Times New Roman;serif" w:hAnsi="Times New Roman;serif"/>
          <w:b w:val="false"/>
          <w:color w:val="0000FF"/>
          <w:sz w:val="22"/>
          <w:u w:val="single"/>
        </w:rPr>
        <w:t>https://register-conf.media-server.com/register/BIb7358a7075e744b1b4ef2e638196914a</w:t>
      </w:r>
      <w:r>
        <w:rPr>
          <w:rFonts w:ascii="Times New Roman;serif" w:hAnsi="Times New Roman;serif"/>
          <w:b w:val="false"/>
          <w:color w:val="000000"/>
          <w:sz w:val="22"/>
        </w:rPr>
        <w:t>. Upon registering you will receive the dial-in number and a PIN to join the call as well as an email confirmation with the details.</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About StepStone Group</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StepStone Group Inc. (Nasdaq: STEP) is a global private markets investment firm focused on providing customized investment solutions and advisory and data services to its clients. As of June 30, 2026, StepStone was responsible for approximately $913 billion of total capital, including $245 billion of assets under management. StepStone’s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StepStone partners with its clients to develop and build private markets portfolios designed to meet their specific objectives across the private equity, infrastructure, private debt and real estate asset classes.</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160"/>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Some of the statements in this release may constitute “forward-looking statements” within the meaning of Section 27A of the Securities Act of 1933, Section 21E of the Securities Exchange Act of 1934 and the Private Securities Litigation Reform Act of 1995. All statements other than statements of historical fact are forward-looking. Words such as “anticipate,” “believe,” “continue,” “estimate,” “expect,” “future,” “intend,” “may,” “plan” and “will” and similar expressions identify forward-looking statements. Forward-looking statements reflect management’s current plans, estimates and expectations and are inherently uncertain. The inclusion of any forward-looking information in this release should not be regarded as a representation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the favorability of the private markets fundraising environment, successful integration of acquired businesses and regulatory factors relevant to our business, as well as assumptions relating to our operations, financial results, financial condition, business prospects, growth strategy and liquidity and the risks and uncertainties described in greater detail under the “Risk Factors” section of our annual report on Form 10-K filed with the U.S. Securities and Exchange Commission (the “SEC”) on May 27, 2026, and in our subsequent reports filed with the SEC, as such factors may be updated from time to time. We undertake no obligation to revise or update any forward-looking statements, whether as a result of new information, future events or otherwise, except as may be required by law.</w:t>
      </w:r>
    </w:p>
    <w:p>
      <w:pPr>
        <w:pStyle w:val="TextBody"/>
        <w:bidi w:val="0"/>
        <w:spacing w:lineRule="auto" w:line="288" w:before="0" w:after="160"/>
        <w:jc w:val="both"/>
        <w:rPr>
          <w:rFonts w:ascii="Times New Roman;serif" w:hAnsi="Times New Roman;serif"/>
          <w:b/>
          <w:color w:val="000000"/>
          <w:sz w:val="22"/>
        </w:rPr>
      </w:pPr>
      <w:r>
        <w:rPr>
          <w:rFonts w:ascii="Times New Roman;serif" w:hAnsi="Times New Roman;serif"/>
          <w:b/>
          <w:color w:val="000000"/>
          <w:sz w:val="22"/>
        </w:rPr>
        <w:t>Non-GAAP Financial Measures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To supplement our consolidated financial statements, which are prepared and presented in accordance with generally accepted accounting principles in the United States (“GAAP”), we use the following non-GAAP financial measures: fee revenues, adjusted revenues, adjusted net income (on both a pre-tax and after-tax basis), adjusted net income per share, adjusted weighted-average shares, fee-related earnings, fee-related earnings margin, gross realized performance fees and performance fee-related earnings. We have provided this non-GAAP financial information, which is not calculated or presented in accordance with GAAP, as information supplemental and in addition to the financial measures presented in this earnings release that are calculated and presented in accordance with GAAP. Such non-GAAP financial measures should not be considered superior to, as a substitute for or alternative to, and should be considered in conjunction with, the GAAP financial measures presented in this earnings release. The presentation of these measures should not be construed as an inference that our future results will be unaffected by unusual or non-recurring items. In addition, the non-GAAP financial measures in this earnings release may not be comparable to similarly titled measures used by other companies in our industry or across different industries. For definitions of these non-GAAP measures and reconciliations to applicable GAAP measures, please see the section titled “Non-GAAP Financial Measures: Definitions and Reconciliations.”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Highlights and Key Business Drivers/Operating Metrics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10"/>
        <w:gridCol w:w="412"/>
        <w:gridCol w:w="414"/>
        <w:gridCol w:w="220"/>
        <w:gridCol w:w="831"/>
        <w:gridCol w:w="241"/>
        <w:gridCol w:w="258"/>
        <w:gridCol w:w="811"/>
        <w:gridCol w:w="248"/>
        <w:gridCol w:w="250"/>
        <w:gridCol w:w="815"/>
        <w:gridCol w:w="248"/>
        <w:gridCol w:w="229"/>
        <w:gridCol w:w="822"/>
        <w:gridCol w:w="242"/>
        <w:gridCol w:w="220"/>
        <w:gridCol w:w="831"/>
        <w:gridCol w:w="241"/>
        <w:gridCol w:w="109"/>
        <w:gridCol w:w="109"/>
        <w:gridCol w:w="109"/>
        <w:gridCol w:w="325"/>
        <w:gridCol w:w="325"/>
        <w:gridCol w:w="327"/>
        <w:gridCol w:w="213"/>
        <w:gridCol w:w="208"/>
        <w:gridCol w:w="276"/>
        <w:gridCol w:w="161"/>
      </w:tblGrid>
      <w:tr>
        <w:trPr/>
        <w:tc>
          <w:tcPr>
            <w:tcW w:w="7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c>
          <w:tcPr>
            <w:tcW w:w="858" w:type="dxa"/>
            <w:gridSpan w:val="4"/>
            <w:tcBorders/>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amounts and where noted)</w:t>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vs. FQ1'26</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Financial Highlights</w:t>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GAAP Results</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240"/>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Management and advisory fees, net</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211,173 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215,489 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239,932 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259,871 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269,171 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364,287 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454,225 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586,511 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588,580 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378,889 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performance fees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153,114 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238,736 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346,579 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328,709 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109,718 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(575,490)</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(162,435)</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6,660 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(170,366)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61" w:type="dxa"/>
            <w:tcBorders/>
            <w:vAlign w:val="center"/>
          </w:tcPr>
          <w:p>
            <w:pPr>
              <w:pStyle w:val="TableContents"/>
              <w:bidi w:val="0"/>
              <w:spacing w:before="0" w:after="283"/>
              <w:ind w:left="0" w:right="0" w:hanging="240"/>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per share of Class A common stock:</w:t>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240"/>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(4.66)</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ind w:left="0" w:right="0" w:hanging="240"/>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(4.66)</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Weighted-average shares of Class A common stock:</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240"/>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77,846,710 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78,561,587 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79,465,039 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80,297,984 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81,995,674 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ind w:left="0" w:right="0" w:hanging="240"/>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77,846,710 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78,561,587 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79,465,039 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80,297,984 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81,995,674 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00"/>
                <w:sz w:val="16"/>
              </w:rPr>
              <w:t>Quarterly dividend per share of Class A common stock</w:t>
            </w:r>
            <w:r>
              <w:rPr>
                <w:rFonts w:ascii="Times New Roman;serif" w:hAnsi="Times New Roman;serif"/>
                <w:b w:val="false"/>
                <w:color w:val="000000"/>
                <w:sz w:val="10"/>
              </w:rPr>
              <w:t>(1)</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00"/>
                <w:sz w:val="16"/>
              </w:rPr>
              <w:t>Supplemental dividend per share of Class A common stock</w:t>
            </w:r>
            <w:r>
              <w:rPr>
                <w:rFonts w:ascii="Times New Roman;serif" w:hAnsi="Times New Roman;serif"/>
                <w:b w:val="false"/>
                <w:color w:val="000000"/>
                <w:sz w:val="10"/>
              </w:rPr>
              <w:t>(2)</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ind w:left="0" w:right="0" w:hanging="240"/>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carried interest allocations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1,585,209 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1,733,922 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1,835,862 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2,036,892 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2,080,443 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Non-GAAP Results</w:t>
            </w:r>
            <w:r>
              <w:rPr>
                <w:rFonts w:ascii="Times New Roman;serif" w:hAnsi="Times New Roman;serif"/>
                <w:b/>
                <w:color w:val="000000"/>
                <w:sz w:val="10"/>
              </w:rPr>
              <w:t>(3)</w:t>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Fee revenues</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212,740 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217,461 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241,133 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260,285 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270,934 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revenues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237,467 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282,342 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494,500 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305,841 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300,595 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Fee-related earnings (“FRE”)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81,246 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78,633 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89,236 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105,334 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105,609 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FRE margin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240"/>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realized performance fees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64,881 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253,367 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45,556 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ind w:left="0" w:right="0" w:hanging="240"/>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Performance fee-related earnings (“PRE”)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33,886 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131,152 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17,894 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ind w:left="0" w:right="0" w:hanging="240"/>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income (“ANI”)</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48,534 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66,709 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79,858 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69,459 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60,295 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Adjusted weighted-average shares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122,292,943 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122,462,594 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122,590,230 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122,481,335 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125,893,054 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ANI per share</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0.54 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color w:val="000000"/>
                <w:sz w:val="16"/>
              </w:rPr>
              <w:t>Key Business Drivers/Operating Metrics</w:t>
            </w:r>
            <w:r>
              <w:rPr>
                <w:color w:val="000000"/>
              </w:rPr>
              <w:t xml:space="preserve"> </w:t>
            </w:r>
            <w:r>
              <w:rPr>
                <w:rFonts w:ascii="Times New Roman;serif" w:hAnsi="Times New Roman;serif"/>
                <w:b w:val="false"/>
                <w:i/>
                <w:color w:val="000000"/>
                <w:sz w:val="16"/>
              </w:rPr>
              <w:t>(in billions)</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00"/>
                <w:sz w:val="16"/>
              </w:rPr>
              <w:t>Assets under management (“AUM”)</w:t>
            </w:r>
            <w:r>
              <w:rPr>
                <w:rFonts w:ascii="Times New Roman;serif" w:hAnsi="Times New Roman;serif"/>
                <w:b w:val="false"/>
                <w:color w:val="000000"/>
                <w:sz w:val="10"/>
              </w:rPr>
              <w:t>(4)</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00"/>
                <w:sz w:val="16"/>
              </w:rPr>
              <w:t>Assets under advisement (“AUA”)</w:t>
            </w:r>
            <w:r>
              <w:rPr>
                <w:rFonts w:ascii="Times New Roman;serif" w:hAnsi="Times New Roman;serif"/>
                <w:b w:val="false"/>
                <w:color w:val="000000"/>
                <w:sz w:val="10"/>
              </w:rPr>
              <w:t>(4)</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561.6 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591.3 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651.8 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Fee-earning AUM (“FEAUM”)</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Undeployed fee-earning capital (“UFEC”)</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(1)Dividends paid, as reported in this table, relate to the preceding quarterly period in which they were earned.</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(2)The supplemental cash dividend relates to earnings in respect of our full fiscal years 2025 and 2026, respectively.</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(3)Fee revenues, adjusted revenues, FRE, FRE margin, gross realized performance fees, PRE, ANI, adjusted weighted-average shares and ANI per share are non-GAAP measures. See the definitions of these measures and reconciliations to the respective, most comparable GAAP measures under “Non-GAAP Financial Measures: Definitions and Reconciliations.”</w:t>
      </w:r>
    </w:p>
    <w:p>
      <w:pPr>
        <w:pStyle w:val="TextBody"/>
        <w:bidi w:val="0"/>
        <w:spacing w:lineRule="auto" w:line="288" w:before="0" w:after="240"/>
        <w:ind w:left="0" w:right="0" w:hanging="720"/>
        <w:jc w:val="left"/>
        <w:rPr>
          <w:rFonts w:ascii="Times New Roman;serif" w:hAnsi="Times New Roman;serif"/>
          <w:b w:val="false"/>
          <w:color w:val="231F20"/>
          <w:sz w:val="18"/>
        </w:rPr>
      </w:pPr>
      <w:r>
        <w:rPr>
          <w:rFonts w:ascii="Times New Roman;serif" w:hAnsi="Times New Roman;serif"/>
          <w:b w:val="false"/>
          <w:color w:val="231F20"/>
          <w:sz w:val="18"/>
        </w:rPr>
        <w:t>(4)AUM/AUA reflects final data for the prior period, adjusted for net new client account activity through the period presented. Does not include post-period investment valuation or cash activity. Net asset value (“NAV”) data for underlying investments is as of the prior period, as reported by underlying managers up to the business day occurring on or after 100 days, or 115 days at the fiscal year-end, following the prior period end. When NAV data is not available by the business day occurring on or after 100 days, or 115 days at the fiscal year-end, following the prior period end, such NAVs are adjusted for cash activity following the last available reported NAV.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GAAP Condensed Consolidated Balance Sheets (Unaudited)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72"/>
        <w:gridCol w:w="2305"/>
        <w:gridCol w:w="2339"/>
        <w:gridCol w:w="196"/>
        <w:gridCol w:w="871"/>
        <w:gridCol w:w="109"/>
        <w:gridCol w:w="109"/>
        <w:gridCol w:w="109"/>
        <w:gridCol w:w="109"/>
        <w:gridCol w:w="206"/>
        <w:gridCol w:w="917"/>
        <w:gridCol w:w="163"/>
      </w:tblGrid>
      <w:tr>
        <w:trPr/>
        <w:tc>
          <w:tcPr>
            <w:tcW w:w="2772"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213,065 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Fees and accounts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133,287 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Due from affiliates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113,150 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Investments: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funds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249,447 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carried interest allocations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2,080,443 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2,036,892 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Legacy Greenspring investments in funds and accrued carried interest allocations</w:t>
            </w:r>
            <w:r>
              <w:rPr>
                <w:rFonts w:ascii="Times New Roman;serif" w:hAnsi="Times New Roman;serif"/>
                <w:b w:val="false"/>
                <w:color w:val="000000"/>
                <w:sz w:val="10"/>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783,847 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752,776 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663,333 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614,788 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right-of-use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81,565 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and receivables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58,946 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223,044 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580,542 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580,542 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Assets of Consolidated Funds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2,562,643 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1,704,621 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74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74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7,767,674 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6,762,702 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expenses and other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102,685 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benefits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2,360,770 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carried interest-related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1,145,080 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1,100,604 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Legacy Greenspring accrued carried interest-related compensation</w:t>
            </w:r>
            <w:r>
              <w:rPr>
                <w:rFonts w:ascii="Times New Roman;serif" w:hAnsi="Times New Roman;serif"/>
                <w:b w:val="false"/>
                <w:color w:val="000000"/>
                <w:sz w:val="10"/>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656,035 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619,186 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Due to affiliates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362,833 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103,600 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270,572 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Liabilities of Consolidated Funds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1,206,522 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956,426 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74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6,528,018 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5,876,676 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interests in Consolidated Funds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186,236 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interests in subsidiaries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74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Class A common stock, $0.001 par value, 650,000,000 authorized; 82,340,884 and 80,703,553 issued and outstanding as of June 30, 2026 and March 31, 2026,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Class B common stock, $0.001 par value, 125,000,000 authorized; 38,387,761 and 38,637,761 issued and outstanding as of June 30, 2026 and March 31, 2026,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482,057 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(1,082,511)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(896,879)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StepStone Group Inc.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(539,200)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(413,559)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 in subsidiaries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1,867,651 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1,373,242 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Non-controlling interests in legacy Greenspring entities</w:t>
            </w:r>
            <w:r>
              <w:rPr>
                <w:rFonts w:ascii="Times New Roman;serif" w:hAnsi="Times New Roman;serif"/>
                <w:b w:val="false"/>
                <w:color w:val="000000"/>
                <w:sz w:val="10"/>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133,590 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 in the Partnership</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(485,734)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(402,260)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970,529 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691,013 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7,767,674 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6,762,702 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(1)Reflects amounts attributable to consolidated VIEs for which the Company did not acquire any direct economic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GAAP Condensed Consolidated Statements of Loss (Unaudited)</w:t>
      </w:r>
    </w:p>
    <w:p>
      <w:pPr>
        <w:pStyle w:val="TextBody"/>
        <w:bidi w:val="0"/>
        <w:spacing w:lineRule="auto" w:line="288" w:before="0" w:after="16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w:t>
      </w:r>
    </w:p>
    <w:tbl>
      <w:tblPr>
        <w:tblW w:w="8397" w:type="dxa"/>
        <w:jc w:val="center"/>
        <w:tblInd w:w="0" w:type="dxa"/>
        <w:tblLayout w:type="fixed"/>
        <w:tblCellMar>
          <w:top w:w="28" w:type="dxa"/>
          <w:left w:w="28" w:type="dxa"/>
          <w:bottom w:w="28" w:type="dxa"/>
          <w:right w:w="28" w:type="dxa"/>
        </w:tblCellMar>
      </w:tblPr>
      <w:tblGrid>
        <w:gridCol w:w="2047"/>
        <w:gridCol w:w="1798"/>
        <w:gridCol w:w="1809"/>
        <w:gridCol w:w="186"/>
        <w:gridCol w:w="696"/>
        <w:gridCol w:w="112"/>
        <w:gridCol w:w="112"/>
        <w:gridCol w:w="112"/>
        <w:gridCol w:w="112"/>
        <w:gridCol w:w="186"/>
        <w:gridCol w:w="634"/>
        <w:gridCol w:w="112"/>
        <w:gridCol w:w="109"/>
        <w:gridCol w:w="109"/>
        <w:gridCol w:w="109"/>
        <w:gridCol w:w="154"/>
      </w:tblGrid>
      <w:tr>
        <w:trPr/>
        <w:tc>
          <w:tcPr>
            <w:tcW w:w="2047"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Revenues</w:t>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Management and advisory fees, net</w:t>
            </w:r>
          </w:p>
        </w:tc>
        <w:tc>
          <w:tcPr>
            <w:tcW w:w="1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269,171 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211,173 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Performance fees:</w:t>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Incentive fees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Carried interest allocations:</w:t>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Realized</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28,572 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24,404 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43,975 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88,883 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carried interest allocations</w:t>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72,547 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113,287 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Legacy Greenspring carried interest allocations</w:t>
            </w:r>
            <w:r>
              <w:rPr>
                <w:rFonts w:ascii="Times New Roman;serif" w:hAnsi="Times New Roman;serif"/>
                <w:b w:val="false"/>
                <w:color w:val="000000"/>
                <w:sz w:val="9"/>
              </w:rPr>
              <w:t>(1)</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37,171 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39,637 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performance fees</w:t>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109,718 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153,114 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revenues</w:t>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378,889 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364,287 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Expenses</w:t>
            </w:r>
          </w:p>
        </w:tc>
        <w:tc>
          <w:tcPr>
            <w:tcW w:w="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Compensation and benefits:</w:t>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Cash-based compensation</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117,234 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95,985 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Equity-based compensation</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317,277 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188,718 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Performance fee-related compensation:</w:t>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Realized</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13,862 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11,705 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44,686 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44,357 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performance fee-related compensation</w:t>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58,548 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56,062 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Legacy Greenspring performance fee-related compensation</w:t>
            </w:r>
            <w:r>
              <w:rPr>
                <w:rFonts w:ascii="Times New Roman;serif" w:hAnsi="Times New Roman;serif"/>
                <w:b w:val="false"/>
                <w:color w:val="000000"/>
                <w:sz w:val="9"/>
              </w:rPr>
              <w:t>(1)</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37,171 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39,637 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compensation and benefits</w:t>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530,230 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380,402 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General, administrative and other</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53,469 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42,914 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expenses</w:t>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583,699 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423,316 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Other income (expense)</w:t>
            </w:r>
          </w:p>
        </w:tc>
        <w:tc>
          <w:tcPr>
            <w:tcW w:w="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income</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10,823 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10,512 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Legacy Greenspring investment income (loss)</w:t>
            </w:r>
            <w:r>
              <w:rPr>
                <w:rFonts w:ascii="Times New Roman;serif" w:hAnsi="Times New Roman;serif"/>
                <w:b w:val="false"/>
                <w:color w:val="000000"/>
                <w:sz w:val="9"/>
              </w:rPr>
              <w:t>(1)</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(5,247)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income of Consolidated Funds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21,671 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income</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(4,338)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(4,534)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 (loss)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(4,243)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other income</w:t>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4,560 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38,679 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Loss before income tax</w:t>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(200,250)</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(20,350)</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 benefit</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(29,884)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(8,339)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(170,366)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(12,011)</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Less: Net income attributable to non-controlling interests in subsidiaries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22,731 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28,617 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14"/>
              </w:rPr>
              <w:t>Less: Net income (loss) attributable to non-controlling interests in legacy Greenspring entities</w:t>
            </w:r>
            <w:r>
              <w:rPr>
                <w:rFonts w:ascii="Times New Roman;serif" w:hAnsi="Times New Roman;serif"/>
                <w:b w:val="false"/>
                <w:color w:val="000000"/>
                <w:sz w:val="9"/>
              </w:rPr>
              <w:t>(1)</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(5,247)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Less: Net loss attributable to non-controlling interests in the Partnership</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(76,134)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(27,122)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Less: Net income attributable to redeemable non-controlling interests in Consolidated Funds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20,957 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Less: Net income attributable to redeemable non-controlling interests in subsidiaries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attributable to StepStone Group Inc.</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(115,816)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(38,424)</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per share of Class A common stock:</w:t>
            </w:r>
          </w:p>
        </w:tc>
        <w:tc>
          <w:tcPr>
            <w:tcW w:w="9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Basic</w:t>
            </w:r>
          </w:p>
        </w:tc>
        <w:tc>
          <w:tcPr>
            <w:tcW w:w="1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(0.49)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Diluted</w:t>
            </w:r>
          </w:p>
        </w:tc>
        <w:tc>
          <w:tcPr>
            <w:tcW w:w="1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(0.49)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Weighted-average shares of Class A common stock:</w:t>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Basic</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81,995,674 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77,846,710 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Diluted</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81,995,674 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77,846,710 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(1)Reflects amounts attributable to consolidated VIEs for which the Company did not acquire any direct economic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240"/>
        <w:ind w:left="0" w:right="0" w:firstLine="720"/>
        <w:jc w:val="center"/>
        <w:rPr>
          <w:rFonts w:ascii="Times New Roman;serif" w:hAnsi="Times New Roman;serif"/>
          <w:b/>
          <w:color w:val="000000"/>
          <w:sz w:val="22"/>
        </w:rPr>
      </w:pPr>
      <w:r>
        <w:rPr>
          <w:rFonts w:ascii="Times New Roman;serif" w:hAnsi="Times New Roman;serif"/>
          <w:b/>
          <w:color w:val="000000"/>
          <w:sz w:val="22"/>
        </w:rPr>
        <w:t>Non-GAAP Financial Measures: Definitions and Reconciliations</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Fee Revenues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Fee revenues represents management and advisory fees, net, including amounts earned from the Consolidated Funds which are eliminated in consolidation. We believe fee revenues is useful to investors because it presents the net amount of management and advisory fee revenues attributable to us.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table below presents the components of fee revenues.</w:t>
      </w:r>
    </w:p>
    <w:tbl>
      <w:tblPr>
        <w:tblW w:w="9669" w:type="dxa"/>
        <w:jc w:val="left"/>
        <w:tblInd w:w="0" w:type="dxa"/>
        <w:tblLayout w:type="fixed"/>
        <w:tblCellMar>
          <w:top w:w="28" w:type="dxa"/>
          <w:left w:w="28" w:type="dxa"/>
          <w:bottom w:w="28" w:type="dxa"/>
          <w:right w:w="28" w:type="dxa"/>
        </w:tblCellMar>
      </w:tblPr>
      <w:tblGrid>
        <w:gridCol w:w="874"/>
        <w:gridCol w:w="769"/>
        <w:gridCol w:w="772"/>
        <w:gridCol w:w="212"/>
        <w:gridCol w:w="796"/>
        <w:gridCol w:w="117"/>
        <w:gridCol w:w="291"/>
        <w:gridCol w:w="1093"/>
        <w:gridCol w:w="161"/>
        <w:gridCol w:w="282"/>
        <w:gridCol w:w="1061"/>
        <w:gridCol w:w="157"/>
        <w:gridCol w:w="237"/>
        <w:gridCol w:w="891"/>
        <w:gridCol w:w="132"/>
        <w:gridCol w:w="212"/>
        <w:gridCol w:w="796"/>
        <w:gridCol w:w="117"/>
        <w:gridCol w:w="109"/>
        <w:gridCol w:w="109"/>
        <w:gridCol w:w="109"/>
        <w:gridCol w:w="109"/>
        <w:gridCol w:w="109"/>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Focused commingled funds</w:t>
            </w:r>
            <w:r>
              <w:rPr>
                <w:rFonts w:ascii="Times New Roman;serif" w:hAnsi="Times New Roman;serif"/>
                <w:b w:val="false"/>
                <w:color w:val="000000"/>
                <w:sz w:val="12"/>
              </w:rPr>
              <w:t>(1)(2)</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120,036 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127,085 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144,277 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160,769 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172,483 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Separately managed accounts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70,379 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71,685 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75,226 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76,339 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75,278 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Advisory and other services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19,998 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Fund reimbursement revenues</w:t>
            </w:r>
            <w:r>
              <w:rPr>
                <w:rFonts w:ascii="Times New Roman;serif" w:hAnsi="Times New Roman;serif"/>
                <w:b w:val="false"/>
                <w:color w:val="000000"/>
                <w:sz w:val="12"/>
              </w:rPr>
              <w:t>(1)</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10"/>
              <w:jc w:val="left"/>
              <w:rPr>
                <w:rFonts w:ascii="Times New Roman;serif" w:hAnsi="Times New Roman;serif"/>
                <w:b w:val="false"/>
                <w:color w:val="000000"/>
                <w:sz w:val="18"/>
              </w:rPr>
            </w:pPr>
            <w:r>
              <w:rPr>
                <w:rFonts w:ascii="Times New Roman;serif" w:hAnsi="Times New Roman;serif"/>
                <w:b w:val="false"/>
                <w:color w:val="000000"/>
                <w:sz w:val="18"/>
              </w:rPr>
              <w:t>Fee revenues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212,740 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217,461 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241,133 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260,285 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270,934 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(1)Reflects the add-back of management and advisory fee revenues for the Consolidated Funds, which have been eliminated in consolidation.</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(2)Includes income-based incentive fees from certain funds:</w:t>
      </w:r>
    </w:p>
    <w:tbl>
      <w:tblPr>
        <w:tblW w:w="9041" w:type="dxa"/>
        <w:jc w:val="left"/>
        <w:tblInd w:w="0" w:type="dxa"/>
        <w:tblLayout w:type="fixed"/>
        <w:tblCellMar>
          <w:top w:w="28" w:type="dxa"/>
          <w:left w:w="28" w:type="dxa"/>
          <w:bottom w:w="28" w:type="dxa"/>
          <w:right w:w="28" w:type="dxa"/>
        </w:tblCellMar>
      </w:tblPr>
      <w:tblGrid>
        <w:gridCol w:w="766"/>
        <w:gridCol w:w="673"/>
        <w:gridCol w:w="675"/>
        <w:gridCol w:w="256"/>
        <w:gridCol w:w="727"/>
        <w:gridCol w:w="142"/>
        <w:gridCol w:w="351"/>
        <w:gridCol w:w="997"/>
        <w:gridCol w:w="197"/>
        <w:gridCol w:w="341"/>
        <w:gridCol w:w="969"/>
        <w:gridCol w:w="190"/>
        <w:gridCol w:w="287"/>
        <w:gridCol w:w="814"/>
        <w:gridCol w:w="159"/>
        <w:gridCol w:w="256"/>
        <w:gridCol w:w="727"/>
        <w:gridCol w:w="142"/>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Income-based incentive fees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5,334 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5,998 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7,105 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6,998 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Adjusted Revenues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Adjusted revenues represents the components of revenues used in the determination of ANI and comprise fee revenues, adjusted incentive fees and realized carried interest allocations. We believe adjusted revenues is useful to investors because it presents a measure of realized revenues.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table below shows a reconciliation of revenues to adjusted revenues.</w:t>
      </w:r>
    </w:p>
    <w:tbl>
      <w:tblPr>
        <w:tblW w:w="10205" w:type="dxa"/>
        <w:jc w:val="left"/>
        <w:tblInd w:w="0" w:type="dxa"/>
        <w:tblLayout w:type="fixed"/>
        <w:tblCellMar>
          <w:top w:w="28" w:type="dxa"/>
          <w:left w:w="28" w:type="dxa"/>
          <w:bottom w:w="28" w:type="dxa"/>
          <w:right w:w="28" w:type="dxa"/>
        </w:tblCellMar>
      </w:tblPr>
      <w:tblGrid>
        <w:gridCol w:w="1373"/>
        <w:gridCol w:w="1170"/>
        <w:gridCol w:w="1174"/>
        <w:gridCol w:w="206"/>
        <w:gridCol w:w="776"/>
        <w:gridCol w:w="114"/>
        <w:gridCol w:w="259"/>
        <w:gridCol w:w="976"/>
        <w:gridCol w:w="144"/>
        <w:gridCol w:w="253"/>
        <w:gridCol w:w="954"/>
        <w:gridCol w:w="141"/>
        <w:gridCol w:w="223"/>
        <w:gridCol w:w="840"/>
        <w:gridCol w:w="124"/>
        <w:gridCol w:w="206"/>
        <w:gridCol w:w="776"/>
        <w:gridCol w:w="114"/>
        <w:gridCol w:w="109"/>
        <w:gridCol w:w="109"/>
        <w:gridCol w:w="164"/>
      </w:tblGrid>
      <w:tr>
        <w:trPr/>
        <w:tc>
          <w:tcPr>
            <w:tcW w:w="137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37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1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364,287 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454,225 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586,511 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588,580 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378,889 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carried interest allocations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(88,883)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(147,813)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(101,985)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(201,031)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(43,975)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incentive fees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Legacy Greenspring carried interest allocations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(39,637)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(27,143)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10,063 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(81,994)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(37,171)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val="false"/>
                <w:color w:val="000000"/>
                <w:sz w:val="18"/>
              </w:rPr>
              <w:t>Management and advisory fee revenues for the Consolidated Funds</w:t>
            </w:r>
            <w:r>
              <w:rPr>
                <w:rFonts w:ascii="Times New Roman;serif" w:hAnsi="Times New Roman;serif"/>
                <w:b w:val="false"/>
                <w:color w:val="000000"/>
                <w:sz w:val="12"/>
              </w:rPr>
              <w:t>(1)</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val="false"/>
                <w:color w:val="000000"/>
                <w:sz w:val="18"/>
              </w:rPr>
              <w:t>Incentive fees for the Consolidated Funds</w:t>
            </w:r>
            <w:r>
              <w:rPr>
                <w:rFonts w:ascii="Times New Roman;serif" w:hAnsi="Times New Roman;serif"/>
                <w:b w:val="false"/>
                <w:color w:val="000000"/>
                <w:sz w:val="12"/>
              </w:rPr>
              <w:t>(2)</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revenues</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237,467 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282,342 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494,500 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305,841 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300,595 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(1)Reflects the add-back of management and advisory fee revenues for the Consolidated Funds, which have been eliminated in consolidation.</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(2)Reflects the add-back of incentive fees for the Consolidated Funds, which have been eliminated in consolidation.</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Adjusted Net Income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Adjusted net income, or “ANI,” is a non-GAAP performance measure that we present before the consolidation of StepStone Funds on a pre-tax and after-tax basis used to evaluate profitability. ANI represents the after-tax net realized income attributable to us. ANI does not reflect legacy Greenspring carried interest allocation revenues, legacy Greenspring carried interest-related compensation and legacy Greenspring investment income (loss) as none of the economics are attributable to us. The components of revenues used in the determination of ANI (“adjusted revenues”) comprise fee revenues, adjusted incentive fees and realized carried interest allocations. In addition, ANI excludes: (a) unrealized carried interest allocation revenues and related compensation, (b) unrealized investment income (loss), (c) equity-based compensation for awards granted prior to and in connection with our IPO, profits interests issued by our non-wholly owned subsidiaries, and unrealized mark-to-market changes in the fair value of the profits interests issued in the private wealth subsidiary, (d) amortization of intangibles, (e) net income (loss) attributable to non-controlling interests in our subsidiaries and realized gains attributable to the profits interests issued in the private wealth subsidiary, (f) charges associated with acquisitions and corporate transactions, and (g) certain other items that we believe are not indicative of our core operating performance (as listed in the table below). ANI is fully taxed at our blended statutory rate. We believe ANI and adjusted revenues are useful to investors because they enable investors to evaluate the performance of our business across reporting periods.</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 xml:space="preserve">Fee-Related Earnings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Fee-related earnings, or “FRE,” is a non-GAAP performance measure used to monitor our baseline earnings from recurring management and advisory fees. FRE is a component of ANI and comprises fee revenues less adjusted expenses which are operating expenses other than (a) performance fee-related compensation, (b) equity-based compensation for awards granted prior to and in connection with our IPO, profits interests issued by our non-wholly owned subsidiaries, and unrealized mark-to-market changes in the fair value of the profits interests issued in the private wealth subsidiary, (c) amortization of intangibles, (d) charges associated with acquisitions and corporate transactions, and (e) certain other items that we believe are not indicative of our core operating performance (as listed in the table below). FRE is presented before income taxes. We believe FRE is useful to investors because it provides additional insight into the operating profitability of our business and our ability to cover direct base compensation and operating expenses from total fee revenue.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table below shows a reconciliation of GAAP measures to additional non-GAAP measures. We use the non-GAAP measures presented below as components when calculating FRE and ANI (as defined below). We believe these additional non-GAAP measures are useful to investors in evaluating both the baseline earnings from recurring management and advisory fees, which provide additional insight into the operating profitability of our business, and the after-tax net realized income attributable to us, allowing investors to evaluate the performance of our business. These additional non-GAAP measures remove the impact of Consolidated Funds that we are required to consolidate under GAAP, and certain other items that we believe are not indicative of our core operating performance.</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tbl>
      <w:tblPr>
        <w:tblW w:w="10076" w:type="dxa"/>
        <w:jc w:val="left"/>
        <w:tblInd w:w="0" w:type="dxa"/>
        <w:tblLayout w:type="fixed"/>
        <w:tblCellMar>
          <w:top w:w="28" w:type="dxa"/>
          <w:left w:w="28" w:type="dxa"/>
          <w:bottom w:w="28" w:type="dxa"/>
          <w:right w:w="28" w:type="dxa"/>
        </w:tblCellMar>
      </w:tblPr>
      <w:tblGrid>
        <w:gridCol w:w="1140"/>
        <w:gridCol w:w="1003"/>
        <w:gridCol w:w="1006"/>
        <w:gridCol w:w="212"/>
        <w:gridCol w:w="796"/>
        <w:gridCol w:w="117"/>
        <w:gridCol w:w="291"/>
        <w:gridCol w:w="1093"/>
        <w:gridCol w:w="161"/>
        <w:gridCol w:w="282"/>
        <w:gridCol w:w="1061"/>
        <w:gridCol w:w="157"/>
        <w:gridCol w:w="237"/>
        <w:gridCol w:w="891"/>
        <w:gridCol w:w="132"/>
        <w:gridCol w:w="212"/>
        <w:gridCol w:w="796"/>
        <w:gridCol w:w="117"/>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GAAP management and advisory fees, net</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211,173 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215,489 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239,932 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259,871 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269,171 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20"/>
              <w:jc w:val="left"/>
              <w:rPr/>
            </w:pPr>
            <w:r>
              <w:rPr>
                <w:rFonts w:ascii="Times New Roman;serif" w:hAnsi="Times New Roman;serif"/>
                <w:b w:val="false"/>
                <w:color w:val="000000"/>
                <w:sz w:val="18"/>
              </w:rPr>
              <w:t>Adjustments</w:t>
            </w:r>
            <w:r>
              <w:rPr>
                <w:rFonts w:ascii="Times New Roman;serif" w:hAnsi="Times New Roman;serif"/>
                <w:b w:val="false"/>
                <w:color w:val="000000"/>
                <w:sz w:val="12"/>
              </w:rPr>
              <w:t>(1)</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Fee revenues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212,740 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217,461 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241,133 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260,285 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270,934 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GAAP incentive fees</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207,954 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20"/>
              <w:jc w:val="left"/>
              <w:rPr/>
            </w:pPr>
            <w:r>
              <w:rPr>
                <w:rFonts w:ascii="Times New Roman;serif" w:hAnsi="Times New Roman;serif"/>
                <w:b w:val="false"/>
                <w:color w:val="000000"/>
                <w:sz w:val="18"/>
              </w:rPr>
              <w:t>Adjustments</w:t>
            </w:r>
            <w:r>
              <w:rPr>
                <w:rFonts w:ascii="Times New Roman;serif" w:hAnsi="Times New Roman;serif"/>
                <w:b w:val="false"/>
                <w:color w:val="000000"/>
                <w:sz w:val="12"/>
              </w:rPr>
              <w:t>(2)</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Adjusted incentive fees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206,664 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6,959 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GAAP cash-based compensation</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100,348 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107,114 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110,700 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117,234 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Adjustments</w:t>
            </w:r>
            <w:r>
              <w:rPr>
                <w:rFonts w:ascii="Times New Roman;serif" w:hAnsi="Times New Roman;serif"/>
                <w:b w:val="false"/>
                <w:color w:val="000000"/>
                <w:sz w:val="12"/>
              </w:rPr>
              <w:t>(3)</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cash-based compensation</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95,968 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100,331 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107,114 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110,641 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117,164 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GAAP equity-based compensation</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188,718 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884,470 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468,808 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200,061 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317,277 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Adjustments</w:t>
            </w:r>
            <w:r>
              <w:rPr>
                <w:rFonts w:ascii="Times New Roman;serif" w:hAnsi="Times New Roman;serif"/>
                <w:b w:val="false"/>
                <w:color w:val="000000"/>
                <w:sz w:val="12"/>
              </w:rPr>
              <w:t>(4)</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(184,509)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(880,154)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(464,124)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(193,974)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(310,650)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equity-based compensation</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GAAP general, administrative and other</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Adjustments</w:t>
            </w:r>
            <w:r>
              <w:rPr>
                <w:rFonts w:ascii="Times New Roman;serif" w:hAnsi="Times New Roman;serif"/>
                <w:b w:val="false"/>
                <w:color w:val="000000"/>
                <w:sz w:val="12"/>
              </w:rPr>
              <w:t>(5)</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(11,597)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(11,111)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(11,935)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general, administrative and other</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31,317 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34,181 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40,099 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38,223 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41,534 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GAAP realized investment income</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20"/>
              <w:jc w:val="left"/>
              <w:rPr/>
            </w:pPr>
            <w:r>
              <w:rPr>
                <w:rFonts w:ascii="Times New Roman;serif" w:hAnsi="Times New Roman;serif"/>
                <w:b w:val="false"/>
                <w:color w:val="000000"/>
                <w:sz w:val="18"/>
              </w:rPr>
              <w:t>Adjustments</w:t>
            </w:r>
            <w:r>
              <w:rPr>
                <w:rFonts w:ascii="Times New Roman;serif" w:hAnsi="Times New Roman;serif"/>
                <w:b w:val="false"/>
                <w:color w:val="000000"/>
                <w:sz w:val="12"/>
              </w:rPr>
              <w:t>(6)</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11,194 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realized investment income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13,871 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GAAP interest income</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Adjustments</w:t>
            </w:r>
            <w:r>
              <w:rPr>
                <w:rFonts w:ascii="Times New Roman;serif" w:hAnsi="Times New Roman;serif"/>
                <w:b w:val="false"/>
                <w:color w:val="000000"/>
                <w:sz w:val="12"/>
              </w:rPr>
              <w:t>(7)</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interest income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GAAP other income (loss)</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Adjustments</w:t>
            </w:r>
            <w:r>
              <w:rPr>
                <w:rFonts w:ascii="Times New Roman;serif" w:hAnsi="Times New Roman;serif"/>
                <w:b w:val="false"/>
                <w:color w:val="000000"/>
                <w:sz w:val="12"/>
              </w:rPr>
              <w:t>(8)</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other income (loss)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(652)</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(1)Reflects the add-back of management and advisory fee revenues for the Consolidated Funds, which have been eliminated in consolidation.</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(2)Reflects the add-back of incentive fee revenues for the Consolidated Funds, which have been eliminated in consolidation, and deferred incentive fees that are not included in GAAP revenues.</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(3)Reflects the removal of unrealized amounts associated with cash-based incentive awards tracked to the performance of a designated investment fund and unrealized amounts associated with deferred compensation plan liability adjustments.</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(4)Reflects the removal of equity-based compensation for awards granted prior to and in connection with the IPO, profits interests issued by our non-wholly owned subsidiaries, and unrealized mark-to-market changes in the fair value of the profits interests issued in the private wealth subsidiary.</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(5)Reflects the removal of amortization of intangibles, transaction-related costs, unrealized mark-to-market changes in fair value for contingent consideration obligation, the impact of consolidation of the Consolidated Funds and other non-core operating income and expenses.</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(6)Reflects the realization of a seed capital investment in the StepStone Funds, which is eliminated in consolidation.</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(7)Reflects the removal of interest income earned by the Consolidated Funds.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(8)Reflects the removal of amounts for Tax Receivable Agreements adjustments recognized as other income (loss), unrealized amounts associated with deferred compensation plan asset adjustments and the impact of consolidation of the Consolidated Funds.</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table below shows a reconciliation of income (loss) before income tax to ANI and FRE.</w:t>
      </w:r>
    </w:p>
    <w:tbl>
      <w:tblPr>
        <w:tblW w:w="10205" w:type="dxa"/>
        <w:jc w:val="left"/>
        <w:tblInd w:w="0" w:type="dxa"/>
        <w:tblLayout w:type="fixed"/>
        <w:tblCellMar>
          <w:top w:w="28" w:type="dxa"/>
          <w:left w:w="28" w:type="dxa"/>
          <w:bottom w:w="28" w:type="dxa"/>
          <w:right w:w="28" w:type="dxa"/>
        </w:tblCellMar>
      </w:tblPr>
      <w:tblGrid>
        <w:gridCol w:w="1537"/>
        <w:gridCol w:w="1192"/>
        <w:gridCol w:w="1194"/>
        <w:gridCol w:w="206"/>
        <w:gridCol w:w="730"/>
        <w:gridCol w:w="114"/>
        <w:gridCol w:w="235"/>
        <w:gridCol w:w="949"/>
        <w:gridCol w:w="130"/>
        <w:gridCol w:w="231"/>
        <w:gridCol w:w="931"/>
        <w:gridCol w:w="128"/>
        <w:gridCol w:w="217"/>
        <w:gridCol w:w="818"/>
        <w:gridCol w:w="121"/>
        <w:gridCol w:w="196"/>
        <w:gridCol w:w="786"/>
        <w:gridCol w:w="109"/>
        <w:gridCol w:w="109"/>
        <w:gridCol w:w="109"/>
        <w:gridCol w:w="163"/>
      </w:tblGrid>
      <w:tr>
        <w:trPr/>
        <w:tc>
          <w:tcPr>
            <w:tcW w:w="153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9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(20,350)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(675,826)</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(194,649)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(200,250)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18"/>
              </w:rPr>
              <w:t>Net income attributable to non-controlling interests in subsidiaries</w:t>
            </w:r>
            <w:r>
              <w:rPr>
                <w:rFonts w:ascii="Times New Roman;serif" w:hAnsi="Times New Roman;serif"/>
                <w:b w:val="false"/>
                <w:color w:val="000000"/>
                <w:sz w:val="12"/>
              </w:rPr>
              <w:t>(1)</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(30,725)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(27,645)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(115,887)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(43,399)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40"/>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 in legacy Greenspring entities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40"/>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carried interest allocations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(88,883)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(147,813)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(101,985)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(201,031)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40"/>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performance fee-related compensation</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88,727 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140,091 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40"/>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investment (income) loss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(9,572)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(8,268)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(19,011)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40"/>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Consolidated Funds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(24,407)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(43,864)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(18,944)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40"/>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incentive fees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18"/>
              </w:rPr>
              <w:t>Equity-based compensation</w:t>
            </w:r>
            <w:r>
              <w:rPr>
                <w:rFonts w:ascii="Times New Roman;serif" w:hAnsi="Times New Roman;serif"/>
                <w:b w:val="false"/>
                <w:color w:val="000000"/>
                <w:sz w:val="12"/>
              </w:rPr>
              <w:t>(2)</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184,509 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880,154 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464,124 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193,974 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40"/>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40"/>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 Agreements adjustments through earnings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18"/>
              </w:rPr>
              <w:t>Non-core items</w:t>
            </w:r>
            <w:r>
              <w:rPr>
                <w:rFonts w:ascii="Times New Roman;serif" w:hAnsi="Times New Roman;serif"/>
                <w:b w:val="false"/>
                <w:color w:val="000000"/>
                <w:sz w:val="12"/>
              </w:rPr>
              <w:t>(3)</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Pre-tax ANI</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62,440 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85,821 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102,737 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90,823 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Income taxes</w:t>
            </w:r>
            <w:r>
              <w:rPr>
                <w:rFonts w:ascii="Times New Roman;serif" w:hAnsi="Times New Roman;serif"/>
                <w:b w:val="false"/>
                <w:color w:val="000000"/>
                <w:sz w:val="12"/>
              </w:rPr>
              <w:t>(4)</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(13,906)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(19,112)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(22,879)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(21,364)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ANI</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48,534 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66,709 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79,858 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69,459 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Income taxes</w:t>
            </w:r>
            <w:r>
              <w:rPr>
                <w:rFonts w:ascii="Times New Roman;serif" w:hAnsi="Times New Roman;serif"/>
                <w:b w:val="false"/>
                <w:color w:val="000000"/>
                <w:sz w:val="12"/>
              </w:rPr>
              <w:t>(4)</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22,879 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40"/>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carried interest allocations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(24,404)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(58,878)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(46,703)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(38,597)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Realized performance fee-related compensation</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122,215 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18"/>
              </w:rPr>
              <w:t>Adjusted realized investment income</w:t>
            </w:r>
            <w:r>
              <w:rPr>
                <w:rFonts w:ascii="Times New Roman;serif" w:hAnsi="Times New Roman;serif"/>
                <w:b w:val="false"/>
                <w:color w:val="000000"/>
                <w:sz w:val="12"/>
              </w:rPr>
              <w:t>(5)</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(13,871)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18"/>
              </w:rPr>
              <w:t>Adjusted incentive fees</w:t>
            </w:r>
            <w:r>
              <w:rPr>
                <w:rFonts w:ascii="Times New Roman;serif" w:hAnsi="Times New Roman;serif"/>
                <w:b w:val="false"/>
                <w:color w:val="000000"/>
                <w:sz w:val="12"/>
              </w:rPr>
              <w:t>(6)</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(206,664)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(6,959)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18"/>
              </w:rPr>
              <w:t>Adjusted interest income</w:t>
            </w:r>
            <w:r>
              <w:rPr>
                <w:rFonts w:ascii="Times New Roman;serif" w:hAnsi="Times New Roman;serif"/>
                <w:b w:val="false"/>
                <w:color w:val="000000"/>
                <w:sz w:val="12"/>
              </w:rPr>
              <w:t>(7)</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40"/>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18"/>
              </w:rPr>
              <w:t>Adjusted other (income) loss</w:t>
            </w:r>
            <w:r>
              <w:rPr>
                <w:rFonts w:ascii="Times New Roman;serif" w:hAnsi="Times New Roman;serif"/>
                <w:b w:val="false"/>
                <w:color w:val="000000"/>
                <w:sz w:val="12"/>
              </w:rPr>
              <w:t>(8)</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18"/>
              </w:rPr>
              <w:t>Net income attributable to non-controlling interests in subsidiaries</w:t>
            </w:r>
            <w:r>
              <w:rPr>
                <w:rFonts w:ascii="Times New Roman;serif" w:hAnsi="Times New Roman;serif"/>
                <w:b w:val="false"/>
                <w:color w:val="000000"/>
                <w:sz w:val="12"/>
              </w:rPr>
              <w:t>(1)</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FRE</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81,246 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78,633 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89,236 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105,334 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105,609 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_______________________________</w:t>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(1)Reflects the portion of pre-tax ANI attributable to non-controlling interests in our subsidiaries and realized gains attributable to the profits interests issued in the private wealth subsidiary:</w:t>
      </w:r>
    </w:p>
    <w:tbl>
      <w:tblPr>
        <w:tblW w:w="10205" w:type="dxa"/>
        <w:jc w:val="left"/>
        <w:tblInd w:w="0" w:type="dxa"/>
        <w:tblLayout w:type="fixed"/>
        <w:tblCellMar>
          <w:top w:w="28" w:type="dxa"/>
          <w:left w:w="28" w:type="dxa"/>
          <w:bottom w:w="28" w:type="dxa"/>
          <w:right w:w="28" w:type="dxa"/>
        </w:tblCellMar>
      </w:tblPr>
      <w:tblGrid>
        <w:gridCol w:w="1723"/>
        <w:gridCol w:w="1307"/>
        <w:gridCol w:w="1285"/>
        <w:gridCol w:w="210"/>
        <w:gridCol w:w="692"/>
        <w:gridCol w:w="116"/>
        <w:gridCol w:w="243"/>
        <w:gridCol w:w="804"/>
        <w:gridCol w:w="135"/>
        <w:gridCol w:w="229"/>
        <w:gridCol w:w="863"/>
        <w:gridCol w:w="127"/>
        <w:gridCol w:w="220"/>
        <w:gridCol w:w="728"/>
        <w:gridCol w:w="122"/>
        <w:gridCol w:w="210"/>
        <w:gridCol w:w="692"/>
        <w:gridCol w:w="116"/>
        <w:gridCol w:w="109"/>
        <w:gridCol w:w="109"/>
        <w:gridCol w:w="165"/>
      </w:tblGrid>
      <w:tr>
        <w:trPr/>
        <w:tc>
          <w:tcPr>
            <w:tcW w:w="172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4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FRE attributable to non-controlling interests in subsidiaries and profits interests</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26,672 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24,791 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32,280 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39,988 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39,678 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Performance-related earnings / other income (loss) attributable to non-controlling interests in subsidiaries and profits interests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83,607 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 in subsidiaries and profits interests</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30,725 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27,645 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115,887 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43,399 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41,585 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contribution to pre-tax ANI attributable to non-controlling interests in subsidiaries and profits interests and performance-related earnings / other income (loss) attributable to non-controlling interests in subsidiaries and profits interests presented above specifically related to the profits interests issued in the private wealth subsidiary is presented below.</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66"/>
        <w:gridCol w:w="1265"/>
        <w:gridCol w:w="1269"/>
        <w:gridCol w:w="220"/>
        <w:gridCol w:w="625"/>
        <w:gridCol w:w="122"/>
        <w:gridCol w:w="245"/>
        <w:gridCol w:w="810"/>
        <w:gridCol w:w="136"/>
        <w:gridCol w:w="241"/>
        <w:gridCol w:w="797"/>
        <w:gridCol w:w="134"/>
        <w:gridCol w:w="221"/>
        <w:gridCol w:w="731"/>
        <w:gridCol w:w="123"/>
        <w:gridCol w:w="210"/>
        <w:gridCol w:w="693"/>
        <w:gridCol w:w="117"/>
        <w:gridCol w:w="109"/>
        <w:gridCol w:w="109"/>
        <w:gridCol w:w="162"/>
      </w:tblGrid>
      <w:tr>
        <w:trPr/>
        <w:tc>
          <w:tcPr>
            <w:tcW w:w="186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0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240"/>
              <w:jc w:val="left"/>
              <w:rPr>
                <w:sz w:val="4"/>
                <w:szCs w:val="4"/>
              </w:rPr>
            </w:pPr>
            <w:r>
              <w:rPr>
                <w:sz w:val="4"/>
                <w:szCs w:val="4"/>
              </w:rPr>
            </w:r>
          </w:p>
        </w:tc>
      </w:tr>
      <w:tr>
        <w:trPr/>
        <w:tc>
          <w:tcPr>
            <w:tcW w:w="4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FRE attributable to profits interests issued in the private wealth subsidiary</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10,103 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14,354 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19,530 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23,908 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240"/>
              <w:jc w:val="left"/>
              <w:rPr>
                <w:sz w:val="4"/>
                <w:szCs w:val="4"/>
              </w:rPr>
            </w:pPr>
            <w:r>
              <w:rPr>
                <w:sz w:val="4"/>
                <w:szCs w:val="4"/>
              </w:rPr>
            </w:r>
          </w:p>
        </w:tc>
      </w:tr>
      <w:tr>
        <w:trPr/>
        <w:tc>
          <w:tcPr>
            <w:tcW w:w="4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Performance-related earnings / other income (loss) attributable to profits interests issued in the private wealth subsidiary</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83,172 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profits interests issued in the private wealth subsidiary</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8,455 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10,134 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97,526 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20,131 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24,443 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contribution to pre-tax ANI attributable to non-controlling interests in subsidiaries and performance-related earnings / other income (loss) attributable to non-controlling interests in subsidiaries presented above specifically not attributable to the profits interests issued in the private wealth subsidiary is presented below.</w:t>
      </w:r>
    </w:p>
    <w:tbl>
      <w:tblPr>
        <w:tblW w:w="10205" w:type="dxa"/>
        <w:jc w:val="left"/>
        <w:tblInd w:w="0" w:type="dxa"/>
        <w:tblLayout w:type="fixed"/>
        <w:tblCellMar>
          <w:top w:w="28" w:type="dxa"/>
          <w:left w:w="28" w:type="dxa"/>
          <w:bottom w:w="28" w:type="dxa"/>
          <w:right w:w="28" w:type="dxa"/>
        </w:tblCellMar>
      </w:tblPr>
      <w:tblGrid>
        <w:gridCol w:w="1672"/>
        <w:gridCol w:w="1289"/>
        <w:gridCol w:w="1270"/>
        <w:gridCol w:w="212"/>
        <w:gridCol w:w="701"/>
        <w:gridCol w:w="118"/>
        <w:gridCol w:w="253"/>
        <w:gridCol w:w="835"/>
        <w:gridCol w:w="140"/>
        <w:gridCol w:w="249"/>
        <w:gridCol w:w="821"/>
        <w:gridCol w:w="138"/>
        <w:gridCol w:w="225"/>
        <w:gridCol w:w="744"/>
        <w:gridCol w:w="125"/>
        <w:gridCol w:w="212"/>
        <w:gridCol w:w="701"/>
        <w:gridCol w:w="118"/>
        <w:gridCol w:w="109"/>
        <w:gridCol w:w="109"/>
        <w:gridCol w:w="164"/>
      </w:tblGrid>
      <w:tr>
        <w:trPr/>
        <w:tc>
          <w:tcPr>
            <w:tcW w:w="1672"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FRE attributable to non-controlling interests in subsidiaries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18,203 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14,688 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17,926 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20,458 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15,770 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Performance-related earnings / other income (loss) attributable to non-controlling interests in subsidiaries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 in subsidiaries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22,270 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17,511 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18,361 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23,268 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17,142 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(2)Reflects equity-based compensation for awards granted prior to and in connection with the IPO, profits interests issued by our non-wholly owned subsidiaries, and unrealized mark-to-market changes in the fair value of the profits interests issued in the private wealth subsidiary.</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(3)Includes (income) expense related to the following non-core operating income and expenses:</w:t>
      </w:r>
    </w:p>
    <w:tbl>
      <w:tblPr>
        <w:tblW w:w="10205" w:type="dxa"/>
        <w:jc w:val="left"/>
        <w:tblInd w:w="0" w:type="dxa"/>
        <w:tblLayout w:type="fixed"/>
        <w:tblCellMar>
          <w:top w:w="28" w:type="dxa"/>
          <w:left w:w="28" w:type="dxa"/>
          <w:bottom w:w="28" w:type="dxa"/>
          <w:right w:w="28" w:type="dxa"/>
        </w:tblCellMar>
      </w:tblPr>
      <w:tblGrid>
        <w:gridCol w:w="1641"/>
        <w:gridCol w:w="1383"/>
        <w:gridCol w:w="1366"/>
        <w:gridCol w:w="258"/>
        <w:gridCol w:w="556"/>
        <w:gridCol w:w="144"/>
        <w:gridCol w:w="389"/>
        <w:gridCol w:w="659"/>
        <w:gridCol w:w="218"/>
        <w:gridCol w:w="328"/>
        <w:gridCol w:w="707"/>
        <w:gridCol w:w="185"/>
        <w:gridCol w:w="284"/>
        <w:gridCol w:w="590"/>
        <w:gridCol w:w="158"/>
        <w:gridCol w:w="258"/>
        <w:gridCol w:w="556"/>
        <w:gridCol w:w="144"/>
        <w:gridCol w:w="109"/>
        <w:gridCol w:w="109"/>
        <w:gridCol w:w="163"/>
      </w:tblGrid>
      <w:tr>
        <w:trPr/>
        <w:tc>
          <w:tcPr>
            <w:tcW w:w="164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costs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40"/>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change in fair value for contingent consideration obligation</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40"/>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amounts associated with cash-based incentive awards tracked to investment funds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40"/>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realized upon vesting of cash-based incentive awards tracked to investment funds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40"/>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amounts associated with deferred compensation plan asset adjustments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40"/>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amounts associated with deferred compensation plan liability adjustments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40"/>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non-core operating income and expenses</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(4)Represents corporate income taxes at a blended statutory rate applied to pre-tax ANI:</w:t>
      </w:r>
    </w:p>
    <w:tbl>
      <w:tblPr>
        <w:tblW w:w="9714" w:type="dxa"/>
        <w:jc w:val="left"/>
        <w:tblInd w:w="0" w:type="dxa"/>
        <w:tblLayout w:type="fixed"/>
        <w:tblCellMar>
          <w:top w:w="28" w:type="dxa"/>
          <w:left w:w="28" w:type="dxa"/>
          <w:bottom w:w="28" w:type="dxa"/>
          <w:right w:w="28" w:type="dxa"/>
        </w:tblCellMar>
      </w:tblPr>
      <w:tblGrid>
        <w:gridCol w:w="1009"/>
        <w:gridCol w:w="887"/>
        <w:gridCol w:w="894"/>
        <w:gridCol w:w="258"/>
        <w:gridCol w:w="258"/>
        <w:gridCol w:w="608"/>
        <w:gridCol w:w="354"/>
        <w:gridCol w:w="354"/>
        <w:gridCol w:w="836"/>
        <w:gridCol w:w="343"/>
        <w:gridCol w:w="343"/>
        <w:gridCol w:w="814"/>
        <w:gridCol w:w="288"/>
        <w:gridCol w:w="288"/>
        <w:gridCol w:w="684"/>
        <w:gridCol w:w="258"/>
        <w:gridCol w:w="258"/>
        <w:gridCol w:w="608"/>
        <w:gridCol w:w="109"/>
        <w:gridCol w:w="109"/>
        <w:gridCol w:w="154"/>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Federal statutory rate</w:t>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Combined state, local and foreign rate</w:t>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6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8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6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Blended statutory rate</w:t>
            </w:r>
          </w:p>
        </w:tc>
        <w:tc>
          <w:tcPr>
            <w:tcW w:w="5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(5)Reflects the realization of a seed capital investment in the StepStone Funds, which is eliminated in consolidation.</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(6)Reflects the add-back of incentive fee revenues for the Consolidated Funds, which have been eliminated in consolidation, and deferred incentive fees that are not included in GAAP revenues.</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(7)Reflects the removal of interest income earned by the Consolidated Funds.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(8)Reflects the removal of Tax Receivable Agreements adjustments recognized as other income (loss) ($(5.5) million for the three months ended March 31, 2026 and $1.3 million for the three months ended September 30, 2025), unrealized amounts associated with deferred compensation plan asset adjustments and the impact of consolidation of the Consolidated Funds.</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Fee-Related Earnings Margin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FRE margin is a non-GAAP performance measure which is calculated by dividing FRE by fee revenues. We believe FRE margin is an important measure of profitability on revenues that are largely recurring by nature. We believe FRE margin is useful to investors because it enables them to better evaluate the operating profitability of our business across periods.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table below shows a reconciliation of FRE to FRE margin.</w:t>
      </w:r>
    </w:p>
    <w:tbl>
      <w:tblPr>
        <w:tblW w:w="8111" w:type="dxa"/>
        <w:jc w:val="left"/>
        <w:tblInd w:w="0" w:type="dxa"/>
        <w:tblLayout w:type="fixed"/>
        <w:tblCellMar>
          <w:top w:w="28" w:type="dxa"/>
          <w:left w:w="28" w:type="dxa"/>
          <w:bottom w:w="28" w:type="dxa"/>
          <w:right w:w="28" w:type="dxa"/>
        </w:tblCellMar>
      </w:tblPr>
      <w:tblGrid>
        <w:gridCol w:w="407"/>
        <w:gridCol w:w="358"/>
        <w:gridCol w:w="359"/>
        <w:gridCol w:w="200"/>
        <w:gridCol w:w="662"/>
        <w:gridCol w:w="262"/>
        <w:gridCol w:w="275"/>
        <w:gridCol w:w="909"/>
        <w:gridCol w:w="360"/>
        <w:gridCol w:w="267"/>
        <w:gridCol w:w="883"/>
        <w:gridCol w:w="349"/>
        <w:gridCol w:w="208"/>
        <w:gridCol w:w="781"/>
        <w:gridCol w:w="271"/>
        <w:gridCol w:w="196"/>
        <w:gridCol w:w="736"/>
        <w:gridCol w:w="256"/>
        <w:gridCol w:w="109"/>
        <w:gridCol w:w="109"/>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FRE</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81,246 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78,633 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89,236 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105,334 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105,609 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Fee revenues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212,740 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217,461 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241,133 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260,285 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270,934 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FRE margin</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Gross Realized Performance Fees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Gross realized performance fees represents realized carried interest allocations and adjusted incentive fees. We believe gross realized performance fees is useful to investors because it presents the total performance fees realized by us.</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Performance Fee-Related Earnings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Performance fee-related earnings, or “PRE,” represents gross realized performance fees less realized performance fee-related compensation. We believe PRE is useful to investors because it presents the performance fees attributable to us, net of amounts paid to employees as performance fee-related compensation.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table below shows a reconciliation of total performance fees to gross realized performance fees and PRE. </w:t>
      </w:r>
    </w:p>
    <w:tbl>
      <w:tblPr>
        <w:tblW w:w="10205" w:type="dxa"/>
        <w:jc w:val="left"/>
        <w:tblInd w:w="0" w:type="dxa"/>
        <w:tblLayout w:type="fixed"/>
        <w:tblCellMar>
          <w:top w:w="28" w:type="dxa"/>
          <w:left w:w="28" w:type="dxa"/>
          <w:bottom w:w="28" w:type="dxa"/>
          <w:right w:w="28" w:type="dxa"/>
        </w:tblCellMar>
      </w:tblPr>
      <w:tblGrid>
        <w:gridCol w:w="1275"/>
        <w:gridCol w:w="1102"/>
        <w:gridCol w:w="1106"/>
        <w:gridCol w:w="227"/>
        <w:gridCol w:w="749"/>
        <w:gridCol w:w="126"/>
        <w:gridCol w:w="303"/>
        <w:gridCol w:w="1001"/>
        <w:gridCol w:w="168"/>
        <w:gridCol w:w="271"/>
        <w:gridCol w:w="1021"/>
        <w:gridCol w:w="151"/>
        <w:gridCol w:w="251"/>
        <w:gridCol w:w="830"/>
        <w:gridCol w:w="139"/>
        <w:gridCol w:w="227"/>
        <w:gridCol w:w="749"/>
        <w:gridCol w:w="126"/>
        <w:gridCol w:w="109"/>
        <w:gridCol w:w="109"/>
        <w:gridCol w:w="165"/>
      </w:tblGrid>
      <w:tr>
        <w:trPr/>
        <w:tc>
          <w:tcPr>
            <w:tcW w:w="127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8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Incentive fees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207,954 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7,087 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Realized carried interest allocations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58,878 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46,703 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38,597 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carried interest allocations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147,813 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101,985 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201,031 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43,975 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Legacy Greenspring carried interest allocations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81,994 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performance fees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153,114 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238,736 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346,579 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328,709 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109,718 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carried interest allocations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(88,883)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(147,813)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(101,985)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(201,031)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(43,975)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240"/>
              <w:jc w:val="left"/>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Legacy Greenspring carried interest allocations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(39,637)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(27,143)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10,063 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(81,994)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(37,171)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18"/>
              </w:rPr>
              <w:t>Incentive fee revenues for the Consolidated Funds</w:t>
            </w:r>
            <w:r>
              <w:rPr>
                <w:rFonts w:ascii="Times New Roman;serif" w:hAnsi="Times New Roman;serif"/>
                <w:b w:val="false"/>
                <w:color w:val="000000"/>
                <w:sz w:val="12"/>
              </w:rPr>
              <w:t>(1)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incentive fees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240"/>
              <w:jc w:val="left"/>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realized performance fees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24,727 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64,881 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253,367 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45,556 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29,661 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Realized performance fee-related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(11,705)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(30,995)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(122,215)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(27,662)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(13,862)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13,022 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33,886 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131,152 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17,894 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15,799 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(1)Reflects the add-back of incentive fee revenues for the Consolidated Funds, which have been eliminated in consolidation.</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Adjusted Weighted-Average Shares and Adjusted Net Income Per Share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ANI per share measures our per-share earnings assuming all Class B units, Class C units and Class D units in the Partnership were exchanged for Class A common stock in SSG, including the dilutive impact of outstanding equity-based awards. ANI per share is calculated as ANI divided by adjusted weighted-average shares outstanding. We believe adjusted weighted-average shares and ANI per share are useful to investors because they enable investors to better evaluate per-share operating performance across reporting periods.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shows a reconciliation of diluted weighted-average shares of Class A common stock outstanding to adjusted weighted-average shares outstanding used in the computation of ANI per share.</w:t>
      </w:r>
    </w:p>
    <w:tbl>
      <w:tblPr>
        <w:tblW w:w="10205" w:type="dxa"/>
        <w:jc w:val="left"/>
        <w:tblInd w:w="0" w:type="dxa"/>
        <w:tblLayout w:type="fixed"/>
        <w:tblCellMar>
          <w:top w:w="28" w:type="dxa"/>
          <w:left w:w="28" w:type="dxa"/>
          <w:bottom w:w="28" w:type="dxa"/>
          <w:right w:w="28" w:type="dxa"/>
        </w:tblCellMar>
      </w:tblPr>
      <w:tblGrid>
        <w:gridCol w:w="1429"/>
        <w:gridCol w:w="1054"/>
        <w:gridCol w:w="1062"/>
        <w:gridCol w:w="253"/>
        <w:gridCol w:w="798"/>
        <w:gridCol w:w="120"/>
        <w:gridCol w:w="318"/>
        <w:gridCol w:w="911"/>
        <w:gridCol w:w="147"/>
        <w:gridCol w:w="309"/>
        <w:gridCol w:w="897"/>
        <w:gridCol w:w="144"/>
        <w:gridCol w:w="259"/>
        <w:gridCol w:w="828"/>
        <w:gridCol w:w="128"/>
        <w:gridCol w:w="253"/>
        <w:gridCol w:w="798"/>
        <w:gridCol w:w="120"/>
        <w:gridCol w:w="109"/>
        <w:gridCol w:w="109"/>
        <w:gridCol w:w="159"/>
      </w:tblGrid>
      <w:tr>
        <w:trPr/>
        <w:tc>
          <w:tcPr>
            <w:tcW w:w="142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amounts)</w:t>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ANI</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48,534 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66,709 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79,858 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69,459 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60,295 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240"/>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of Class A common stock outstanding – 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77,846,710 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78,561,587 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79,465,039 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80,297,984 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81,995,674 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Assumed vesting of RSUs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347,813 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509,007 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590,042 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320,535 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343,420 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240"/>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Assumed purchase under ESPP</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18"/>
              </w:rPr>
              <w:t>Exchange of Class B units in the Partnership</w:t>
            </w:r>
            <w:r>
              <w:rPr>
                <w:rFonts w:ascii="Times New Roman;serif" w:hAnsi="Times New Roman;serif"/>
                <w:b w:val="false"/>
                <w:color w:val="000000"/>
                <w:sz w:val="12"/>
              </w:rPr>
              <w:t>(1)</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39,608,270 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39,500,159 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39,094,629 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39,013,494 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38,555,343 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18"/>
              </w:rPr>
              <w:t>Exchange of Class C units in the Partnership</w:t>
            </w:r>
            <w:r>
              <w:rPr>
                <w:rFonts w:ascii="Times New Roman;serif" w:hAnsi="Times New Roman;serif"/>
                <w:b w:val="false"/>
                <w:color w:val="000000"/>
                <w:sz w:val="12"/>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960,025 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947,580 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931,103 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931,103 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914,619 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18"/>
              </w:rPr>
              <w:t>Exchange of Class D units in the Partnership</w:t>
            </w:r>
            <w:r>
              <w:rPr>
                <w:rFonts w:ascii="Times New Roman;serif" w:hAnsi="Times New Roman;serif"/>
                <w:b w:val="false"/>
                <w:color w:val="000000"/>
                <w:sz w:val="12"/>
              </w:rPr>
              <w:t>(1)</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3,530,125 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2,944,261 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2,509,417 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1,917,870 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4,083,590 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weighted-average shares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122,292,943 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122,462,594 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122,590,230 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122,481,335 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125,893,054 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ANI per share</w:t>
            </w:r>
          </w:p>
        </w:tc>
        <w:tc>
          <w:tcPr>
            <w:tcW w:w="25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1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1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1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1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1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_______________________________</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(1)Assumes the full exchange of Class B units, Class C units or Class D units in the Partnership for Class A common stock of SSG pursuant to the Class B Exchange Agreement, Class C Exchange Agreement or Class D Exchange Agreement,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240"/>
        <w:ind w:left="0" w:right="0" w:firstLine="720"/>
        <w:jc w:val="center"/>
        <w:rPr>
          <w:rFonts w:ascii="Times New Roman;serif" w:hAnsi="Times New Roman;serif"/>
          <w:b/>
          <w:color w:val="000000"/>
          <w:sz w:val="22"/>
        </w:rPr>
      </w:pPr>
      <w:r>
        <w:rPr>
          <w:rFonts w:ascii="Times New Roman;serif" w:hAnsi="Times New Roman;serif"/>
          <w:b/>
          <w:color w:val="000000"/>
          <w:sz w:val="22"/>
        </w:rPr>
        <w:t>Key Operating Metrics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 monitor certain operating metrics that are either common to the asset management industry or that we believe provide important data regarding our business. Refer to the Glossary below for a definition of each of these metrics.</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 xml:space="preserve">Fee-Earning AUM </w:t>
      </w:r>
    </w:p>
    <w:tbl>
      <w:tblPr>
        <w:tblW w:w="10205" w:type="dxa"/>
        <w:jc w:val="left"/>
        <w:tblInd w:w="0" w:type="dxa"/>
        <w:tblLayout w:type="fixed"/>
        <w:tblCellMar>
          <w:top w:w="28" w:type="dxa"/>
          <w:left w:w="28" w:type="dxa"/>
          <w:bottom w:w="28" w:type="dxa"/>
          <w:right w:w="28" w:type="dxa"/>
        </w:tblCellMar>
      </w:tblPr>
      <w:tblGrid>
        <w:gridCol w:w="729"/>
        <w:gridCol w:w="550"/>
        <w:gridCol w:w="523"/>
        <w:gridCol w:w="204"/>
        <w:gridCol w:w="766"/>
        <w:gridCol w:w="113"/>
        <w:gridCol w:w="243"/>
        <w:gridCol w:w="915"/>
        <w:gridCol w:w="135"/>
        <w:gridCol w:w="239"/>
        <w:gridCol w:w="899"/>
        <w:gridCol w:w="133"/>
        <w:gridCol w:w="216"/>
        <w:gridCol w:w="813"/>
        <w:gridCol w:w="120"/>
        <w:gridCol w:w="204"/>
        <w:gridCol w:w="766"/>
        <w:gridCol w:w="113"/>
        <w:gridCol w:w="109"/>
        <w:gridCol w:w="109"/>
        <w:gridCol w:w="109"/>
        <w:gridCol w:w="405"/>
        <w:gridCol w:w="405"/>
        <w:gridCol w:w="406"/>
        <w:gridCol w:w="262"/>
        <w:gridCol w:w="182"/>
        <w:gridCol w:w="375"/>
        <w:gridCol w:w="162"/>
      </w:tblGrid>
      <w:tr>
        <w:trPr/>
        <w:tc>
          <w:tcPr>
            <w:tcW w:w="72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c>
          <w:tcPr>
            <w:tcW w:w="981" w:type="dxa"/>
            <w:gridSpan w:val="4"/>
            <w:tcBorders/>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vs. FQ1'26</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Separately Managed Accounts</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73,174 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76,708 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78,207 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Contributions</w:t>
            </w:r>
            <w:r>
              <w:rPr>
                <w:rFonts w:ascii="Times New Roman;serif" w:hAnsi="Times New Roman;serif"/>
                <w:b w:val="false"/>
                <w:color w:val="000000"/>
                <w:sz w:val="12"/>
              </w:rPr>
              <w:t>(1)</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Distributions</w:t>
            </w:r>
            <w:r>
              <w:rPr>
                <w:rFonts w:ascii="Times New Roman;serif" w:hAnsi="Times New Roman;serif"/>
                <w:b w:val="false"/>
                <w:color w:val="000000"/>
                <w:sz w:val="12"/>
              </w:rPr>
              <w:t>(2)</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18"/>
              </w:rPr>
              <w:t>Market value, FX and other</w:t>
            </w:r>
            <w:r>
              <w:rPr>
                <w:rFonts w:ascii="Times New Roman;serif" w:hAnsi="Times New Roman;serif"/>
                <w:b w:val="false"/>
                <w:color w:val="000000"/>
                <w:sz w:val="12"/>
              </w:rPr>
              <w:t>(3)</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76,708 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78,207 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80,328 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81,815 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83,251 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Focused Commingled Funds</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50,511 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54,584 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58,223 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Contributions</w:t>
            </w:r>
            <w:r>
              <w:rPr>
                <w:rFonts w:ascii="Times New Roman;serif" w:hAnsi="Times New Roman;serif"/>
                <w:b w:val="false"/>
                <w:color w:val="000000"/>
                <w:sz w:val="12"/>
              </w:rPr>
              <w:t>(1)</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Distributions</w:t>
            </w:r>
            <w:r>
              <w:rPr>
                <w:rFonts w:ascii="Times New Roman;serif" w:hAnsi="Times New Roman;serif"/>
                <w:b w:val="false"/>
                <w:color w:val="000000"/>
                <w:sz w:val="12"/>
              </w:rPr>
              <w:t>(2)</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3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18"/>
              </w:rPr>
              <w:t>Market value, FX and other</w:t>
            </w:r>
            <w:r>
              <w:rPr>
                <w:rFonts w:ascii="Times New Roman;serif" w:hAnsi="Times New Roman;serif"/>
                <w:b w:val="false"/>
                <w:color w:val="000000"/>
                <w:sz w:val="12"/>
              </w:rPr>
              <w:t>(3)</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50,511 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54,584 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58,223 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62,232 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70,313 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121,390 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127,219 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132,791 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138,551 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144,047 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Contributions</w:t>
            </w:r>
            <w:r>
              <w:rPr>
                <w:rFonts w:ascii="Times New Roman;serif" w:hAnsi="Times New Roman;serif"/>
                <w:b w:val="false"/>
                <w:color w:val="000000"/>
                <w:sz w:val="12"/>
              </w:rPr>
              <w:t>(1)</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6,106 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3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Distributions</w:t>
            </w:r>
            <w:r>
              <w:rPr>
                <w:rFonts w:ascii="Times New Roman;serif" w:hAnsi="Times New Roman;serif"/>
                <w:b w:val="false"/>
                <w:color w:val="000000"/>
                <w:sz w:val="12"/>
              </w:rPr>
              <w:t>(2)</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18"/>
              </w:rPr>
              <w:t>Market value, FX and other</w:t>
            </w:r>
            <w:r>
              <w:rPr>
                <w:rFonts w:ascii="Times New Roman;serif" w:hAnsi="Times New Roman;serif"/>
                <w:b w:val="false"/>
                <w:color w:val="000000"/>
                <w:sz w:val="12"/>
              </w:rPr>
              <w:t>(3)</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3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127,219 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132,791 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138,551 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144,047 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153,564 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(1)Contributions consist of new capital commitments that earn fees on committed capital and capital contributions to funds and accounts that earn fees on net invested capital or NAV.</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(2)Distributions consist of returns of capital from funds and accounts that pay fees on net invested capital or NAV and reductions in fee-earning AUM from funds that moved from a committed capital to net invested capital fee basis or from funds and accounts that no longer pay fees.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(3)Market value, FX and other primarily consist of changes in market value appreciation (depreciation) for funds that pay on NAV and the effect of foreign exchange rate changes on non-U.S. dollar denominated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color w:val="231F20"/>
          <w:sz w:val="22"/>
        </w:rPr>
      </w:pPr>
      <w:r>
        <w:rPr>
          <w:rFonts w:ascii="Times New Roman;serif" w:hAnsi="Times New Roman;serif"/>
          <w:b/>
          <w:color w:val="231F20"/>
          <w:sz w:val="22"/>
        </w:rPr>
        <w:t>Asset Class Summary</w:t>
      </w:r>
    </w:p>
    <w:tbl>
      <w:tblPr>
        <w:tblW w:w="10205" w:type="dxa"/>
        <w:jc w:val="left"/>
        <w:tblInd w:w="0" w:type="dxa"/>
        <w:tblLayout w:type="fixed"/>
        <w:tblCellMar>
          <w:top w:w="28" w:type="dxa"/>
          <w:left w:w="28" w:type="dxa"/>
          <w:bottom w:w="28" w:type="dxa"/>
          <w:right w:w="28" w:type="dxa"/>
        </w:tblCellMar>
      </w:tblPr>
      <w:tblGrid>
        <w:gridCol w:w="682"/>
        <w:gridCol w:w="550"/>
        <w:gridCol w:w="545"/>
        <w:gridCol w:w="204"/>
        <w:gridCol w:w="767"/>
        <w:gridCol w:w="113"/>
        <w:gridCol w:w="245"/>
        <w:gridCol w:w="922"/>
        <w:gridCol w:w="136"/>
        <w:gridCol w:w="240"/>
        <w:gridCol w:w="905"/>
        <w:gridCol w:w="134"/>
        <w:gridCol w:w="217"/>
        <w:gridCol w:w="816"/>
        <w:gridCol w:w="120"/>
        <w:gridCol w:w="204"/>
        <w:gridCol w:w="767"/>
        <w:gridCol w:w="113"/>
        <w:gridCol w:w="109"/>
        <w:gridCol w:w="109"/>
        <w:gridCol w:w="109"/>
        <w:gridCol w:w="109"/>
        <w:gridCol w:w="109"/>
        <w:gridCol w:w="1228"/>
        <w:gridCol w:w="217"/>
        <w:gridCol w:w="217"/>
        <w:gridCol w:w="318"/>
      </w:tblGrid>
      <w:tr>
        <w:trPr/>
        <w:tc>
          <w:tcPr>
            <w:tcW w:w="68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c>
          <w:tcPr>
            <w:tcW w:w="752" w:type="dxa"/>
            <w:gridSpan w:val="3"/>
            <w:tcBorders/>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vs. FQ1'26</w:t>
            </w:r>
          </w:p>
        </w:tc>
      </w:tr>
      <w:tr>
        <w:trPr/>
        <w:tc>
          <w:tcPr>
            <w:tcW w:w="177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FEAUM</w:t>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Private equity</w:t>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69,932 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73,193 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83,774 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27,007 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27,897 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Private debt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22,443 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23,882 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19%</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13,579 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127,219 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132,791 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138,551 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144,047 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153,564 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Separately managed accounts</w:t>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76,708 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78,207 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80,328 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Focused commingled funds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54,584 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58,223 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70,313 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39%</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127,219 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132,791 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138,551 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144,047 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153,564 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AUM</w:t>
            </w:r>
            <w:r>
              <w:rPr>
                <w:rFonts w:ascii="Times New Roman;serif" w:hAnsi="Times New Roman;serif"/>
                <w:b/>
                <w:color w:val="000000"/>
                <w:sz w:val="12"/>
              </w:rPr>
              <w:t>(1)</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Private equity</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100,540 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106,408 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112,190 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119,698 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42,437 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24%</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Private debt</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40,438 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42,269 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45,587 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19,864 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20,716 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199,314 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209,147 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219,799 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233,347 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245,351 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23%</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Separately managed accounts</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120,649 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124,991 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130,111 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136,133 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140,132 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Focused commingled funds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68,014 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73,375 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80,807 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Advisory AUM</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16,142 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16,313 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199,314 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209,147 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219,799 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233,347 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245,351 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23%</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AUA</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Private equity</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262,472 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283,034 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301,403 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341,289 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345,565 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78,762 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86,955 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94,706 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103,784 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46%</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Private debt</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169,679 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176,357 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178,810 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189,892 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193,487 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524,151 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561,555 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591,341 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651,805 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667,897 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Total capital responsibility</w:t>
            </w:r>
            <w:r>
              <w:rPr>
                <w:rFonts w:ascii="Times New Roman;serif" w:hAnsi="Times New Roman;serif"/>
                <w:b/>
                <w:color w:val="000000"/>
                <w:sz w:val="12"/>
              </w:rPr>
              <w:t>(2)</w:t>
            </w:r>
          </w:p>
        </w:tc>
        <w:tc>
          <w:tcPr>
            <w:tcW w:w="2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723,465 </w:t>
            </w:r>
          </w:p>
        </w:tc>
        <w:tc>
          <w:tcPr>
            <w:tcW w:w="1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770,702 </w:t>
            </w:r>
          </w:p>
        </w:tc>
        <w:tc>
          <w:tcPr>
            <w:tcW w:w="1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811,140 </w:t>
            </w:r>
          </w:p>
        </w:tc>
        <w:tc>
          <w:tcPr>
            <w:tcW w:w="1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885,152 </w:t>
            </w:r>
          </w:p>
        </w:tc>
        <w:tc>
          <w:tcPr>
            <w:tcW w:w="1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913,248 </w:t>
            </w:r>
          </w:p>
        </w:tc>
        <w:tc>
          <w:tcPr>
            <w:tcW w:w="1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2"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w: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Note: Amounts may not sum to total due to rounding. AUM/AUA reflects final data for the prior period, adjusted for net new client account activity through the period presented, and does not include post-period investment valuation or cash activity. Net asset value (“NAV”) data for underlying investments is as of the prior period, as reported by underlying managers up to the business day occurring on or after 100 days, or 115 days at the fiscal year-end, following the prior period end. When NAV data is not available by the business day occurring on or after 100 days, or 115 days at the fiscal year-end, following the prior period end, such NAVs are adjusted for cash activity following the last available reported NAV.</w:t>
      </w:r>
    </w:p>
    <w:p>
      <w:pPr>
        <w:pStyle w:val="TextBody"/>
        <w:bidi w:val="0"/>
        <w:spacing w:lineRule="auto" w:line="288" w:before="0" w:after="0"/>
        <w:ind w:left="0" w:right="0" w:hanging="720"/>
        <w:jc w:val="left"/>
        <w:rPr>
          <w:rFonts w:ascii="Times New Roman;serif" w:hAnsi="Times New Roman;serif"/>
          <w:b w:val="false"/>
          <w:color w:val="231F20"/>
          <w:sz w:val="20"/>
        </w:rPr>
      </w:pPr>
      <w:r>
        <w:rPr>
          <w:rFonts w:ascii="Times New Roman;serif" w:hAnsi="Times New Roman;serif"/>
          <w:b w:val="false"/>
          <w:color w:val="231F20"/>
          <w:sz w:val="20"/>
        </w:rPr>
        <w:t>(1)Allocation of AUM by asset class is presented by underlying investment asset classification.</w:t>
      </w:r>
    </w:p>
    <w:p>
      <w:pPr>
        <w:pStyle w:val="TextBody"/>
        <w:bidi w:val="0"/>
        <w:spacing w:lineRule="auto" w:line="288" w:before="0" w:after="240"/>
        <w:ind w:left="0" w:right="0" w:hanging="720"/>
        <w:jc w:val="left"/>
        <w:rPr>
          <w:rFonts w:ascii="Times New Roman;serif" w:hAnsi="Times New Roman;serif"/>
          <w:b w:val="false"/>
          <w:color w:val="231F20"/>
          <w:sz w:val="20"/>
        </w:rPr>
      </w:pPr>
      <w:r>
        <w:rPr>
          <w:rFonts w:ascii="Times New Roman;serif" w:hAnsi="Times New Roman;serif"/>
          <w:b w:val="false"/>
          <w:color w:val="231F20"/>
          <w:sz w:val="20"/>
        </w:rPr>
        <w:t>(2)Total capital responsibility equals assets under management (AUM) plus assets under advisement (AUA).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Contacts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Shareholder Relations: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Seth Weiss</w:t>
      </w:r>
    </w:p>
    <w:p>
      <w:pPr>
        <w:pStyle w:val="TextBody"/>
        <w:bidi w:val="0"/>
        <w:spacing w:lineRule="auto" w:line="288" w:before="0" w:after="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shareholders@stepstonegroup.com</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1-212-351-6106</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Media: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Jordan Niezelski / Maggie Duffy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Edelman</w:t>
      </w:r>
    </w:p>
    <w:p>
      <w:pPr>
        <w:pStyle w:val="TextBody"/>
        <w:bidi w:val="0"/>
        <w:spacing w:lineRule="auto" w:line="288" w:before="0" w:after="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StepStone@edifi-dje.com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2"/>
        </w:rPr>
      </w:pPr>
      <w:r>
        <w:rPr>
          <w:rFonts w:ascii="Times New Roman;serif" w:hAnsi="Times New Roman;serif"/>
          <w:b/>
          <w:color w:val="000000"/>
          <w:sz w:val="22"/>
        </w:rPr>
        <w:t>Glossary</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Assets under advisement, or “AUA,”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 </w:t>
      </w:r>
      <w:r>
        <w:rPr>
          <w:rFonts w:ascii="Times New Roman;serif" w:hAnsi="Times New Roman;serif"/>
          <w:b w:val="false"/>
          <w:color w:val="231F20"/>
          <w:sz w:val="22"/>
        </w:rPr>
        <w:t>We believe AUA is a useful metric for assessing the relative size of our advisory business.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 Our AUA does not include post-period investment valuation or cash activity. AUA as of June 30, 2026 reflects final data for the prior period (March 31, 2026), adjusted for net new client account activity through June 30, 2026. NAV data for underlying investments is as of March 31, 2026, as reported by underlying managers up to the business day occurring on or after 100 days following March 31, 2026. When NAV data is not available by the business day occurring on or after 100 days following March 31, 2026, such NAVs are adjusted for cash activity following the last available reported NAV.</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Assets under management, or “AUM,” primarily reflects the assets associated with our separately managed accounts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Our AUM is calculated as the sum of (i) the net asset value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June 30, 2026 reflects final data for the prior period (March 31, 2026), adjusted for net new client account activity through June 30, 2026. NAV data for underlying investments is as of March 31, 2026, as reported by underlying managers up to the business day occurring on or after 100 days following March 31, 2026. When NAV data is not available by the business day occurring on or after 100 days following March 31, 2026, such NAVs are adjusted for cash activity following the last available reported NAV.</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Consolidated Funds refer to the StepStone Funds that we are required to consolidate as of the applicable reporting period. We consolidate funds and other entities in which we hold a controlling financial interest.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Consolidated VIEs refer to the variable interest entities that we are required to consolidate as of the applicable reporting period. We consolidate VIEs in which we hold a controlling financial interest.</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Fee-earning AUM, or “FEAUM,”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 </w:t>
      </w:r>
      <w:r>
        <w:rPr>
          <w:rFonts w:ascii="Times New Roman;serif" w:hAnsi="Times New Roman;serif"/>
          <w:b w:val="false"/>
          <w:color w:val="231F20"/>
          <w:sz w:val="22"/>
        </w:rPr>
        <w:t>We believe FEAUM is a useful metric in order to assess assets forming the basis of our management fee revenue.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Legacy Greenspring entities refers to certain entities for which the Company, indirectly through its subsidiaries, became the sole and/or managing member in connection with the Greenspring acquisition.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SSG refers solely to StepStone Group Inc., a Delaware corporation, and not to any of its subsidiaries.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StepStone Funds refer to SMAs and focused commingled funds of the Company, including acquired Greenspring funds, for which the Partnership or one of its subsidiaries acts as both investment adviser and general partner or managing member.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Partnership refers solely to StepStone Group LP, a Delaware limited partnership, and not to any of its subsidiaries.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Total capital responsibility equals AUM plus AUA. AUM includes any accounts for which StepStone Group has full discretion over the investment decisions, has responsibility to arrange or effectuate transactions, or has custody of assets. AUA refers to accounts for which StepStone Group provides advice or consultation but for which the firm does not have discretionary authority, responsibility to arrange or effectuate transactions, or custody of assets.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Undeployed fee-earning capital represents the amount of capital commitments to StepStone Funds that has not yet been invested or considered active but will generate management fee revenue once invested or activated. We believe undeployed fee-earning capital is a useful metric for measuring the amount of capital that we can put to work in the future and thus earn management fee revenue thereon.</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7358</Words>
  <Characters>41974</Characters>
  <CharactersWithSpaces>48225</CharactersWithSpaces>
  <Paragraphs>2004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