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817880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27" w:lineRule="exact"/>
        <w:rPr>
          <w:sz w:val="24"/>
          <w:szCs w:val="24"/>
          <w:color w:val="auto"/>
        </w:rPr>
      </w:pPr>
    </w:p>
    <w:p>
      <w:pPr>
        <w:ind w:left="420" w:hanging="35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82" w:lineRule="exact"/>
        <w:rPr>
          <w:sz w:val="24"/>
          <w:szCs w:val="24"/>
          <w:color w:val="auto"/>
        </w:rPr>
      </w:pPr>
    </w:p>
    <w:p>
      <w:pPr>
        <w:ind w:left="2520" w:right="2500" w:hanging="2454"/>
        <w:spacing w:after="0" w:line="416" w:lineRule="auto"/>
        <w:tabs>
          <w:tab w:leader="none" w:pos="385"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 xml:space="preserve">TRANSITION REPORT PURSUANT TO SECTION 13 OR 15(d) OF THE SECURITIES EXCHANGE ACT OF 1934 </w:t>
      </w:r>
      <w:r>
        <w:rPr>
          <w:rFonts w:ascii="Arial" w:cs="Arial" w:eastAsia="Arial" w:hAnsi="Arial"/>
          <w:sz w:val="15"/>
          <w:szCs w:val="15"/>
          <w:color w:val="auto"/>
        </w:rPr>
        <w:t>For the transition period from _______________________ to ___________________________</w:t>
      </w:r>
    </w:p>
    <w:p>
      <w:pPr>
        <w:jc w:val="center"/>
        <w:ind w:right="-19"/>
        <w:spacing w:after="0"/>
        <w:rPr>
          <w:sz w:val="20"/>
          <w:szCs w:val="20"/>
          <w:color w:val="auto"/>
        </w:rPr>
      </w:pPr>
      <w:r>
        <w:rPr>
          <w:rFonts w:ascii="Arial" w:cs="Arial" w:eastAsia="Arial" w:hAnsi="Arial"/>
          <w:sz w:val="16"/>
          <w:szCs w:val="16"/>
          <w:color w:val="auto"/>
        </w:rPr>
        <w:t>Commission file number 001-39510</w:t>
      </w:r>
    </w:p>
    <w:p>
      <w:pPr>
        <w:spacing w:after="0" w:line="41" w:lineRule="exact"/>
        <w:rPr>
          <w:sz w:val="24"/>
          <w:szCs w:val="24"/>
          <w:color w:val="auto"/>
        </w:rPr>
      </w:pPr>
    </w:p>
    <w:tbl>
      <w:tblPr>
        <w:tblLayout w:type="fixed"/>
        <w:tblInd w:w="1540" w:type="dxa"/>
        <w:tblCellMar>
          <w:top w:w="0" w:type="dxa"/>
          <w:left w:w="0" w:type="dxa"/>
          <w:bottom w:w="0" w:type="dxa"/>
          <w:right w:w="0" w:type="dxa"/>
        </w:tblCellMar>
      </w:tblPr>
      <w:tr>
        <w:trPr>
          <w:trHeight w:val="421"/>
        </w:trPr>
        <w:tc>
          <w:tcPr>
            <w:tcW w:w="8200" w:type="dxa"/>
            <w:vAlign w:val="bottom"/>
            <w:gridSpan w:val="5"/>
          </w:tcPr>
          <w:p>
            <w:pPr>
              <w:jc w:val="right"/>
              <w:ind w:right="1928"/>
              <w:spacing w:after="0"/>
              <w:rPr>
                <w:sz w:val="20"/>
                <w:szCs w:val="20"/>
                <w:color w:val="auto"/>
              </w:rPr>
            </w:pPr>
            <w:r>
              <w:rPr>
                <w:rFonts w:ascii="Arial" w:cs="Arial" w:eastAsia="Arial" w:hAnsi="Arial"/>
                <w:sz w:val="32"/>
                <w:szCs w:val="32"/>
                <w:b w:val="1"/>
                <w:bCs w:val="1"/>
                <w:color w:val="auto"/>
              </w:rPr>
              <w:t>STEPSTONE GROUP INC.</w:t>
            </w:r>
          </w:p>
        </w:tc>
      </w:tr>
      <w:tr>
        <w:trPr>
          <w:trHeight w:val="203"/>
        </w:trPr>
        <w:tc>
          <w:tcPr>
            <w:tcW w:w="8200" w:type="dxa"/>
            <w:vAlign w:val="bottom"/>
            <w:gridSpan w:val="5"/>
          </w:tcPr>
          <w:p>
            <w:pPr>
              <w:jc w:val="right"/>
              <w:ind w:right="2268"/>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203"/>
        </w:trPr>
        <w:tc>
          <w:tcPr>
            <w:tcW w:w="33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jc w:val="right"/>
              <w:ind w:right="508"/>
              <w:spacing w:after="0"/>
              <w:rPr>
                <w:sz w:val="20"/>
                <w:szCs w:val="20"/>
                <w:color w:val="auto"/>
              </w:rPr>
            </w:pPr>
            <w:r>
              <w:rPr>
                <w:rFonts w:ascii="Arial" w:cs="Arial" w:eastAsia="Arial" w:hAnsi="Arial"/>
                <w:sz w:val="14"/>
                <w:szCs w:val="14"/>
                <w:b w:val="1"/>
                <w:bCs w:val="1"/>
                <w:color w:val="auto"/>
              </w:rPr>
              <w:t>84-3868757</w:t>
            </w:r>
          </w:p>
        </w:tc>
      </w:tr>
      <w:tr>
        <w:trPr>
          <w:trHeight w:val="147"/>
        </w:trPr>
        <w:tc>
          <w:tcPr>
            <w:tcW w:w="3340" w:type="dxa"/>
            <w:vAlign w:val="bottom"/>
            <w:gridSpan w:val="2"/>
          </w:tcPr>
          <w:p>
            <w:pPr>
              <w:jc w:val="center"/>
              <w:ind w:right="920"/>
              <w:spacing w:after="0" w:line="147" w:lineRule="exact"/>
              <w:rPr>
                <w:sz w:val="20"/>
                <w:szCs w:val="20"/>
                <w:color w:val="auto"/>
              </w:rPr>
            </w:pPr>
            <w:r>
              <w:rPr>
                <w:rFonts w:ascii="Arial" w:cs="Arial" w:eastAsia="Arial" w:hAnsi="Arial"/>
                <w:sz w:val="14"/>
                <w:szCs w:val="14"/>
                <w:color w:val="auto"/>
                <w:w w:val="94"/>
              </w:rPr>
              <w:t>(State or other jurisdiction of</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60" w:type="dxa"/>
            <w:vAlign w:val="bottom"/>
          </w:tcPr>
          <w:p>
            <w:pPr>
              <w:jc w:val="right"/>
              <w:ind w:right="368"/>
              <w:spacing w:after="0" w:line="147" w:lineRule="exact"/>
              <w:rPr>
                <w:sz w:val="20"/>
                <w:szCs w:val="20"/>
                <w:color w:val="auto"/>
              </w:rPr>
            </w:pPr>
            <w:r>
              <w:rPr>
                <w:rFonts w:ascii="Arial" w:cs="Arial" w:eastAsia="Arial" w:hAnsi="Arial"/>
                <w:sz w:val="14"/>
                <w:szCs w:val="14"/>
                <w:color w:val="auto"/>
              </w:rPr>
              <w:t>(I.R.S. Employer</w:t>
            </w:r>
          </w:p>
        </w:tc>
      </w:tr>
      <w:tr>
        <w:trPr>
          <w:trHeight w:val="182"/>
        </w:trPr>
        <w:tc>
          <w:tcPr>
            <w:tcW w:w="3340" w:type="dxa"/>
            <w:vAlign w:val="bottom"/>
            <w:gridSpan w:val="2"/>
          </w:tcPr>
          <w:p>
            <w:pPr>
              <w:ind w:left="180"/>
              <w:spacing w:after="0"/>
              <w:rPr>
                <w:sz w:val="20"/>
                <w:szCs w:val="20"/>
                <w:color w:val="auto"/>
              </w:rPr>
            </w:pPr>
            <w:r>
              <w:rPr>
                <w:rFonts w:ascii="Arial" w:cs="Arial" w:eastAsia="Arial" w:hAnsi="Arial"/>
                <w:sz w:val="14"/>
                <w:szCs w:val="14"/>
                <w:color w:val="auto"/>
              </w:rPr>
              <w:t>incorporation or organization)</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jc w:val="right"/>
              <w:ind w:right="488"/>
              <w:spacing w:after="0"/>
              <w:rPr>
                <w:sz w:val="20"/>
                <w:szCs w:val="20"/>
                <w:color w:val="auto"/>
              </w:rPr>
            </w:pPr>
            <w:r>
              <w:rPr>
                <w:rFonts w:ascii="Arial" w:cs="Arial" w:eastAsia="Arial" w:hAnsi="Arial"/>
                <w:sz w:val="14"/>
                <w:szCs w:val="14"/>
                <w:color w:val="auto"/>
              </w:rPr>
              <w:t>Identification No.)</w:t>
            </w:r>
          </w:p>
        </w:tc>
      </w:tr>
      <w:tr>
        <w:trPr>
          <w:trHeight w:val="332"/>
        </w:trPr>
        <w:tc>
          <w:tcPr>
            <w:tcW w:w="33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450 Lexington Avenue, 31st Floor</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89"/>
        </w:trPr>
        <w:tc>
          <w:tcPr>
            <w:tcW w:w="33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8"/>
              </w:rPr>
              <w:t>New York, NY</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right"/>
              <w:ind w:right="688"/>
              <w:spacing w:after="0"/>
              <w:rPr>
                <w:sz w:val="20"/>
                <w:szCs w:val="20"/>
                <w:color w:val="auto"/>
              </w:rPr>
            </w:pPr>
            <w:r>
              <w:rPr>
                <w:rFonts w:ascii="Arial" w:cs="Arial" w:eastAsia="Arial" w:hAnsi="Arial"/>
                <w:sz w:val="14"/>
                <w:szCs w:val="14"/>
                <w:b w:val="1"/>
                <w:bCs w:val="1"/>
                <w:color w:val="auto"/>
              </w:rPr>
              <w:t>10017</w:t>
            </w:r>
          </w:p>
        </w:tc>
      </w:tr>
      <w:tr>
        <w:trPr>
          <w:trHeight w:val="189"/>
        </w:trPr>
        <w:tc>
          <w:tcPr>
            <w:tcW w:w="3340" w:type="dxa"/>
            <w:vAlign w:val="bottom"/>
            <w:gridSpan w:val="2"/>
          </w:tcPr>
          <w:p>
            <w:pPr>
              <w:jc w:val="center"/>
              <w:ind w:right="940"/>
              <w:spacing w:after="0"/>
              <w:rPr>
                <w:sz w:val="20"/>
                <w:szCs w:val="20"/>
                <w:color w:val="auto"/>
              </w:rPr>
            </w:pPr>
            <w:r>
              <w:rPr>
                <w:rFonts w:ascii="Arial" w:cs="Arial" w:eastAsia="Arial" w:hAnsi="Arial"/>
                <w:sz w:val="14"/>
                <w:szCs w:val="14"/>
                <w:color w:val="auto"/>
                <w:w w:val="95"/>
              </w:rPr>
              <w:t>(Address of principal executive offices)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right"/>
              <w:ind w:right="548"/>
              <w:spacing w:after="0"/>
              <w:rPr>
                <w:sz w:val="20"/>
                <w:szCs w:val="20"/>
                <w:color w:val="auto"/>
              </w:rPr>
            </w:pPr>
            <w:r>
              <w:rPr>
                <w:rFonts w:ascii="Arial" w:cs="Arial" w:eastAsia="Arial" w:hAnsi="Arial"/>
                <w:sz w:val="14"/>
                <w:szCs w:val="14"/>
                <w:color w:val="auto"/>
              </w:rPr>
              <w:t>(Zip Code)</w:t>
            </w:r>
          </w:p>
        </w:tc>
      </w:tr>
      <w:tr>
        <w:trPr>
          <w:trHeight w:val="236"/>
        </w:trPr>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(212) 351-6100</w:t>
            </w:r>
          </w:p>
        </w:tc>
        <w:tc>
          <w:tcPr>
            <w:tcW w:w="10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182"/>
        </w:trPr>
        <w:tc>
          <w:tcPr>
            <w:tcW w:w="8200" w:type="dxa"/>
            <w:vAlign w:val="bottom"/>
            <w:gridSpan w:val="5"/>
          </w:tcPr>
          <w:p>
            <w:pPr>
              <w:jc w:val="center"/>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02"/>
        </w:trPr>
        <w:tc>
          <w:tcPr>
            <w:tcW w:w="8200" w:type="dxa"/>
            <w:vAlign w:val="bottom"/>
            <w:gridSpan w:val="5"/>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195"/>
        </w:trPr>
        <w:tc>
          <w:tcPr>
            <w:tcW w:w="33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Title of each class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Trading Symbol(s)</w:t>
            </w:r>
          </w:p>
        </w:tc>
        <w:tc>
          <w:tcPr>
            <w:tcW w:w="3460" w:type="dxa"/>
            <w:vAlign w:val="bottom"/>
          </w:tcPr>
          <w:p>
            <w:pPr>
              <w:jc w:val="right"/>
              <w:ind w:right="388"/>
              <w:spacing w:after="0"/>
              <w:rPr>
                <w:sz w:val="20"/>
                <w:szCs w:val="20"/>
                <w:color w:val="auto"/>
              </w:rPr>
            </w:pPr>
            <w:r>
              <w:rPr>
                <w:rFonts w:ascii="Arial" w:cs="Arial" w:eastAsia="Arial" w:hAnsi="Arial"/>
                <w:sz w:val="14"/>
                <w:szCs w:val="14"/>
                <w:color w:val="auto"/>
              </w:rPr>
              <w:t>Name of each exchange on which registered</w:t>
            </w:r>
          </w:p>
        </w:tc>
      </w:tr>
      <w:tr>
        <w:trPr>
          <w:trHeight w:val="186"/>
        </w:trPr>
        <w:tc>
          <w:tcPr>
            <w:tcW w:w="32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Class A Common Stock, $0.001 par value per share</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STEP</w:t>
            </w:r>
          </w:p>
        </w:tc>
        <w:tc>
          <w:tcPr>
            <w:tcW w:w="100" w:type="dxa"/>
            <w:vAlign w:val="bottom"/>
          </w:tcPr>
          <w:p>
            <w:pPr>
              <w:spacing w:after="0"/>
              <w:rPr>
                <w:sz w:val="16"/>
                <w:szCs w:val="16"/>
                <w:color w:val="auto"/>
              </w:rPr>
            </w:pPr>
          </w:p>
        </w:tc>
        <w:tc>
          <w:tcPr>
            <w:tcW w:w="3460" w:type="dxa"/>
            <w:vAlign w:val="bottom"/>
            <w:tcBorders>
              <w:top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14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ind w:right="160"/>
        <w:spacing w:after="0" w:line="32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140" w:type="dxa"/>
            <w:vAlign w:val="bottom"/>
          </w:tcPr>
          <w:p>
            <w:pPr>
              <w:spacing w:after="0"/>
              <w:rPr>
                <w:sz w:val="22"/>
                <w:szCs w:val="22"/>
                <w:color w:val="auto"/>
              </w:rPr>
            </w:pPr>
          </w:p>
        </w:tc>
        <w:tc>
          <w:tcPr>
            <w:tcW w:w="3120" w:type="dxa"/>
            <w:vAlign w:val="bottom"/>
          </w:tcPr>
          <w:p>
            <w:pPr>
              <w:ind w:left="880"/>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83"/>
        </w:trPr>
        <w:tc>
          <w:tcPr>
            <w:tcW w:w="1140" w:type="dxa"/>
            <w:vAlign w:val="bottom"/>
          </w:tcPr>
          <w:p>
            <w:pPr>
              <w:spacing w:after="0"/>
              <w:rPr>
                <w:sz w:val="24"/>
                <w:szCs w:val="24"/>
                <w:color w:val="auto"/>
              </w:rPr>
            </w:pPr>
          </w:p>
        </w:tc>
        <w:tc>
          <w:tcPr>
            <w:tcW w:w="3120" w:type="dxa"/>
            <w:vAlign w:val="bottom"/>
          </w:tcPr>
          <w:p>
            <w:pPr>
              <w:ind w:left="880"/>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84"/>
        </w:trPr>
        <w:tc>
          <w:tcPr>
            <w:tcW w:w="1140" w:type="dxa"/>
            <w:vAlign w:val="bottom"/>
            <w:vMerge w:val="restart"/>
          </w:tcPr>
          <w:p>
            <w:pPr>
              <w:spacing w:after="0"/>
              <w:rPr>
                <w:sz w:val="20"/>
                <w:szCs w:val="20"/>
                <w:color w:val="auto"/>
              </w:rPr>
            </w:pPr>
            <w:r>
              <w:rPr>
                <w:rFonts w:ascii="Arial" w:cs="Arial" w:eastAsia="Arial" w:hAnsi="Arial"/>
                <w:sz w:val="16"/>
                <w:szCs w:val="16"/>
                <w:color w:val="auto"/>
              </w:rPr>
              <w:t>Act.</w:t>
            </w:r>
          </w:p>
        </w:tc>
        <w:tc>
          <w:tcPr>
            <w:tcW w:w="3120" w:type="dxa"/>
            <w:vAlign w:val="bottom"/>
          </w:tcPr>
          <w:p>
            <w:pPr>
              <w:ind w:left="880"/>
              <w:spacing w:after="0"/>
              <w:rPr>
                <w:sz w:val="20"/>
                <w:szCs w:val="20"/>
                <w:color w:val="auto"/>
              </w:rPr>
            </w:pPr>
            <w:r>
              <w:rPr>
                <w:rFonts w:ascii="Arial" w:cs="Arial" w:eastAsia="Arial" w:hAnsi="Arial"/>
                <w:sz w:val="16"/>
                <w:szCs w:val="16"/>
                <w:color w:val="auto"/>
              </w:rPr>
              <w:t>Emerging growth company</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140" w:type="dxa"/>
            <w:vAlign w:val="bottom"/>
            <w:vMerge w:val="continue"/>
          </w:tcPr>
          <w:p>
            <w:pPr>
              <w:spacing w:after="0"/>
              <w:rPr>
                <w:sz w:val="7"/>
                <w:szCs w:val="7"/>
                <w:color w:val="auto"/>
              </w:rPr>
            </w:pPr>
          </w:p>
        </w:tc>
        <w:tc>
          <w:tcPr>
            <w:tcW w:w="3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61"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ind w:right="660"/>
        <w:spacing w:after="0" w:line="261" w:lineRule="auto"/>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 As of November 9, 2021, there were 55,735,256 shares of the registrant’s Class A common stock, par value $0.001, and 52,393,112 shares of the registrant’s Class B common stock, par value $0.001,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 w:name="page2"/>
    <w:bookmarkEnd w:id="1"/>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5"/>
          </w:tcPr>
          <w:p>
            <w:pPr>
              <w:ind w:left="3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220" w:type="dxa"/>
            <w:vAlign w:val="bottom"/>
            <w:gridSpan w:val="10"/>
            <w:shd w:val="clear" w:color="auto" w:fill="CCEEFF"/>
          </w:tcPr>
          <w:p>
            <w:pPr>
              <w:jc w:val="center"/>
              <w:ind w:right="1760"/>
              <w:spacing w:after="0"/>
              <w:rPr>
                <w:sz w:val="20"/>
                <w:szCs w:val="20"/>
                <w:color w:val="auto"/>
              </w:rPr>
            </w:pPr>
            <w:r>
              <w:rPr>
                <w:rFonts w:ascii="Arial" w:cs="Arial" w:eastAsia="Arial" w:hAnsi="Arial"/>
                <w:sz w:val="18"/>
                <w:szCs w:val="18"/>
                <w:color w:val="auto"/>
                <w:w w:val="98"/>
              </w:rPr>
              <w:t>PART I - FINANCIAL INFORMATION</w:t>
            </w:r>
          </w:p>
        </w:tc>
        <w:tc>
          <w:tcPr>
            <w:tcW w:w="3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100" w:type="dxa"/>
            <w:vAlign w:val="bottom"/>
            <w:gridSpan w:val="21"/>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Item 1. Financial Statements</w:t>
              </w:r>
            </w:hyperlink>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6300" w:type="dxa"/>
            <w:vAlign w:val="bottom"/>
            <w:tcBorders>
              <w:bottom w:val="single" w:sz="8" w:color="0000FF"/>
            </w:tcBorders>
            <w:gridSpan w:val="14"/>
            <w:shd w:val="clear" w:color="auto" w:fill="CCEEFF"/>
          </w:tcPr>
          <w:p>
            <w:pPr>
              <w:spacing w:after="0" w:line="189"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 xml:space="preserve">Condensed Consolidated Balance Sheets as of </w:t>
              </w:r>
            </w:hyperlink>
            <w:r>
              <w:rPr>
                <w:rFonts w:ascii="Arial" w:cs="Arial" w:eastAsia="Arial" w:hAnsi="Arial"/>
                <w:sz w:val="18"/>
                <w:szCs w:val="18"/>
                <w:color w:val="0000FF"/>
                <w:w w:val="88"/>
              </w:rPr>
              <w:t xml:space="preserve">September 30, 2021 </w:t>
            </w:r>
            <w:hyperlink w:anchor="page5">
              <w:r>
                <w:rPr>
                  <w:rFonts w:ascii="Arial" w:cs="Arial" w:eastAsia="Arial" w:hAnsi="Arial"/>
                  <w:sz w:val="18"/>
                  <w:szCs w:val="18"/>
                  <w:color w:val="0000FF"/>
                  <w:w w:val="88"/>
                </w:rPr>
                <w:t xml:space="preserve">and </w:t>
              </w:r>
            </w:hyperlink>
            <w:r>
              <w:rPr>
                <w:rFonts w:ascii="Arial" w:cs="Arial" w:eastAsia="Arial" w:hAnsi="Arial"/>
                <w:sz w:val="18"/>
                <w:szCs w:val="18"/>
                <w:color w:val="0000FF"/>
                <w:w w:val="88"/>
              </w:rPr>
              <w:t>March 31, 2021</w:t>
            </w:r>
          </w:p>
        </w:tc>
        <w:tc>
          <w:tcPr>
            <w:tcW w:w="3300" w:type="dxa"/>
            <w:vAlign w:val="bottom"/>
            <w:tcBorders>
              <w:bottom w:val="single" w:sz="8" w:color="CCEEFF"/>
            </w:tcBorders>
            <w:gridSpan w:val="6"/>
            <w:shd w:val="clear" w:color="auto" w:fill="CCEEFF"/>
          </w:tcPr>
          <w:p>
            <w:pPr>
              <w:spacing w:after="0"/>
              <w:rPr>
                <w:sz w:val="18"/>
                <w:szCs w:val="18"/>
                <w:color w:val="auto"/>
              </w:rPr>
            </w:pPr>
          </w:p>
        </w:tc>
        <w:tc>
          <w:tcPr>
            <w:tcW w:w="48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0" w:type="dxa"/>
            <w:vAlign w:val="bottom"/>
            <w:gridSpan w:val="20"/>
          </w:tcPr>
          <w:p>
            <w:pPr>
              <w:spacing w:after="0" w:line="189" w:lineRule="exact"/>
              <w:rPr>
                <w:rFonts w:ascii="Arial" w:cs="Arial" w:eastAsia="Arial" w:hAnsi="Arial"/>
                <w:sz w:val="18"/>
                <w:szCs w:val="18"/>
                <w:color w:val="0000FF"/>
                <w:w w:val="97"/>
              </w:rPr>
            </w:pPr>
            <w:hyperlink w:anchor="page6">
              <w:r>
                <w:rPr>
                  <w:rFonts w:ascii="Arial" w:cs="Arial" w:eastAsia="Arial" w:hAnsi="Arial"/>
                  <w:sz w:val="18"/>
                  <w:szCs w:val="18"/>
                  <w:color w:val="0000FF"/>
                  <w:w w:val="97"/>
                </w:rPr>
                <w:t xml:space="preserve">Condensed Consolidated Statements of Income (Loss) for the </w:t>
              </w:r>
            </w:hyperlink>
            <w:r>
              <w:rPr>
                <w:rFonts w:ascii="Arial" w:cs="Arial" w:eastAsia="Arial" w:hAnsi="Arial"/>
                <w:sz w:val="18"/>
                <w:szCs w:val="18"/>
                <w:color w:val="0000FF"/>
                <w:w w:val="97"/>
              </w:rPr>
              <w:t xml:space="preserve">Three and Six Months Ended September 30, 2021 </w:t>
            </w:r>
            <w:hyperlink w:anchor="page6">
              <w:r>
                <w:rPr>
                  <w:rFonts w:ascii="Arial" w:cs="Arial" w:eastAsia="Arial" w:hAnsi="Arial"/>
                  <w:sz w:val="18"/>
                  <w:szCs w:val="18"/>
                  <w:color w:val="0000FF"/>
                  <w:w w:val="97"/>
                </w:rPr>
                <w:t xml:space="preserve">and </w:t>
              </w:r>
            </w:hyperlink>
            <w:r>
              <w:rPr>
                <w:rFonts w:ascii="Arial" w:cs="Arial" w:eastAsia="Arial" w:hAnsi="Arial"/>
                <w:sz w:val="18"/>
                <w:szCs w:val="18"/>
                <w:color w:val="0000FF"/>
                <w:w w:val="97"/>
              </w:rPr>
              <w:t>2020</w:t>
            </w:r>
          </w:p>
        </w:tc>
        <w:tc>
          <w:tcPr>
            <w:tcW w:w="620" w:type="dxa"/>
            <w:vAlign w:val="bottom"/>
            <w:gridSpan w:val="3"/>
          </w:tcPr>
          <w:p>
            <w:pPr>
              <w:jc w:val="center"/>
              <w:ind w:left="350"/>
              <w:spacing w:after="0" w:line="189"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0" w:type="dxa"/>
            <w:vAlign w:val="bottom"/>
            <w:gridSpan w:val="20"/>
            <w:shd w:val="clear" w:color="auto" w:fill="CCEEFF"/>
          </w:tcPr>
          <w:p>
            <w:pPr>
              <w:spacing w:after="0" w:line="189" w:lineRule="exact"/>
              <w:rPr>
                <w:rFonts w:ascii="Arial" w:cs="Arial" w:eastAsia="Arial" w:hAnsi="Arial"/>
                <w:sz w:val="18"/>
                <w:szCs w:val="18"/>
                <w:color w:val="0000FF"/>
                <w:w w:val="92"/>
              </w:rPr>
            </w:pPr>
            <w:hyperlink w:anchor="page7">
              <w:r>
                <w:rPr>
                  <w:rFonts w:ascii="Arial" w:cs="Arial" w:eastAsia="Arial" w:hAnsi="Arial"/>
                  <w:sz w:val="18"/>
                  <w:szCs w:val="18"/>
                  <w:color w:val="0000FF"/>
                  <w:w w:val="92"/>
                </w:rPr>
                <w:t xml:space="preserve">Condensed Consolidated Statements of Comprehensive Income (Loss) for the </w:t>
              </w:r>
            </w:hyperlink>
            <w:r>
              <w:rPr>
                <w:rFonts w:ascii="Arial" w:cs="Arial" w:eastAsia="Arial" w:hAnsi="Arial"/>
                <w:sz w:val="18"/>
                <w:szCs w:val="18"/>
                <w:color w:val="0000FF"/>
                <w:w w:val="92"/>
              </w:rPr>
              <w:t>Three and Six Months Ended September 30, 2021</w:t>
            </w:r>
          </w:p>
        </w:tc>
        <w:tc>
          <w:tcPr>
            <w:tcW w:w="480" w:type="dxa"/>
            <w:vAlign w:val="bottom"/>
            <w:tcBorders>
              <w:right w:val="single" w:sz="8" w:color="CCEEFF"/>
            </w:tcBorders>
            <w:gridSpan w:val="2"/>
            <w:vMerge w:val="restart"/>
            <w:shd w:val="clear" w:color="auto" w:fill="CCEEFF"/>
          </w:tcPr>
          <w:p>
            <w:pPr>
              <w:spacing w:after="0"/>
              <w:rPr>
                <w:sz w:val="16"/>
                <w:szCs w:val="16"/>
                <w:color w:val="auto"/>
              </w:rPr>
            </w:pPr>
          </w:p>
        </w:tc>
        <w:tc>
          <w:tcPr>
            <w:tcW w:w="140" w:type="dxa"/>
            <w:vAlign w:val="bottom"/>
            <w:tcBorders>
              <w:right w:val="single" w:sz="8" w:color="CCEEFF"/>
            </w:tcBorders>
            <w:vMerge w:val="restart"/>
            <w:shd w:val="clear" w:color="auto" w:fill="CCEEFF"/>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0000FF"/>
              <w:bottom w:val="single" w:sz="8" w:color="CCEEFF"/>
            </w:tcBorders>
            <w:shd w:val="clear" w:color="auto" w:fill="CCEEFF"/>
          </w:tcPr>
          <w:p>
            <w:pPr>
              <w:spacing w:after="0"/>
              <w:rPr>
                <w:sz w:val="15"/>
                <w:szCs w:val="15"/>
                <w:color w:val="auto"/>
              </w:rPr>
            </w:pPr>
          </w:p>
        </w:tc>
        <w:tc>
          <w:tcPr>
            <w:tcW w:w="660" w:type="dxa"/>
            <w:vAlign w:val="bottom"/>
            <w:tcBorders>
              <w:top w:val="single" w:sz="8" w:color="0000FF"/>
              <w:bottom w:val="single" w:sz="8" w:color="0000FF"/>
            </w:tcBorders>
            <w:gridSpan w:val="3"/>
            <w:shd w:val="clear" w:color="auto" w:fill="CCEEFF"/>
          </w:tcPr>
          <w:p>
            <w:pPr>
              <w:spacing w:after="0" w:line="156" w:lineRule="exact"/>
              <w:rPr>
                <w:rFonts w:ascii="Arial" w:cs="Arial" w:eastAsia="Arial" w:hAnsi="Arial"/>
                <w:sz w:val="18"/>
                <w:szCs w:val="18"/>
                <w:color w:val="0000FF"/>
                <w:w w:val="85"/>
              </w:rPr>
            </w:pPr>
            <w:hyperlink w:anchor="page7">
              <w:r>
                <w:rPr>
                  <w:rFonts w:ascii="Arial" w:cs="Arial" w:eastAsia="Arial" w:hAnsi="Arial"/>
                  <w:sz w:val="18"/>
                  <w:szCs w:val="18"/>
                  <w:color w:val="0000FF"/>
                  <w:w w:val="85"/>
                </w:rPr>
                <w:t xml:space="preserve">and </w:t>
              </w:r>
            </w:hyperlink>
            <w:r>
              <w:rPr>
                <w:rFonts w:ascii="Arial" w:cs="Arial" w:eastAsia="Arial" w:hAnsi="Arial"/>
                <w:sz w:val="18"/>
                <w:szCs w:val="18"/>
                <w:color w:val="0000FF"/>
                <w:w w:val="85"/>
              </w:rPr>
              <w:t>2020</w:t>
            </w:r>
          </w:p>
        </w:tc>
        <w:tc>
          <w:tcPr>
            <w:tcW w:w="8420" w:type="dxa"/>
            <w:vAlign w:val="bottom"/>
            <w:tcBorders>
              <w:top w:val="single" w:sz="8" w:color="0000FF"/>
              <w:bottom w:val="single" w:sz="8" w:color="CCEEFF"/>
            </w:tcBorders>
            <w:gridSpan w:val="14"/>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right w:val="single" w:sz="8" w:color="CCEEFF"/>
            </w:tcBorders>
            <w:gridSpan w:val="2"/>
            <w:vMerge w:val="continue"/>
            <w:shd w:val="clear" w:color="auto" w:fill="CCEEFF"/>
          </w:tcPr>
          <w:p>
            <w:pPr>
              <w:spacing w:after="0"/>
              <w:rPr>
                <w:sz w:val="15"/>
                <w:szCs w:val="15"/>
                <w:color w:val="auto"/>
              </w:rPr>
            </w:pPr>
          </w:p>
        </w:tc>
        <w:tc>
          <w:tcPr>
            <w:tcW w:w="140" w:type="dxa"/>
            <w:vAlign w:val="bottom"/>
            <w:tcBorders>
              <w:top w:val="single" w:sz="8" w:color="CCEEFF"/>
              <w:bottom w:val="single" w:sz="8" w:color="0000FF"/>
              <w:right w:val="single" w:sz="8" w:color="CCEEFF"/>
            </w:tcBorders>
            <w:vMerge w:val="continue"/>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0" w:type="dxa"/>
            <w:vAlign w:val="bottom"/>
            <w:gridSpan w:val="20"/>
          </w:tcPr>
          <w:p>
            <w:pPr>
              <w:spacing w:after="0" w:line="189" w:lineRule="exact"/>
              <w:rPr>
                <w:rFonts w:ascii="Arial" w:cs="Arial" w:eastAsia="Arial" w:hAnsi="Arial"/>
                <w:sz w:val="18"/>
                <w:szCs w:val="18"/>
                <w:color w:val="0000FF"/>
                <w:w w:val="93"/>
              </w:rPr>
            </w:pPr>
            <w:hyperlink w:anchor="page8">
              <w:r>
                <w:rPr>
                  <w:rFonts w:ascii="Arial" w:cs="Arial" w:eastAsia="Arial" w:hAnsi="Arial"/>
                  <w:sz w:val="18"/>
                  <w:szCs w:val="18"/>
                  <w:color w:val="0000FF"/>
                  <w:w w:val="93"/>
                </w:rPr>
                <w:t xml:space="preserve">Condensed Consolidated Statements of Stockholders’ Equity for the </w:t>
              </w:r>
            </w:hyperlink>
            <w:r>
              <w:rPr>
                <w:rFonts w:ascii="Arial" w:cs="Arial" w:eastAsia="Arial" w:hAnsi="Arial"/>
                <w:sz w:val="18"/>
                <w:szCs w:val="18"/>
                <w:color w:val="0000FF"/>
                <w:w w:val="93"/>
              </w:rPr>
              <w:t xml:space="preserve">Three and Six Months Ended September 30, 2021 </w:t>
            </w:r>
            <w:hyperlink w:anchor="page8">
              <w:r>
                <w:rPr>
                  <w:rFonts w:ascii="Arial" w:cs="Arial" w:eastAsia="Arial" w:hAnsi="Arial"/>
                  <w:sz w:val="18"/>
                  <w:szCs w:val="18"/>
                  <w:color w:val="0000FF"/>
                  <w:w w:val="93"/>
                </w:rPr>
                <w:t xml:space="preserve">and </w:t>
              </w:r>
            </w:hyperlink>
            <w:r>
              <w:rPr>
                <w:rFonts w:ascii="Arial" w:cs="Arial" w:eastAsia="Arial" w:hAnsi="Arial"/>
                <w:sz w:val="18"/>
                <w:szCs w:val="18"/>
                <w:color w:val="0000FF"/>
                <w:w w:val="93"/>
              </w:rPr>
              <w:t>2020</w:t>
            </w:r>
          </w:p>
        </w:tc>
        <w:tc>
          <w:tcPr>
            <w:tcW w:w="620" w:type="dxa"/>
            <w:vAlign w:val="bottom"/>
            <w:gridSpan w:val="3"/>
          </w:tcPr>
          <w:p>
            <w:pPr>
              <w:jc w:val="center"/>
              <w:ind w:left="350"/>
              <w:spacing w:after="0" w:line="189"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9</w:t>
              </w:r>
            </w:hyperlink>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0" w:type="dxa"/>
            <w:vAlign w:val="bottom"/>
            <w:gridSpan w:val="20"/>
            <w:shd w:val="clear" w:color="auto" w:fill="CCEEFF"/>
          </w:tcPr>
          <w:p>
            <w:pPr>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 xml:space="preserve">Condensed Consolidated Statements of Cash Flows for the </w:t>
              </w:r>
            </w:hyperlink>
            <w:r>
              <w:rPr>
                <w:rFonts w:ascii="Arial" w:cs="Arial" w:eastAsia="Arial" w:hAnsi="Arial"/>
                <w:sz w:val="18"/>
                <w:szCs w:val="18"/>
                <w:color w:val="0000FF"/>
              </w:rPr>
              <w:t xml:space="preserve">Six Months Ended September 30, 2021 </w:t>
            </w:r>
            <w:hyperlink w:anchor="page11">
              <w:r>
                <w:rPr>
                  <w:rFonts w:ascii="Arial" w:cs="Arial" w:eastAsia="Arial" w:hAnsi="Arial"/>
                  <w:sz w:val="18"/>
                  <w:szCs w:val="18"/>
                  <w:color w:val="0000FF"/>
                </w:rPr>
                <w:t xml:space="preserve">and </w:t>
              </w:r>
            </w:hyperlink>
            <w:r>
              <w:rPr>
                <w:rFonts w:ascii="Arial" w:cs="Arial" w:eastAsia="Arial" w:hAnsi="Arial"/>
                <w:sz w:val="18"/>
                <w:szCs w:val="18"/>
                <w:color w:val="0000FF"/>
              </w:rPr>
              <w:t>2020</w:t>
            </w:r>
          </w:p>
        </w:tc>
        <w:tc>
          <w:tcPr>
            <w:tcW w:w="620" w:type="dxa"/>
            <w:vAlign w:val="bottom"/>
            <w:tcBorders>
              <w:right w:val="single" w:sz="8" w:color="CCEEFF"/>
            </w:tcBorders>
            <w:gridSpan w:val="3"/>
            <w:shd w:val="clear" w:color="auto" w:fill="CCEEFF"/>
          </w:tcPr>
          <w:p>
            <w:pPr>
              <w:jc w:val="center"/>
              <w:ind w:left="350"/>
              <w:spacing w:after="0" w:line="189" w:lineRule="exact"/>
              <w:rPr>
                <w:rFonts w:ascii="Arial" w:cs="Arial" w:eastAsia="Arial" w:hAnsi="Arial"/>
                <w:sz w:val="18"/>
                <w:szCs w:val="18"/>
                <w:color w:val="0000FF"/>
                <w:w w:val="89"/>
              </w:rPr>
            </w:pPr>
            <w:hyperlink w:anchor="page11">
              <w:r>
                <w:rPr>
                  <w:rFonts w:ascii="Arial" w:cs="Arial" w:eastAsia="Arial" w:hAnsi="Arial"/>
                  <w:sz w:val="18"/>
                  <w:szCs w:val="18"/>
                  <w:color w:val="0000FF"/>
                  <w:w w:val="89"/>
                </w:rPr>
                <w:t>12</w:t>
              </w:r>
            </w:hyperlink>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7800" w:type="dxa"/>
            <w:vAlign w:val="bottom"/>
            <w:tcBorders>
              <w:top w:val="single" w:sz="8" w:color="0000FF"/>
            </w:tcBorders>
            <w:gridSpan w:val="16"/>
          </w:tcPr>
          <w:p>
            <w:pPr>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Notes to Condensed Consolidated Financial Statements</w:t>
              </w:r>
            </w:hyperlink>
          </w:p>
        </w:tc>
        <w:tc>
          <w:tcPr>
            <w:tcW w:w="1800" w:type="dxa"/>
            <w:vAlign w:val="bottom"/>
            <w:tcBorders>
              <w:top w:val="single" w:sz="8" w:color="CCEEFF"/>
            </w:tcBorders>
            <w:gridSpan w:val="4"/>
          </w:tcPr>
          <w:p>
            <w:pPr>
              <w:spacing w:after="0"/>
              <w:rPr>
                <w:sz w:val="16"/>
                <w:szCs w:val="16"/>
                <w:color w:val="auto"/>
              </w:rPr>
            </w:pPr>
          </w:p>
        </w:tc>
        <w:tc>
          <w:tcPr>
            <w:tcW w:w="48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rFonts w:ascii="Arial" w:cs="Arial" w:eastAsia="Arial" w:hAnsi="Arial"/>
                <w:sz w:val="17"/>
                <w:szCs w:val="17"/>
                <w:color w:val="0000FF"/>
                <w:w w:val="73"/>
              </w:rPr>
            </w:pPr>
            <w:hyperlink w:anchor="page13">
              <w:r>
                <w:rPr>
                  <w:rFonts w:ascii="Arial" w:cs="Arial" w:eastAsia="Arial" w:hAnsi="Arial"/>
                  <w:sz w:val="17"/>
                  <w:szCs w:val="17"/>
                  <w:color w:val="0000FF"/>
                  <w:w w:val="73"/>
                </w:rPr>
                <w:t>14</w:t>
              </w:r>
            </w:hyperlink>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0000FF"/>
            </w:tcBorders>
            <w:gridSpan w:val="16"/>
            <w:shd w:val="clear" w:color="auto" w:fill="CCEEFF"/>
          </w:tcPr>
          <w:p>
            <w:pPr>
              <w:spacing w:after="0" w:line="189" w:lineRule="exact"/>
              <w:rPr>
                <w:rFonts w:ascii="Arial" w:cs="Arial" w:eastAsia="Arial" w:hAnsi="Arial"/>
                <w:sz w:val="18"/>
                <w:szCs w:val="18"/>
                <w:color w:val="0000FF"/>
                <w:w w:val="91"/>
              </w:rPr>
            </w:pPr>
            <w:hyperlink w:anchor="page44">
              <w:r>
                <w:rPr>
                  <w:rFonts w:ascii="Arial" w:cs="Arial" w:eastAsia="Arial" w:hAnsi="Arial"/>
                  <w:sz w:val="18"/>
                  <w:szCs w:val="18"/>
                  <w:color w:val="0000FF"/>
                  <w:w w:val="91"/>
                </w:rPr>
                <w:t>Item 2. Management’s Discussion and Analysis of Financial Condition and Results of Operations</w:t>
              </w:r>
            </w:hyperlink>
          </w:p>
        </w:tc>
        <w:tc>
          <w:tcPr>
            <w:tcW w:w="3080" w:type="dxa"/>
            <w:vAlign w:val="bottom"/>
            <w:tcBorders>
              <w:bottom w:val="single" w:sz="8" w:color="CCEEFF"/>
            </w:tcBorders>
            <w:gridSpan w:val="5"/>
            <w:shd w:val="clear" w:color="auto" w:fill="CCEEFF"/>
          </w:tcPr>
          <w:p>
            <w:pPr>
              <w:spacing w:after="0"/>
              <w:rPr>
                <w:sz w:val="18"/>
                <w:szCs w:val="18"/>
                <w:color w:val="auto"/>
              </w:rPr>
            </w:pPr>
          </w:p>
        </w:tc>
        <w:tc>
          <w:tcPr>
            <w:tcW w:w="48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rFonts w:ascii="Arial" w:cs="Arial" w:eastAsia="Arial" w:hAnsi="Arial"/>
                <w:sz w:val="17"/>
                <w:szCs w:val="17"/>
                <w:color w:val="0000FF"/>
                <w:w w:val="73"/>
              </w:rPr>
            </w:pPr>
            <w:hyperlink w:anchor="page44">
              <w:r>
                <w:rPr>
                  <w:rFonts w:ascii="Arial" w:cs="Arial" w:eastAsia="Arial" w:hAnsi="Arial"/>
                  <w:sz w:val="17"/>
                  <w:szCs w:val="17"/>
                  <w:color w:val="0000FF"/>
                  <w:w w:val="73"/>
                </w:rPr>
                <w:t>45</w:t>
              </w:r>
            </w:hyperlink>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100" w:type="dxa"/>
            <w:vAlign w:val="bottom"/>
            <w:gridSpan w:val="21"/>
          </w:tcPr>
          <w:p>
            <w:pPr>
              <w:spacing w:after="0" w:line="189" w:lineRule="exact"/>
              <w:rPr>
                <w:rFonts w:ascii="Arial" w:cs="Arial" w:eastAsia="Arial" w:hAnsi="Arial"/>
                <w:sz w:val="18"/>
                <w:szCs w:val="18"/>
                <w:color w:val="0000FF"/>
              </w:rPr>
            </w:pPr>
            <w:hyperlink w:anchor="page79">
              <w:r>
                <w:rPr>
                  <w:rFonts w:ascii="Arial" w:cs="Arial" w:eastAsia="Arial" w:hAnsi="Arial"/>
                  <w:sz w:val="18"/>
                  <w:szCs w:val="18"/>
                  <w:color w:val="0000FF"/>
                </w:rPr>
                <w:t>Item 3. Qualitative and Quantitative Disclosures about Market Risk</w:t>
              </w:r>
            </w:hyperlink>
          </w:p>
        </w:tc>
        <w:tc>
          <w:tcPr>
            <w:tcW w:w="620" w:type="dxa"/>
            <w:vAlign w:val="bottom"/>
            <w:gridSpan w:val="3"/>
          </w:tcPr>
          <w:p>
            <w:pPr>
              <w:jc w:val="center"/>
              <w:ind w:left="350"/>
              <w:spacing w:after="0" w:line="189"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80</w:t>
              </w:r>
            </w:hyperlink>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89" w:lineRule="exact"/>
              <w:rPr>
                <w:rFonts w:ascii="Arial" w:cs="Arial" w:eastAsia="Arial" w:hAnsi="Arial"/>
                <w:sz w:val="18"/>
                <w:szCs w:val="18"/>
                <w:color w:val="0000FF"/>
              </w:rPr>
            </w:pPr>
            <w:hyperlink w:anchor="page81">
              <w:r>
                <w:rPr>
                  <w:rFonts w:ascii="Arial" w:cs="Arial" w:eastAsia="Arial" w:hAnsi="Arial"/>
                  <w:sz w:val="18"/>
                  <w:szCs w:val="18"/>
                  <w:color w:val="0000FF"/>
                </w:rPr>
                <w:t>Item 4. Controls and Procedures</w:t>
              </w:r>
            </w:hyperlink>
          </w:p>
        </w:tc>
        <w:tc>
          <w:tcPr>
            <w:tcW w:w="620" w:type="dxa"/>
            <w:vAlign w:val="bottom"/>
            <w:tcBorders>
              <w:right w:val="single" w:sz="8" w:color="CCEEFF"/>
            </w:tcBorders>
            <w:gridSpan w:val="3"/>
            <w:shd w:val="clear" w:color="auto" w:fill="CCEEFF"/>
          </w:tcPr>
          <w:p>
            <w:pPr>
              <w:jc w:val="center"/>
              <w:ind w:left="350"/>
              <w:spacing w:after="0" w:line="189" w:lineRule="exact"/>
              <w:rPr>
                <w:rFonts w:ascii="Arial" w:cs="Arial" w:eastAsia="Arial" w:hAnsi="Arial"/>
                <w:sz w:val="18"/>
                <w:szCs w:val="18"/>
                <w:color w:val="0000FF"/>
                <w:w w:val="89"/>
              </w:rPr>
            </w:pPr>
            <w:hyperlink w:anchor="page81">
              <w:r>
                <w:rPr>
                  <w:rFonts w:ascii="Arial" w:cs="Arial" w:eastAsia="Arial" w:hAnsi="Arial"/>
                  <w:sz w:val="18"/>
                  <w:szCs w:val="18"/>
                  <w:color w:val="0000FF"/>
                  <w:w w:val="89"/>
                </w:rPr>
                <w:t>82</w:t>
              </w:r>
            </w:hyperlink>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7220" w:type="dxa"/>
            <w:vAlign w:val="bottom"/>
            <w:tcBorders>
              <w:top w:val="single" w:sz="8" w:color="CCEEFF"/>
            </w:tcBorders>
            <w:gridSpan w:val="10"/>
          </w:tcPr>
          <w:p>
            <w:pPr>
              <w:jc w:val="center"/>
              <w:ind w:right="1780"/>
              <w:spacing w:after="0"/>
              <w:rPr>
                <w:sz w:val="20"/>
                <w:szCs w:val="20"/>
                <w:color w:val="auto"/>
              </w:rPr>
            </w:pPr>
            <w:r>
              <w:rPr>
                <w:rFonts w:ascii="Arial" w:cs="Arial" w:eastAsia="Arial" w:hAnsi="Arial"/>
                <w:sz w:val="18"/>
                <w:szCs w:val="18"/>
                <w:color w:val="auto"/>
                <w:w w:val="96"/>
              </w:rPr>
              <w:t>PART II - OTHER INFORMATION</w:t>
            </w:r>
          </w:p>
        </w:tc>
        <w:tc>
          <w:tcPr>
            <w:tcW w:w="3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0000FF"/>
            </w:tcBorders>
            <w:gridSpan w:val="8"/>
            <w:shd w:val="clear" w:color="auto" w:fill="CCEEFF"/>
          </w:tcPr>
          <w:p>
            <w:pPr>
              <w:spacing w:after="0" w:line="189" w:lineRule="exact"/>
              <w:rPr>
                <w:rFonts w:ascii="Arial" w:cs="Arial" w:eastAsia="Arial" w:hAnsi="Arial"/>
                <w:sz w:val="18"/>
                <w:szCs w:val="18"/>
                <w:color w:val="0000FF"/>
                <w:w w:val="89"/>
              </w:rPr>
            </w:pPr>
            <w:hyperlink w:anchor="page82">
              <w:r>
                <w:rPr>
                  <w:rFonts w:ascii="Arial" w:cs="Arial" w:eastAsia="Arial" w:hAnsi="Arial"/>
                  <w:sz w:val="18"/>
                  <w:szCs w:val="18"/>
                  <w:color w:val="0000FF"/>
                  <w:w w:val="89"/>
                </w:rPr>
                <w:t>Item 1. Legal Proceedings</w:t>
              </w:r>
            </w:hyperlink>
          </w:p>
        </w:tc>
        <w:tc>
          <w:tcPr>
            <w:tcW w:w="8200" w:type="dxa"/>
            <w:vAlign w:val="bottom"/>
            <w:tcBorders>
              <w:bottom w:val="single" w:sz="8" w:color="CCEEFF"/>
            </w:tcBorders>
            <w:gridSpan w:val="13"/>
            <w:shd w:val="clear" w:color="auto" w:fill="CCEEFF"/>
          </w:tcPr>
          <w:p>
            <w:pPr>
              <w:spacing w:after="0"/>
              <w:rPr>
                <w:sz w:val="18"/>
                <w:szCs w:val="18"/>
                <w:color w:val="auto"/>
              </w:rPr>
            </w:pPr>
          </w:p>
        </w:tc>
        <w:tc>
          <w:tcPr>
            <w:tcW w:w="48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rFonts w:ascii="Arial" w:cs="Arial" w:eastAsia="Arial" w:hAnsi="Arial"/>
                <w:sz w:val="17"/>
                <w:szCs w:val="17"/>
                <w:color w:val="0000FF"/>
                <w:w w:val="73"/>
              </w:rPr>
            </w:pPr>
            <w:hyperlink w:anchor="page82">
              <w:r>
                <w:rPr>
                  <w:rFonts w:ascii="Arial" w:cs="Arial" w:eastAsia="Arial" w:hAnsi="Arial"/>
                  <w:sz w:val="17"/>
                  <w:szCs w:val="17"/>
                  <w:color w:val="0000FF"/>
                  <w:w w:val="73"/>
                </w:rPr>
                <w:t>82</w:t>
              </w:r>
            </w:hyperlink>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100" w:type="dxa"/>
            <w:vAlign w:val="bottom"/>
            <w:gridSpan w:val="21"/>
          </w:tcPr>
          <w:p>
            <w:pPr>
              <w:spacing w:after="0" w:line="189" w:lineRule="exact"/>
              <w:rPr>
                <w:rFonts w:ascii="Arial" w:cs="Arial" w:eastAsia="Arial" w:hAnsi="Arial"/>
                <w:sz w:val="18"/>
                <w:szCs w:val="18"/>
                <w:color w:val="0000FF"/>
              </w:rPr>
            </w:pPr>
            <w:hyperlink w:anchor="page82">
              <w:r>
                <w:rPr>
                  <w:rFonts w:ascii="Arial" w:cs="Arial" w:eastAsia="Arial" w:hAnsi="Arial"/>
                  <w:sz w:val="18"/>
                  <w:szCs w:val="18"/>
                  <w:color w:val="0000FF"/>
                </w:rPr>
                <w:t>Item 1A. Risk Factors</w:t>
              </w:r>
            </w:hyperlink>
          </w:p>
        </w:tc>
        <w:tc>
          <w:tcPr>
            <w:tcW w:w="620" w:type="dxa"/>
            <w:vAlign w:val="bottom"/>
            <w:gridSpan w:val="3"/>
          </w:tcPr>
          <w:p>
            <w:pPr>
              <w:jc w:val="center"/>
              <w:ind w:left="350"/>
              <w:spacing w:after="0" w:line="189" w:lineRule="exact"/>
              <w:rPr>
                <w:rFonts w:ascii="Arial" w:cs="Arial" w:eastAsia="Arial" w:hAnsi="Arial"/>
                <w:sz w:val="18"/>
                <w:szCs w:val="18"/>
                <w:color w:val="0000FF"/>
                <w:w w:val="89"/>
              </w:rPr>
            </w:pPr>
            <w:hyperlink w:anchor="page82">
              <w:r>
                <w:rPr>
                  <w:rFonts w:ascii="Arial" w:cs="Arial" w:eastAsia="Arial" w:hAnsi="Arial"/>
                  <w:sz w:val="18"/>
                  <w:szCs w:val="18"/>
                  <w:color w:val="0000FF"/>
                  <w:w w:val="89"/>
                </w:rPr>
                <w:t>82</w:t>
              </w:r>
            </w:hyperlink>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89" w:lineRule="exact"/>
              <w:rPr>
                <w:rFonts w:ascii="Arial" w:cs="Arial" w:eastAsia="Arial" w:hAnsi="Arial"/>
                <w:sz w:val="18"/>
                <w:szCs w:val="18"/>
                <w:color w:val="0000FF"/>
              </w:rPr>
            </w:pPr>
            <w:hyperlink w:anchor="page82">
              <w:r>
                <w:rPr>
                  <w:rFonts w:ascii="Arial" w:cs="Arial" w:eastAsia="Arial" w:hAnsi="Arial"/>
                  <w:sz w:val="18"/>
                  <w:szCs w:val="18"/>
                  <w:color w:val="0000FF"/>
                </w:rPr>
                <w:t>Item 2. Unregistered Sales of Equity Securities and Use of Proceeds</w:t>
              </w:r>
            </w:hyperlink>
          </w:p>
        </w:tc>
        <w:tc>
          <w:tcPr>
            <w:tcW w:w="620" w:type="dxa"/>
            <w:vAlign w:val="bottom"/>
            <w:tcBorders>
              <w:right w:val="single" w:sz="8" w:color="CCEEFF"/>
            </w:tcBorders>
            <w:gridSpan w:val="3"/>
            <w:shd w:val="clear" w:color="auto" w:fill="CCEEFF"/>
          </w:tcPr>
          <w:p>
            <w:pPr>
              <w:jc w:val="center"/>
              <w:ind w:left="350"/>
              <w:spacing w:after="0" w:line="189" w:lineRule="exact"/>
              <w:rPr>
                <w:rFonts w:ascii="Arial" w:cs="Arial" w:eastAsia="Arial" w:hAnsi="Arial"/>
                <w:sz w:val="18"/>
                <w:szCs w:val="18"/>
                <w:color w:val="0000FF"/>
                <w:w w:val="89"/>
              </w:rPr>
            </w:pPr>
            <w:hyperlink w:anchor="page82">
              <w:r>
                <w:rPr>
                  <w:rFonts w:ascii="Arial" w:cs="Arial" w:eastAsia="Arial" w:hAnsi="Arial"/>
                  <w:sz w:val="18"/>
                  <w:szCs w:val="18"/>
                  <w:color w:val="0000FF"/>
                  <w:w w:val="89"/>
                </w:rPr>
                <w:t>82</w:t>
              </w:r>
            </w:hyperlink>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900" w:type="dxa"/>
            <w:vAlign w:val="bottom"/>
            <w:tcBorders>
              <w:top w:val="single" w:sz="8" w:color="0000FF"/>
            </w:tcBorders>
            <w:gridSpan w:val="14"/>
          </w:tcPr>
          <w:p>
            <w:pPr>
              <w:spacing w:after="0" w:line="189" w:lineRule="exact"/>
              <w:rPr>
                <w:rFonts w:ascii="Arial" w:cs="Arial" w:eastAsia="Arial" w:hAnsi="Arial"/>
                <w:sz w:val="18"/>
                <w:szCs w:val="18"/>
                <w:color w:val="0000FF"/>
              </w:rPr>
            </w:pPr>
            <w:hyperlink w:anchor="page82">
              <w:r>
                <w:rPr>
                  <w:rFonts w:ascii="Arial" w:cs="Arial" w:eastAsia="Arial" w:hAnsi="Arial"/>
                  <w:sz w:val="18"/>
                  <w:szCs w:val="18"/>
                  <w:color w:val="0000FF"/>
                </w:rPr>
                <w:t>Item 3. Defaults Upon Senior Securities</w:t>
              </w:r>
            </w:hyperlink>
          </w:p>
        </w:tc>
        <w:tc>
          <w:tcPr>
            <w:tcW w:w="5200" w:type="dxa"/>
            <w:vAlign w:val="bottom"/>
            <w:tcBorders>
              <w:top w:val="single" w:sz="8" w:color="CCEEFF"/>
            </w:tcBorders>
            <w:gridSpan w:val="7"/>
          </w:tcPr>
          <w:p>
            <w:pPr>
              <w:spacing w:after="0"/>
              <w:rPr>
                <w:sz w:val="16"/>
                <w:szCs w:val="16"/>
                <w:color w:val="auto"/>
              </w:rPr>
            </w:pPr>
          </w:p>
        </w:tc>
        <w:tc>
          <w:tcPr>
            <w:tcW w:w="48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rFonts w:ascii="Arial" w:cs="Arial" w:eastAsia="Arial" w:hAnsi="Arial"/>
                <w:sz w:val="17"/>
                <w:szCs w:val="17"/>
                <w:color w:val="0000FF"/>
                <w:w w:val="73"/>
              </w:rPr>
            </w:pPr>
            <w:hyperlink w:anchor="page82">
              <w:r>
                <w:rPr>
                  <w:rFonts w:ascii="Arial" w:cs="Arial" w:eastAsia="Arial" w:hAnsi="Arial"/>
                  <w:sz w:val="17"/>
                  <w:szCs w:val="17"/>
                  <w:color w:val="0000FF"/>
                  <w:w w:val="73"/>
                </w:rPr>
                <w:t>83</w:t>
              </w:r>
            </w:hyperlink>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Item 4. Mine Safety Disclosures</w:t>
              </w:r>
            </w:hyperlink>
          </w:p>
        </w:tc>
        <w:tc>
          <w:tcPr>
            <w:tcW w:w="620" w:type="dxa"/>
            <w:vAlign w:val="bottom"/>
            <w:tcBorders>
              <w:right w:val="single" w:sz="8" w:color="CCEEFF"/>
            </w:tcBorders>
            <w:gridSpan w:val="3"/>
            <w:shd w:val="clear" w:color="auto" w:fill="CCEEFF"/>
          </w:tcPr>
          <w:p>
            <w:pPr>
              <w:jc w:val="center"/>
              <w:ind w:left="350"/>
              <w:spacing w:after="0" w:line="189"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83</w:t>
              </w:r>
            </w:hyperlink>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320" w:type="dxa"/>
            <w:vAlign w:val="bottom"/>
            <w:tcBorders>
              <w:top w:val="single" w:sz="8" w:color="0000FF"/>
            </w:tcBorders>
            <w:gridSpan w:val="10"/>
          </w:tcPr>
          <w:p>
            <w:pPr>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Item 5. Other Information</w:t>
              </w:r>
            </w:hyperlink>
          </w:p>
        </w:tc>
        <w:tc>
          <w:tcPr>
            <w:tcW w:w="7780" w:type="dxa"/>
            <w:vAlign w:val="bottom"/>
            <w:tcBorders>
              <w:top w:val="single" w:sz="8" w:color="CCEEFF"/>
            </w:tcBorders>
            <w:gridSpan w:val="11"/>
          </w:tcPr>
          <w:p>
            <w:pPr>
              <w:spacing w:after="0"/>
              <w:rPr>
                <w:sz w:val="16"/>
                <w:szCs w:val="16"/>
                <w:color w:val="auto"/>
              </w:rPr>
            </w:pPr>
          </w:p>
        </w:tc>
        <w:tc>
          <w:tcPr>
            <w:tcW w:w="48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rFonts w:ascii="Arial" w:cs="Arial" w:eastAsia="Arial" w:hAnsi="Arial"/>
                <w:sz w:val="17"/>
                <w:szCs w:val="17"/>
                <w:color w:val="0000FF"/>
                <w:w w:val="73"/>
              </w:rPr>
            </w:pPr>
            <w:hyperlink w:anchor="page83">
              <w:r>
                <w:rPr>
                  <w:rFonts w:ascii="Arial" w:cs="Arial" w:eastAsia="Arial" w:hAnsi="Arial"/>
                  <w:sz w:val="17"/>
                  <w:szCs w:val="17"/>
                  <w:color w:val="0000FF"/>
                  <w:w w:val="73"/>
                </w:rPr>
                <w:t>83</w:t>
              </w:r>
            </w:hyperlink>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Item 6. Exhibits</w:t>
              </w:r>
            </w:hyperlink>
          </w:p>
        </w:tc>
        <w:tc>
          <w:tcPr>
            <w:tcW w:w="620" w:type="dxa"/>
            <w:vAlign w:val="bottom"/>
            <w:tcBorders>
              <w:right w:val="single" w:sz="8" w:color="CCEEFF"/>
            </w:tcBorders>
            <w:gridSpan w:val="3"/>
            <w:shd w:val="clear" w:color="auto" w:fill="CCEEFF"/>
          </w:tcPr>
          <w:p>
            <w:pPr>
              <w:jc w:val="center"/>
              <w:ind w:left="350"/>
              <w:spacing w:after="0" w:line="189"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84</w:t>
              </w:r>
            </w:hyperlink>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0000FF"/>
            </w:tcBorders>
            <w:gridSpan w:val="4"/>
          </w:tcPr>
          <w:p>
            <w:pPr>
              <w:spacing w:after="0" w:line="189" w:lineRule="exact"/>
              <w:rPr>
                <w:rFonts w:ascii="Arial" w:cs="Arial" w:eastAsia="Arial" w:hAnsi="Arial"/>
                <w:sz w:val="18"/>
                <w:szCs w:val="18"/>
                <w:color w:val="0000FF"/>
              </w:rPr>
            </w:pPr>
            <w:hyperlink w:anchor="page85">
              <w:r>
                <w:rPr>
                  <w:rFonts w:ascii="Arial" w:cs="Arial" w:eastAsia="Arial" w:hAnsi="Arial"/>
                  <w:sz w:val="18"/>
                  <w:szCs w:val="18"/>
                  <w:color w:val="0000FF"/>
                </w:rPr>
                <w:t>Signatures</w:t>
              </w:r>
            </w:hyperlink>
          </w:p>
        </w:tc>
        <w:tc>
          <w:tcPr>
            <w:tcW w:w="8940" w:type="dxa"/>
            <w:vAlign w:val="bottom"/>
            <w:tcBorders>
              <w:top w:val="single" w:sz="8" w:color="CCEEFF"/>
            </w:tcBorders>
            <w:gridSpan w:val="17"/>
          </w:tcPr>
          <w:p>
            <w:pPr>
              <w:spacing w:after="0"/>
              <w:rPr>
                <w:sz w:val="16"/>
                <w:szCs w:val="16"/>
                <w:color w:val="auto"/>
              </w:rPr>
            </w:pPr>
          </w:p>
        </w:tc>
        <w:tc>
          <w:tcPr>
            <w:tcW w:w="48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rFonts w:ascii="Arial" w:cs="Arial" w:eastAsia="Arial" w:hAnsi="Arial"/>
                <w:sz w:val="17"/>
                <w:szCs w:val="17"/>
                <w:color w:val="0000FF"/>
                <w:w w:val="73"/>
              </w:rPr>
            </w:pPr>
            <w:hyperlink w:anchor="page85">
              <w:r>
                <w:rPr>
                  <w:rFonts w:ascii="Arial" w:cs="Arial" w:eastAsia="Arial" w:hAnsi="Arial"/>
                  <w:sz w:val="17"/>
                  <w:szCs w:val="17"/>
                  <w:color w:val="0000FF"/>
                  <w:w w:val="73"/>
                </w:rPr>
                <w:t>86</w:t>
              </w:r>
            </w:hyperlink>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3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This Quarterly Report on Form 10-Q (“Form 10-Q”)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Unless otherwise indicated or the context otherwise requires:</w:t>
      </w:r>
    </w:p>
    <w:p>
      <w:pPr>
        <w:spacing w:after="0" w:line="210" w:lineRule="exact"/>
        <w:rPr>
          <w:sz w:val="20"/>
          <w:szCs w:val="20"/>
          <w:color w:val="auto"/>
        </w:rPr>
      </w:pPr>
    </w:p>
    <w:p>
      <w:pPr>
        <w:ind w:left="660" w:right="1040" w:hanging="4"/>
        <w:spacing w:after="0" w:line="267"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StepStone Group Inc.</w:t>
      </w:r>
      <w:r>
        <w:rPr>
          <w:rFonts w:ascii="Arial" w:cs="Arial" w:eastAsia="Arial" w:hAnsi="Arial"/>
          <w:sz w:val="20"/>
          <w:szCs w:val="20"/>
          <w:color w:val="auto"/>
        </w:rPr>
        <w:t>” or “</w:t>
      </w:r>
      <w:r>
        <w:rPr>
          <w:rFonts w:ascii="Arial" w:cs="Arial" w:eastAsia="Arial" w:hAnsi="Arial"/>
          <w:sz w:val="20"/>
          <w:szCs w:val="20"/>
          <w:b w:val="1"/>
          <w:bCs w:val="1"/>
          <w:color w:val="auto"/>
        </w:rPr>
        <w:t>SSG</w:t>
      </w:r>
      <w:r>
        <w:rPr>
          <w:rFonts w:ascii="Arial" w:cs="Arial" w:eastAsia="Arial" w:hAnsi="Arial"/>
          <w:sz w:val="20"/>
          <w:szCs w:val="20"/>
          <w:color w:val="auto"/>
        </w:rPr>
        <w:t>” refers solely to StepStone Group Inc., a Delaware corporation, and not to any of its subsidiaries;</w:t>
      </w:r>
    </w:p>
    <w:p>
      <w:pPr>
        <w:spacing w:after="0" w:line="163" w:lineRule="exact"/>
        <w:rPr>
          <w:rFonts w:ascii="Arial" w:cs="Arial" w:eastAsia="Arial" w:hAnsi="Arial"/>
          <w:sz w:val="20"/>
          <w:szCs w:val="20"/>
          <w:color w:val="auto"/>
        </w:rPr>
      </w:pPr>
    </w:p>
    <w:p>
      <w:pPr>
        <w:ind w:left="780" w:hanging="124"/>
        <w:spacing w:after="0"/>
        <w:tabs>
          <w:tab w:leader="none" w:pos="78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Partnership</w:t>
      </w:r>
      <w:r>
        <w:rPr>
          <w:rFonts w:ascii="Arial" w:cs="Arial" w:eastAsia="Arial" w:hAnsi="Arial"/>
          <w:sz w:val="19"/>
          <w:szCs w:val="19"/>
          <w:color w:val="auto"/>
        </w:rPr>
        <w:t>” refers solely to StepStone Group LP, a Delaware limited partnership, and not to any of its subsidiaries;</w:t>
      </w:r>
    </w:p>
    <w:p>
      <w:pPr>
        <w:spacing w:after="0" w:line="227" w:lineRule="exact"/>
        <w:rPr>
          <w:rFonts w:ascii="Arial" w:cs="Arial" w:eastAsia="Arial" w:hAnsi="Arial"/>
          <w:sz w:val="19"/>
          <w:szCs w:val="19"/>
          <w:color w:val="auto"/>
        </w:rPr>
      </w:pPr>
    </w:p>
    <w:p>
      <w:pPr>
        <w:ind w:left="660" w:right="60" w:hanging="4"/>
        <w:spacing w:after="0" w:line="267"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General Partner</w:t>
      </w:r>
      <w:r>
        <w:rPr>
          <w:rFonts w:ascii="Arial" w:cs="Arial" w:eastAsia="Arial" w:hAnsi="Arial"/>
          <w:sz w:val="20"/>
          <w:szCs w:val="20"/>
          <w:color w:val="auto"/>
        </w:rPr>
        <w:t>” refers to StepStone Group Holdings LLC, a Delaware limited liability company, and the sole general partner of the Partnership;</w:t>
      </w:r>
    </w:p>
    <w:p>
      <w:pPr>
        <w:spacing w:after="0" w:line="163" w:lineRule="exact"/>
        <w:rPr>
          <w:rFonts w:ascii="Arial" w:cs="Arial" w:eastAsia="Arial" w:hAnsi="Arial"/>
          <w:sz w:val="20"/>
          <w:szCs w:val="20"/>
          <w:color w:val="auto"/>
        </w:rPr>
      </w:pPr>
    </w:p>
    <w:p>
      <w:pPr>
        <w:ind w:left="660" w:hanging="4"/>
        <w:spacing w:after="0" w:line="253"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w:t>
      </w:r>
      <w:r>
        <w:rPr>
          <w:rFonts w:ascii="Arial" w:cs="Arial" w:eastAsia="Arial" w:hAnsi="Arial"/>
          <w:sz w:val="20"/>
          <w:szCs w:val="20"/>
          <w:color w:val="auto"/>
        </w:rPr>
        <w:t>,” “</w:t>
      </w:r>
      <w:r>
        <w:rPr>
          <w:rFonts w:ascii="Arial" w:cs="Arial" w:eastAsia="Arial" w:hAnsi="Arial"/>
          <w:sz w:val="20"/>
          <w:szCs w:val="20"/>
          <w:b w:val="1"/>
          <w:bCs w:val="1"/>
          <w:color w:val="auto"/>
        </w:rPr>
        <w:t>us</w:t>
      </w:r>
      <w:r>
        <w:rPr>
          <w:rFonts w:ascii="Arial" w:cs="Arial" w:eastAsia="Arial" w:hAnsi="Arial"/>
          <w:sz w:val="20"/>
          <w:szCs w:val="20"/>
          <w:color w:val="auto"/>
        </w:rPr>
        <w:t>,” “</w:t>
      </w:r>
      <w:r>
        <w:rPr>
          <w:rFonts w:ascii="Arial" w:cs="Arial" w:eastAsia="Arial" w:hAnsi="Arial"/>
          <w:sz w:val="20"/>
          <w:szCs w:val="20"/>
          <w:b w:val="1"/>
          <w:bCs w:val="1"/>
          <w:color w:val="auto"/>
        </w:rPr>
        <w:t>our</w:t>
      </w:r>
      <w:r>
        <w:rPr>
          <w:rFonts w:ascii="Arial" w:cs="Arial" w:eastAsia="Arial" w:hAnsi="Arial"/>
          <w:sz w:val="20"/>
          <w:szCs w:val="20"/>
          <w:color w:val="auto"/>
        </w:rPr>
        <w:t>,” the “</w:t>
      </w:r>
      <w:r>
        <w:rPr>
          <w:rFonts w:ascii="Arial" w:cs="Arial" w:eastAsia="Arial" w:hAnsi="Arial"/>
          <w:sz w:val="20"/>
          <w:szCs w:val="20"/>
          <w:b w:val="1"/>
          <w:bCs w:val="1"/>
          <w:color w:val="auto"/>
        </w:rPr>
        <w:t>Company</w:t>
      </w:r>
      <w:r>
        <w:rPr>
          <w:rFonts w:ascii="Arial" w:cs="Arial" w:eastAsia="Arial" w:hAnsi="Arial"/>
          <w:sz w:val="20"/>
          <w:szCs w:val="20"/>
          <w:color w:val="auto"/>
        </w:rPr>
        <w:t>,” “</w:t>
      </w:r>
      <w:r>
        <w:rPr>
          <w:rFonts w:ascii="Arial" w:cs="Arial" w:eastAsia="Arial" w:hAnsi="Arial"/>
          <w:sz w:val="20"/>
          <w:szCs w:val="20"/>
          <w:b w:val="1"/>
          <w:bCs w:val="1"/>
          <w:color w:val="auto"/>
        </w:rPr>
        <w:t>our company</w:t>
      </w:r>
      <w:r>
        <w:rPr>
          <w:rFonts w:ascii="Arial" w:cs="Arial" w:eastAsia="Arial" w:hAnsi="Arial"/>
          <w:sz w:val="20"/>
          <w:szCs w:val="20"/>
          <w:color w:val="auto"/>
        </w:rPr>
        <w:t>,” “</w:t>
      </w:r>
      <w:r>
        <w:rPr>
          <w:rFonts w:ascii="Arial" w:cs="Arial" w:eastAsia="Arial" w:hAnsi="Arial"/>
          <w:sz w:val="20"/>
          <w:szCs w:val="20"/>
          <w:b w:val="1"/>
          <w:bCs w:val="1"/>
          <w:color w:val="auto"/>
        </w:rPr>
        <w:t>StepStone</w:t>
      </w:r>
      <w:r>
        <w:rPr>
          <w:rFonts w:ascii="Arial" w:cs="Arial" w:eastAsia="Arial" w:hAnsi="Arial"/>
          <w:sz w:val="20"/>
          <w:szCs w:val="20"/>
          <w:color w:val="auto"/>
        </w:rPr>
        <w:t>” and similar terms refer to SSG and its consolidated subsidiaries, including the Partnership, following the Reorganization and IPO (each as defined below) and to the Partnership and its consolidated subsidiaries prior to the Reorganization and IPO;</w:t>
      </w:r>
    </w:p>
    <w:p>
      <w:pPr>
        <w:spacing w:after="0" w:line="177" w:lineRule="exact"/>
        <w:rPr>
          <w:rFonts w:ascii="Arial" w:cs="Arial" w:eastAsia="Arial" w:hAnsi="Arial"/>
          <w:sz w:val="20"/>
          <w:szCs w:val="20"/>
          <w:color w:val="auto"/>
        </w:rPr>
      </w:pPr>
    </w:p>
    <w:p>
      <w:pPr>
        <w:ind w:left="660" w:right="600" w:hanging="4"/>
        <w:spacing w:after="0" w:line="393" w:lineRule="auto"/>
        <w:tabs>
          <w:tab w:leader="none" w:pos="77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StepStone Funds</w:t>
      </w:r>
      <w:r>
        <w:rPr>
          <w:rFonts w:ascii="Arial" w:cs="Arial" w:eastAsia="Arial" w:hAnsi="Arial"/>
          <w:sz w:val="16"/>
          <w:szCs w:val="16"/>
          <w:color w:val="auto"/>
        </w:rPr>
        <w:t>” or “</w:t>
      </w:r>
      <w:r>
        <w:rPr>
          <w:rFonts w:ascii="Arial" w:cs="Arial" w:eastAsia="Arial" w:hAnsi="Arial"/>
          <w:sz w:val="16"/>
          <w:szCs w:val="16"/>
          <w:b w:val="1"/>
          <w:bCs w:val="1"/>
          <w:color w:val="auto"/>
        </w:rPr>
        <w:t>our funds</w:t>
      </w:r>
      <w:r>
        <w:rPr>
          <w:rFonts w:ascii="Arial" w:cs="Arial" w:eastAsia="Arial" w:hAnsi="Arial"/>
          <w:sz w:val="16"/>
          <w:szCs w:val="16"/>
          <w:color w:val="auto"/>
        </w:rPr>
        <w:t>” refers to our focused commingled funds and our separately managed accounts including acquired Greenspring funds, for which we act as both investment adviser and general partner or managing member;</w:t>
      </w:r>
    </w:p>
    <w:p>
      <w:pPr>
        <w:spacing w:after="0" w:line="72" w:lineRule="exact"/>
        <w:rPr>
          <w:rFonts w:ascii="Arial" w:cs="Arial" w:eastAsia="Arial" w:hAnsi="Arial"/>
          <w:sz w:val="16"/>
          <w:szCs w:val="16"/>
          <w:color w:val="auto"/>
        </w:rPr>
      </w:pPr>
    </w:p>
    <w:p>
      <w:pPr>
        <w:ind w:left="780" w:hanging="124"/>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references to the “</w:t>
      </w:r>
      <w:r>
        <w:rPr>
          <w:rFonts w:ascii="Arial" w:cs="Arial" w:eastAsia="Arial" w:hAnsi="Arial"/>
          <w:sz w:val="18"/>
          <w:szCs w:val="18"/>
          <w:b w:val="1"/>
          <w:bCs w:val="1"/>
          <w:color w:val="auto"/>
        </w:rPr>
        <w:t>Greenspring acquisition</w:t>
      </w:r>
      <w:r>
        <w:rPr>
          <w:rFonts w:ascii="Arial" w:cs="Arial" w:eastAsia="Arial" w:hAnsi="Arial"/>
          <w:sz w:val="18"/>
          <w:szCs w:val="18"/>
          <w:color w:val="auto"/>
        </w:rPr>
        <w:t>” refer to the acquisition of Greenspring Associates, Inc. and certain of its affiliates,</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Greenspring</w:t>
      </w:r>
      <w:r>
        <w:rPr>
          <w:rFonts w:ascii="Arial" w:cs="Arial" w:eastAsia="Arial" w:hAnsi="Arial"/>
          <w:sz w:val="20"/>
          <w:szCs w:val="20"/>
          <w:color w:val="auto"/>
        </w:rPr>
        <w:t>,” that was completed on September 20, 2021;</w:t>
      </w:r>
    </w:p>
    <w:p>
      <w:pPr>
        <w:spacing w:after="0" w:line="194" w:lineRule="exact"/>
        <w:rPr>
          <w:sz w:val="20"/>
          <w:szCs w:val="20"/>
          <w:color w:val="auto"/>
        </w:rPr>
      </w:pPr>
    </w:p>
    <w:p>
      <w:pPr>
        <w:ind w:left="780" w:hanging="124"/>
        <w:spacing w:after="0"/>
        <w:tabs>
          <w:tab w:leader="none" w:pos="78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FY</w:t>
      </w:r>
      <w:r>
        <w:rPr>
          <w:rFonts w:ascii="Arial" w:cs="Arial" w:eastAsia="Arial" w:hAnsi="Arial"/>
          <w:sz w:val="20"/>
          <w:szCs w:val="20"/>
          <w:color w:val="auto"/>
        </w:rPr>
        <w:t>,” “</w:t>
      </w:r>
      <w:r>
        <w:rPr>
          <w:rFonts w:ascii="Arial" w:cs="Arial" w:eastAsia="Arial" w:hAnsi="Arial"/>
          <w:sz w:val="20"/>
          <w:szCs w:val="20"/>
          <w:b w:val="1"/>
          <w:bCs w:val="1"/>
          <w:color w:val="auto"/>
        </w:rPr>
        <w:t>fiscal</w:t>
      </w:r>
      <w:r>
        <w:rPr>
          <w:rFonts w:ascii="Arial" w:cs="Arial" w:eastAsia="Arial" w:hAnsi="Arial"/>
          <w:sz w:val="20"/>
          <w:szCs w:val="20"/>
          <w:color w:val="auto"/>
        </w:rPr>
        <w:t>” or “</w:t>
      </w:r>
      <w:r>
        <w:rPr>
          <w:rFonts w:ascii="Arial" w:cs="Arial" w:eastAsia="Arial" w:hAnsi="Arial"/>
          <w:sz w:val="20"/>
          <w:szCs w:val="20"/>
          <w:b w:val="1"/>
          <w:bCs w:val="1"/>
          <w:color w:val="auto"/>
        </w:rPr>
        <w:t>fiscal year</w:t>
      </w:r>
      <w:r>
        <w:rPr>
          <w:rFonts w:ascii="Arial" w:cs="Arial" w:eastAsia="Arial" w:hAnsi="Arial"/>
          <w:sz w:val="20"/>
          <w:szCs w:val="20"/>
          <w:color w:val="auto"/>
        </w:rPr>
        <w:t>” are to the fiscal year ended March 31 of the applicable year;</w:t>
      </w:r>
    </w:p>
    <w:p>
      <w:pPr>
        <w:spacing w:after="0" w:line="215" w:lineRule="exact"/>
        <w:rPr>
          <w:rFonts w:ascii="Arial" w:cs="Arial" w:eastAsia="Arial" w:hAnsi="Arial"/>
          <w:sz w:val="20"/>
          <w:szCs w:val="20"/>
          <w:color w:val="auto"/>
        </w:rPr>
      </w:pPr>
    </w:p>
    <w:p>
      <w:pPr>
        <w:ind w:left="660" w:right="440" w:hanging="4"/>
        <w:spacing w:after="0" w:line="267" w:lineRule="auto"/>
        <w:tabs>
          <w:tab w:leader="none" w:pos="77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the “</w:t>
      </w:r>
      <w:r>
        <w:rPr>
          <w:rFonts w:ascii="Arial" w:cs="Arial" w:eastAsia="Arial" w:hAnsi="Arial"/>
          <w:sz w:val="20"/>
          <w:szCs w:val="20"/>
          <w:b w:val="1"/>
          <w:bCs w:val="1"/>
          <w:color w:val="auto"/>
        </w:rPr>
        <w:t>Reorganization</w:t>
      </w:r>
      <w:r>
        <w:rPr>
          <w:rFonts w:ascii="Arial" w:cs="Arial" w:eastAsia="Arial" w:hAnsi="Arial"/>
          <w:sz w:val="20"/>
          <w:szCs w:val="20"/>
          <w:color w:val="auto"/>
        </w:rPr>
        <w:t>” refer to the series of transactions immediately before the Company’s initial public offering (“</w:t>
      </w:r>
      <w:r>
        <w:rPr>
          <w:rFonts w:ascii="Arial" w:cs="Arial" w:eastAsia="Arial" w:hAnsi="Arial"/>
          <w:sz w:val="20"/>
          <w:szCs w:val="20"/>
          <w:b w:val="1"/>
          <w:bCs w:val="1"/>
          <w:color w:val="auto"/>
        </w:rPr>
        <w:t>IPO</w:t>
      </w:r>
      <w:r>
        <w:rPr>
          <w:rFonts w:ascii="Arial" w:cs="Arial" w:eastAsia="Arial" w:hAnsi="Arial"/>
          <w:sz w:val="20"/>
          <w:szCs w:val="20"/>
          <w:color w:val="auto"/>
        </w:rPr>
        <w:t>”), which was completed on September 18, 2020;</w:t>
      </w:r>
    </w:p>
    <w:p>
      <w:pPr>
        <w:spacing w:after="0" w:line="163" w:lineRule="exact"/>
        <w:rPr>
          <w:rFonts w:ascii="Arial" w:cs="Arial" w:eastAsia="Arial" w:hAnsi="Arial"/>
          <w:sz w:val="20"/>
          <w:szCs w:val="20"/>
          <w:color w:val="auto"/>
        </w:rPr>
      </w:pPr>
    </w:p>
    <w:p>
      <w:pPr>
        <w:ind w:left="660" w:right="640" w:hanging="4"/>
        <w:spacing w:after="0" w:line="267" w:lineRule="auto"/>
        <w:tabs>
          <w:tab w:leader="none" w:pos="77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private markets allocations</w:t>
      </w:r>
      <w:r>
        <w:rPr>
          <w:rFonts w:ascii="Arial" w:cs="Arial" w:eastAsia="Arial" w:hAnsi="Arial"/>
          <w:sz w:val="20"/>
          <w:szCs w:val="20"/>
          <w:color w:val="auto"/>
        </w:rPr>
        <w:t>” or “</w:t>
      </w:r>
      <w:r>
        <w:rPr>
          <w:rFonts w:ascii="Arial" w:cs="Arial" w:eastAsia="Arial" w:hAnsi="Arial"/>
          <w:sz w:val="20"/>
          <w:szCs w:val="20"/>
          <w:b w:val="1"/>
          <w:bCs w:val="1"/>
          <w:color w:val="auto"/>
        </w:rPr>
        <w:t>combined AUM / AUA</w:t>
      </w:r>
      <w:r>
        <w:rPr>
          <w:rFonts w:ascii="Arial" w:cs="Arial" w:eastAsia="Arial" w:hAnsi="Arial"/>
          <w:sz w:val="20"/>
          <w:szCs w:val="20"/>
          <w:color w:val="auto"/>
        </w:rPr>
        <w:t>” refer to the aggregate amount of our assets under management (“</w:t>
      </w:r>
      <w:r>
        <w:rPr>
          <w:rFonts w:ascii="Arial" w:cs="Arial" w:eastAsia="Arial" w:hAnsi="Arial"/>
          <w:sz w:val="20"/>
          <w:szCs w:val="20"/>
          <w:b w:val="1"/>
          <w:bCs w:val="1"/>
          <w:color w:val="auto"/>
        </w:rPr>
        <w:t>AUM</w:t>
      </w:r>
      <w:r>
        <w:rPr>
          <w:rFonts w:ascii="Arial" w:cs="Arial" w:eastAsia="Arial" w:hAnsi="Arial"/>
          <w:sz w:val="20"/>
          <w:szCs w:val="20"/>
          <w:color w:val="auto"/>
        </w:rPr>
        <w:t>”) and our assets under advisement (“</w:t>
      </w:r>
      <w:r>
        <w:rPr>
          <w:rFonts w:ascii="Arial" w:cs="Arial" w:eastAsia="Arial" w:hAnsi="Arial"/>
          <w:sz w:val="20"/>
          <w:szCs w:val="20"/>
          <w:b w:val="1"/>
          <w:bCs w:val="1"/>
          <w:color w:val="auto"/>
        </w:rPr>
        <w:t>AUA”</w:t>
      </w:r>
      <w:r>
        <w:rPr>
          <w:rFonts w:ascii="Arial" w:cs="Arial" w:eastAsia="Arial" w:hAnsi="Arial"/>
          <w:sz w:val="20"/>
          <w:szCs w:val="20"/>
          <w:color w:val="auto"/>
        </w:rPr>
        <w:t>);</w:t>
      </w:r>
    </w:p>
    <w:p>
      <w:pPr>
        <w:spacing w:after="0" w:line="163" w:lineRule="exact"/>
        <w:rPr>
          <w:rFonts w:ascii="Arial" w:cs="Arial" w:eastAsia="Arial" w:hAnsi="Arial"/>
          <w:sz w:val="20"/>
          <w:szCs w:val="20"/>
          <w:color w:val="auto"/>
        </w:rPr>
      </w:pPr>
    </w:p>
    <w:p>
      <w:pPr>
        <w:ind w:left="780" w:hanging="124"/>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high-net-worth</w:t>
      </w:r>
      <w:r>
        <w:rPr>
          <w:rFonts w:ascii="Arial" w:cs="Arial" w:eastAsia="Arial" w:hAnsi="Arial"/>
          <w:sz w:val="18"/>
          <w:szCs w:val="18"/>
          <w:color w:val="auto"/>
        </w:rPr>
        <w:t>” individuals refer to individuals with net worth of over $5 million, excluding primary residence; and</w:t>
      </w:r>
    </w:p>
    <w:p>
      <w:pPr>
        <w:spacing w:after="0" w:line="238" w:lineRule="exact"/>
        <w:rPr>
          <w:rFonts w:ascii="Arial" w:cs="Arial" w:eastAsia="Arial" w:hAnsi="Arial"/>
          <w:sz w:val="18"/>
          <w:szCs w:val="18"/>
          <w:color w:val="auto"/>
        </w:rPr>
      </w:pPr>
    </w:p>
    <w:p>
      <w:pPr>
        <w:ind w:left="660" w:right="220" w:hanging="4"/>
        <w:spacing w:after="0" w:line="267" w:lineRule="auto"/>
        <w:tabs>
          <w:tab w:leader="none" w:pos="77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mass affluent</w:t>
      </w:r>
      <w:r>
        <w:rPr>
          <w:rFonts w:ascii="Arial" w:cs="Arial" w:eastAsia="Arial" w:hAnsi="Arial"/>
          <w:sz w:val="20"/>
          <w:szCs w:val="20"/>
          <w:color w:val="auto"/>
        </w:rPr>
        <w:t>” individuals refer to individuals with annual income over $200,000 or net worth between $1 million and $5 million, excluding primary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TRADEMARKS, SERVICE MARKS AND TRADE NAMES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10-Q are listed without the ©, ® and ™ symbols, but we will assert, to the fullest extent under applicable law, our rights or the rights of the applicable licensors to these trademarks, service marks, trade names and copyrights.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FORWARD-LOOKING STATEMENTS</w:t>
      </w:r>
    </w:p>
    <w:p>
      <w:pPr>
        <w:spacing w:after="0" w:line="222"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10-Q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and the risks and uncertainties described in greater detail under “Risk Factors” in Part I, Item 1A of our Annual Report on Form 10-K for the fiscal year ended March 31, 2021 and in our subsequent reports filed from time to time with the U.S. Securities and Exchange Commission (“SEC”), which are accessible on the SEC’s website at www.sec.gov. These factors should not be construed as exhaustive and should be read in conjunction with the other cautionary statements that are included in this Form 10-Q and in our other periodic filings. We undertake no obligation to revise or update any forward-looking statements, whether as a result of new information, future events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w w:val="84"/>
              </w:rPr>
              <w:t>As of</w:t>
            </w: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40" w:type="dxa"/>
            <w:vAlign w:val="bottom"/>
          </w:tcPr>
          <w:p>
            <w:pPr>
              <w:spacing w:after="0"/>
              <w:rPr>
                <w:sz w:val="18"/>
                <w:szCs w:val="18"/>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w w:val="90"/>
              </w:rPr>
              <w:t>September 30, 2021</w:t>
            </w: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w w:val="96"/>
              </w:rPr>
              <w:t>March 31, 2021</w:t>
            </w:r>
          </w:p>
        </w:tc>
        <w:tc>
          <w:tcPr>
            <w:tcW w:w="0" w:type="dxa"/>
            <w:vAlign w:val="bottom"/>
          </w:tcPr>
          <w:p>
            <w:pPr>
              <w:spacing w:after="0"/>
              <w:rPr>
                <w:sz w:val="1"/>
                <w:szCs w:val="1"/>
                <w:color w:val="auto"/>
              </w:rPr>
            </w:pPr>
          </w:p>
        </w:tc>
      </w:tr>
      <w:tr>
        <w:trPr>
          <w:trHeight w:val="199"/>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175,015</w:t>
            </w:r>
          </w:p>
        </w:tc>
        <w:tc>
          <w:tcPr>
            <w:tcW w:w="4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179,886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3,977</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Fees and accounts receivable</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34,264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32,096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from affiliates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7,474</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 in funds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90,325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74,379</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Accrued carried interest allocations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1,215,919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896,523</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Legacy Greenspring investments in funds and accrued carried interest allocations</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1,208,693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Deferred income tax assets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89,439</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right-of-use assets, net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65,476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Other assets and receivables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26,760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24,715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Intangibles, net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420,132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5,491</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Goodwill</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582,973</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6,792</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3,831,487</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1,320,772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accrued expenses and other liabilities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69,197</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47,723</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Accrued compensation and benefits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65,492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34,224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carried interest-related compensation</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638,754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465,610</w:t>
            </w: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line="216" w:lineRule="exact"/>
              <w:rPr>
                <w:sz w:val="20"/>
                <w:szCs w:val="20"/>
                <w:color w:val="auto"/>
              </w:rPr>
            </w:pPr>
            <w:r>
              <w:rPr>
                <w:rFonts w:ascii="Arial" w:cs="Arial" w:eastAsia="Arial" w:hAnsi="Arial"/>
                <w:sz w:val="16"/>
                <w:szCs w:val="16"/>
                <w:color w:val="auto"/>
              </w:rPr>
              <w:t>Legacy Greenspring accrued carried interest-related compensation</w:t>
            </w:r>
            <w:r>
              <w:rPr>
                <w:rFonts w:ascii="Arial" w:cs="Arial" w:eastAsia="Arial" w:hAnsi="Arial"/>
                <w:sz w:val="21"/>
                <w:szCs w:val="21"/>
                <w:color w:val="auto"/>
                <w:vertAlign w:val="superscript"/>
              </w:rPr>
              <w:t>(1)</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989,607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to affiliates</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148,234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113,522</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75,806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obligations</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112,644</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140" w:type="dxa"/>
            <w:vAlign w:val="bottom"/>
          </w:tcPr>
          <w:p>
            <w:pPr>
              <w:ind w:left="360"/>
              <w:spacing w:after="0"/>
              <w:rPr>
                <w:sz w:val="20"/>
                <w:szCs w:val="20"/>
                <w:color w:val="auto"/>
              </w:rPr>
            </w:pPr>
            <w:r>
              <w:rPr>
                <w:rFonts w:ascii="Arial" w:cs="Arial" w:eastAsia="Arial" w:hAnsi="Arial"/>
                <w:sz w:val="16"/>
                <w:szCs w:val="16"/>
                <w:color w:val="auto"/>
              </w:rPr>
              <w:t>Total liabilities</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2,099,734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661,079</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15)</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140" w:type="dxa"/>
            <w:vAlign w:val="bottom"/>
          </w:tcPr>
          <w:p>
            <w:pPr>
              <w:ind w:left="20"/>
              <w:spacing w:after="0" w:line="166" w:lineRule="exact"/>
              <w:rPr>
                <w:sz w:val="20"/>
                <w:szCs w:val="20"/>
                <w:color w:val="auto"/>
              </w:rPr>
            </w:pPr>
            <w:r>
              <w:rPr>
                <w:rFonts w:ascii="Arial" w:cs="Arial" w:eastAsia="Arial" w:hAnsi="Arial"/>
                <w:sz w:val="16"/>
                <w:szCs w:val="16"/>
                <w:color w:val="auto"/>
                <w:w w:val="91"/>
              </w:rPr>
              <w:t>Class A common stock, $0.001 par value, 650,000,000 authorized; 55,735,256 and 38,437,500 issued and outstanding as of</w:t>
            </w:r>
          </w:p>
        </w:tc>
        <w:tc>
          <w:tcPr>
            <w:tcW w:w="4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9"/>
        </w:trPr>
        <w:tc>
          <w:tcPr>
            <w:tcW w:w="8140" w:type="dxa"/>
            <w:vAlign w:val="bottom"/>
          </w:tcPr>
          <w:p>
            <w:pPr>
              <w:ind w:left="360"/>
              <w:spacing w:after="0"/>
              <w:rPr>
                <w:sz w:val="20"/>
                <w:szCs w:val="20"/>
                <w:color w:val="auto"/>
              </w:rPr>
            </w:pPr>
            <w:r>
              <w:rPr>
                <w:rFonts w:ascii="Arial" w:cs="Arial" w:eastAsia="Arial" w:hAnsi="Arial"/>
                <w:sz w:val="16"/>
                <w:szCs w:val="16"/>
                <w:color w:val="auto"/>
              </w:rPr>
              <w:t>September 30, 2021 and March 31, 2021, respectively</w:t>
            </w:r>
          </w:p>
        </w:tc>
        <w:tc>
          <w:tcPr>
            <w:tcW w:w="4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1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1"/>
              </w:rPr>
              <w:t>Class B common stock, $0.001 par value, 125,000,000 authorized; 52,393,112 and 56,378,831 issued and outstanding as of</w:t>
            </w:r>
          </w:p>
        </w:tc>
        <w:tc>
          <w:tcPr>
            <w:tcW w:w="4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September 30, 2021 and March 31, 2021, respectively</w:t>
            </w:r>
          </w:p>
        </w:tc>
        <w:tc>
          <w:tcPr>
            <w:tcW w:w="4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525,118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188,751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158,131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60,407</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other comprehensive income</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StepStone Group Inc. stockholders’ equity</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683,626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249,408</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Non-controlling interests in subsidiaries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24,558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25,885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Non-controlling interests in legacy Greenspring entities</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219,086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 in the Partnership</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804,483</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384,400</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1,731,753</w:t>
            </w: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659,693</w:t>
            </w:r>
          </w:p>
        </w:tc>
        <w:tc>
          <w:tcPr>
            <w:tcW w:w="0" w:type="dxa"/>
            <w:vAlign w:val="bottom"/>
          </w:tcPr>
          <w:p>
            <w:pPr>
              <w:spacing w:after="0"/>
              <w:rPr>
                <w:sz w:val="1"/>
                <w:szCs w:val="1"/>
                <w:color w:val="auto"/>
              </w:rPr>
            </w:pPr>
          </w:p>
        </w:tc>
      </w:tr>
      <w:tr>
        <w:trPr>
          <w:trHeight w:val="206"/>
        </w:trPr>
        <w:tc>
          <w:tcPr>
            <w:tcW w:w="8140" w:type="dxa"/>
            <w:vAlign w:val="bottom"/>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3,831,487</w:t>
            </w:r>
          </w:p>
        </w:tc>
        <w:tc>
          <w:tcPr>
            <w:tcW w:w="4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1,320,772</w:t>
            </w:r>
          </w:p>
        </w:tc>
        <w:tc>
          <w:tcPr>
            <w:tcW w:w="0" w:type="dxa"/>
            <w:vAlign w:val="bottom"/>
          </w:tcPr>
          <w:p>
            <w:pPr>
              <w:spacing w:after="0"/>
              <w:rPr>
                <w:sz w:val="1"/>
                <w:szCs w:val="1"/>
                <w:color w:val="auto"/>
              </w:rPr>
            </w:pPr>
          </w:p>
        </w:tc>
      </w:tr>
      <w:tr>
        <w:trPr>
          <w:trHeight w:val="24"/>
        </w:trPr>
        <w:tc>
          <w:tcPr>
            <w:tcW w:w="814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Reflects amounts attributable to consolidated VIEs for which the Company did not acquire any direct economic interests. See notes 5 and 14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ind w:left="5060"/>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70" w:lineRule="exact"/>
        <w:rPr>
          <w:sz w:val="20"/>
          <w:szCs w:val="20"/>
          <w:color w:val="auto"/>
        </w:rPr>
      </w:pPr>
    </w:p>
    <w:p>
      <w:pPr>
        <w:ind w:left="20" w:right="460" w:firstLine="648"/>
        <w:spacing w:after="0" w:line="260" w:lineRule="auto"/>
        <w:rPr>
          <w:sz w:val="20"/>
          <w:szCs w:val="20"/>
          <w:color w:val="auto"/>
        </w:rPr>
      </w:pPr>
      <w:r>
        <w:rPr>
          <w:rFonts w:ascii="Arial" w:cs="Arial" w:eastAsia="Arial" w:hAnsi="Arial"/>
          <w:sz w:val="20"/>
          <w:szCs w:val="20"/>
          <w:color w:val="auto"/>
        </w:rPr>
        <w:t>The following presents the portion of the condensed consolidated balances presented above attributable to consolidated variable interest entities.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6760" w:type="dxa"/>
            <w:vAlign w:val="bottom"/>
            <w:tcBorders>
              <w:bottom w:val="single" w:sz="8" w:color="CCEEFF"/>
            </w:tcBorders>
          </w:tcPr>
          <w:p>
            <w:pPr>
              <w:spacing w:after="0"/>
              <w:rPr>
                <w:sz w:val="18"/>
                <w:szCs w:val="18"/>
                <w:color w:val="auto"/>
              </w:rPr>
            </w:pPr>
          </w:p>
        </w:tc>
        <w:tc>
          <w:tcPr>
            <w:tcW w:w="2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rPr>
              <w:t>September 30, 2021</w:t>
            </w: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4"/>
              </w:rPr>
              <w:t>March 31, 2021</w:t>
            </w:r>
          </w:p>
        </w:tc>
      </w:tr>
      <w:tr>
        <w:trPr>
          <w:trHeight w:val="212"/>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6760" w:type="dxa"/>
            <w:vAlign w:val="bottom"/>
          </w:tcPr>
          <w:p>
            <w:pPr>
              <w:ind w:left="680"/>
              <w:spacing w:after="0"/>
              <w:rPr>
                <w:sz w:val="20"/>
                <w:szCs w:val="20"/>
                <w:color w:val="auto"/>
              </w:rPr>
            </w:pPr>
            <w:r>
              <w:rPr>
                <w:rFonts w:ascii="Arial" w:cs="Arial" w:eastAsia="Arial" w:hAnsi="Arial"/>
                <w:sz w:val="18"/>
                <w:szCs w:val="18"/>
                <w:color w:val="auto"/>
              </w:rPr>
              <w:t>Cash and cash equivalents</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18,674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16,833</w:t>
            </w:r>
          </w:p>
        </w:tc>
      </w:tr>
      <w:tr>
        <w:trPr>
          <w:trHeight w:val="229"/>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Restricted cash</w:t>
            </w:r>
          </w:p>
        </w:tc>
        <w:tc>
          <w:tcPr>
            <w:tcW w:w="10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30"/>
        </w:trPr>
        <w:tc>
          <w:tcPr>
            <w:tcW w:w="6760" w:type="dxa"/>
            <w:vAlign w:val="bottom"/>
          </w:tcPr>
          <w:p>
            <w:pPr>
              <w:ind w:left="680"/>
              <w:spacing w:after="0"/>
              <w:rPr>
                <w:sz w:val="20"/>
                <w:szCs w:val="20"/>
                <w:color w:val="auto"/>
              </w:rPr>
            </w:pPr>
            <w:r>
              <w:rPr>
                <w:rFonts w:ascii="Arial" w:cs="Arial" w:eastAsia="Arial" w:hAnsi="Arial"/>
                <w:sz w:val="18"/>
                <w:szCs w:val="18"/>
                <w:color w:val="auto"/>
              </w:rPr>
              <w:t>Fees and accounts receivable</w:t>
            </w:r>
          </w:p>
        </w:tc>
        <w:tc>
          <w:tcPr>
            <w:tcW w:w="10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27,829</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25,282</w:t>
            </w:r>
          </w:p>
        </w:tc>
      </w:tr>
      <w:tr>
        <w:trPr>
          <w:trHeight w:val="229"/>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Due from affiliates</w:t>
            </w:r>
          </w:p>
        </w:tc>
        <w:tc>
          <w:tcPr>
            <w:tcW w:w="10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Investments in funds</w:t>
            </w:r>
          </w:p>
        </w:tc>
        <w:tc>
          <w:tcPr>
            <w:tcW w:w="10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16,216</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13,658</w:t>
            </w:r>
          </w:p>
        </w:tc>
      </w:tr>
      <w:tr>
        <w:trPr>
          <w:trHeight w:val="230"/>
        </w:trPr>
        <w:tc>
          <w:tcPr>
            <w:tcW w:w="676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color w:val="auto"/>
                <w:w w:val="90"/>
              </w:rPr>
              <w:t>Legacy Greenspring investments in funds and accrued carried interest allocations</w:t>
            </w:r>
            <w:r>
              <w:rPr>
                <w:rFonts w:ascii="Arial" w:cs="Arial" w:eastAsia="Arial" w:hAnsi="Arial"/>
                <w:sz w:val="23"/>
                <w:szCs w:val="23"/>
                <w:color w:val="auto"/>
                <w:w w:val="90"/>
                <w:vertAlign w:val="superscript"/>
              </w:rPr>
              <w:t>(1)</w:t>
            </w:r>
          </w:p>
        </w:tc>
        <w:tc>
          <w:tcPr>
            <w:tcW w:w="10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1,208,693</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60" w:type="dxa"/>
            <w:vAlign w:val="bottom"/>
          </w:tcPr>
          <w:p>
            <w:pPr>
              <w:ind w:left="680"/>
              <w:spacing w:after="0"/>
              <w:rPr>
                <w:sz w:val="20"/>
                <w:szCs w:val="20"/>
                <w:color w:val="auto"/>
              </w:rPr>
            </w:pPr>
            <w:r>
              <w:rPr>
                <w:rFonts w:ascii="Arial" w:cs="Arial" w:eastAsia="Arial" w:hAnsi="Arial"/>
                <w:sz w:val="18"/>
                <w:szCs w:val="18"/>
                <w:color w:val="auto"/>
              </w:rPr>
              <w:t>Deferred income tax assets</w:t>
            </w:r>
          </w:p>
        </w:tc>
        <w:tc>
          <w:tcPr>
            <w:tcW w:w="10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678</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29"/>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Lease right-of-use assets, net</w:t>
            </w:r>
          </w:p>
        </w:tc>
        <w:tc>
          <w:tcPr>
            <w:tcW w:w="10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18,424</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assets and receivables</w:t>
            </w:r>
          </w:p>
        </w:tc>
        <w:tc>
          <w:tcPr>
            <w:tcW w:w="10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w:t>
            </w:r>
          </w:p>
        </w:tc>
      </w:tr>
      <w:tr>
        <w:trPr>
          <w:trHeight w:val="248"/>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1,298,126</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9"/>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760" w:type="dxa"/>
            <w:vAlign w:val="bottom"/>
          </w:tcPr>
          <w:p>
            <w:pPr>
              <w:ind w:left="680"/>
              <w:spacing w:after="0"/>
              <w:rPr>
                <w:sz w:val="20"/>
                <w:szCs w:val="20"/>
                <w:color w:val="auto"/>
              </w:rPr>
            </w:pPr>
            <w:r>
              <w:rPr>
                <w:rFonts w:ascii="Arial" w:cs="Arial" w:eastAsia="Arial" w:hAnsi="Arial"/>
                <w:sz w:val="18"/>
                <w:szCs w:val="18"/>
                <w:color w:val="auto"/>
              </w:rPr>
              <w:t>Accounts payable, accrued expenses and other liabilities</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9,395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10,370</w:t>
            </w:r>
          </w:p>
        </w:tc>
      </w:tr>
      <w:tr>
        <w:trPr>
          <w:trHeight w:val="230"/>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compensation and benefits</w:t>
            </w:r>
          </w:p>
        </w:tc>
        <w:tc>
          <w:tcPr>
            <w:tcW w:w="10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24,309</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w:t>
            </w:r>
          </w:p>
        </w:tc>
      </w:tr>
      <w:tr>
        <w:trPr>
          <w:trHeight w:val="229"/>
        </w:trPr>
        <w:tc>
          <w:tcPr>
            <w:tcW w:w="6760" w:type="dxa"/>
            <w:vAlign w:val="bottom"/>
          </w:tcPr>
          <w:p>
            <w:pPr>
              <w:ind w:left="680"/>
              <w:spacing w:after="0" w:line="230" w:lineRule="exact"/>
              <w:rPr>
                <w:sz w:val="20"/>
                <w:szCs w:val="20"/>
                <w:color w:val="auto"/>
              </w:rPr>
            </w:pPr>
            <w:r>
              <w:rPr>
                <w:rFonts w:ascii="Arial" w:cs="Arial" w:eastAsia="Arial" w:hAnsi="Arial"/>
                <w:sz w:val="18"/>
                <w:szCs w:val="18"/>
                <w:color w:val="auto"/>
              </w:rPr>
              <w:t>Legacy Greenspring accrued carried interest-related compensation</w:t>
            </w:r>
            <w:r>
              <w:rPr>
                <w:rFonts w:ascii="Arial" w:cs="Arial" w:eastAsia="Arial" w:hAnsi="Arial"/>
                <w:sz w:val="23"/>
                <w:szCs w:val="23"/>
                <w:color w:val="auto"/>
                <w:vertAlign w:val="superscript"/>
              </w:rPr>
              <w:t>(1)</w:t>
            </w:r>
          </w:p>
        </w:tc>
        <w:tc>
          <w:tcPr>
            <w:tcW w:w="10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989,607</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Due to affiliates</w:t>
            </w:r>
          </w:p>
        </w:tc>
        <w:tc>
          <w:tcPr>
            <w:tcW w:w="10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r>
      <w:tr>
        <w:trPr>
          <w:trHeight w:val="230"/>
        </w:trPr>
        <w:tc>
          <w:tcPr>
            <w:tcW w:w="67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Lease liabilities</w:t>
            </w:r>
          </w:p>
        </w:tc>
        <w:tc>
          <w:tcPr>
            <w:tcW w:w="10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18,536</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0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1,042,906</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680" w:hanging="652"/>
        <w:spacing w:after="0"/>
        <w:tabs>
          <w:tab w:leader="none" w:pos="68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amounts attributable to consolidated VIEs for which the Company did not acquire any direct economic interests. See notes 5 and 14 for more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87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Income (Loss)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w w:val="96"/>
              </w:rPr>
              <w:t>Six Months Ended September 30,</w:t>
            </w:r>
          </w:p>
        </w:tc>
        <w:tc>
          <w:tcPr>
            <w:tcW w:w="0" w:type="dxa"/>
            <w:vAlign w:val="bottom"/>
          </w:tcPr>
          <w:p>
            <w:pPr>
              <w:spacing w:after="0"/>
              <w:rPr>
                <w:sz w:val="1"/>
                <w:szCs w:val="1"/>
                <w:color w:val="auto"/>
              </w:rPr>
            </w:pPr>
          </w:p>
        </w:tc>
      </w:tr>
      <w:tr>
        <w:trPr>
          <w:trHeight w:val="187"/>
        </w:trPr>
        <w:tc>
          <w:tcPr>
            <w:tcW w:w="54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80" w:type="dxa"/>
            <w:vAlign w:val="bottom"/>
          </w:tcPr>
          <w:p>
            <w:pPr>
              <w:ind w:left="20"/>
              <w:spacing w:after="0"/>
              <w:rPr>
                <w:sz w:val="20"/>
                <w:szCs w:val="20"/>
                <w:color w:val="auto"/>
              </w:rPr>
            </w:pPr>
            <w:r>
              <w:rPr>
                <w:rFonts w:ascii="Arial" w:cs="Arial" w:eastAsia="Arial" w:hAnsi="Arial"/>
                <w:sz w:val="14"/>
                <w:szCs w:val="14"/>
                <w:color w:val="auto"/>
              </w:rPr>
              <w:t>Management and advisory fees, net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83,583</w:t>
            </w:r>
          </w:p>
        </w:tc>
        <w:tc>
          <w:tcPr>
            <w:tcW w:w="24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75,652</w:t>
            </w:r>
          </w:p>
        </w:tc>
        <w:tc>
          <w:tcPr>
            <w:tcW w:w="24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161,644</w:t>
            </w:r>
          </w:p>
        </w:tc>
        <w:tc>
          <w:tcPr>
            <w:tcW w:w="24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139,152</w:t>
            </w:r>
          </w:p>
        </w:tc>
        <w:tc>
          <w:tcPr>
            <w:tcW w:w="0" w:type="dxa"/>
            <w:vAlign w:val="bottom"/>
          </w:tcPr>
          <w:p>
            <w:pPr>
              <w:spacing w:after="0"/>
              <w:rPr>
                <w:sz w:val="1"/>
                <w:szCs w:val="1"/>
                <w:color w:val="auto"/>
              </w:rPr>
            </w:pPr>
          </w:p>
        </w:tc>
      </w:tr>
      <w:tr>
        <w:trPr>
          <w:trHeight w:val="192"/>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fees:</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80" w:type="dxa"/>
            <w:vAlign w:val="bottom"/>
          </w:tcPr>
          <w:p>
            <w:pPr>
              <w:ind w:left="360"/>
              <w:spacing w:after="0"/>
              <w:rPr>
                <w:sz w:val="20"/>
                <w:szCs w:val="20"/>
                <w:color w:val="auto"/>
              </w:rPr>
            </w:pPr>
            <w:r>
              <w:rPr>
                <w:rFonts w:ascii="Arial" w:cs="Arial" w:eastAsia="Arial" w:hAnsi="Arial"/>
                <w:sz w:val="14"/>
                <w:szCs w:val="14"/>
                <w:color w:val="auto"/>
              </w:rPr>
              <w:t>Incentive fees</w:t>
            </w:r>
          </w:p>
        </w:tc>
        <w:tc>
          <w:tcPr>
            <w:tcW w:w="2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1,796</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1,196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5,978</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4,785</w:t>
            </w:r>
          </w:p>
        </w:tc>
        <w:tc>
          <w:tcPr>
            <w:tcW w:w="0" w:type="dxa"/>
            <w:vAlign w:val="bottom"/>
          </w:tcPr>
          <w:p>
            <w:pPr>
              <w:spacing w:after="0"/>
              <w:rPr>
                <w:sz w:val="1"/>
                <w:szCs w:val="1"/>
                <w:color w:val="auto"/>
              </w:rPr>
            </w:pPr>
          </w:p>
        </w:tc>
      </w:tr>
      <w:tr>
        <w:trPr>
          <w:trHeight w:val="192"/>
        </w:trPr>
        <w:tc>
          <w:tcPr>
            <w:tcW w:w="5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Carried interest allocations:</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80" w:type="dxa"/>
            <w:vAlign w:val="bottom"/>
          </w:tcPr>
          <w:p>
            <w:pPr>
              <w:ind w:left="720"/>
              <w:spacing w:after="0"/>
              <w:rPr>
                <w:sz w:val="20"/>
                <w:szCs w:val="20"/>
                <w:color w:val="auto"/>
              </w:rPr>
            </w:pPr>
            <w:r>
              <w:rPr>
                <w:rFonts w:ascii="Arial" w:cs="Arial" w:eastAsia="Arial" w:hAnsi="Arial"/>
                <w:sz w:val="14"/>
                <w:szCs w:val="14"/>
                <w:color w:val="auto"/>
              </w:rPr>
              <w:t>Realized</w:t>
            </w:r>
          </w:p>
        </w:tc>
        <w:tc>
          <w:tcPr>
            <w:tcW w:w="2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52,531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8,556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102,494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12,194</w:t>
            </w:r>
          </w:p>
        </w:tc>
        <w:tc>
          <w:tcPr>
            <w:tcW w:w="0" w:type="dxa"/>
            <w:vAlign w:val="bottom"/>
          </w:tcPr>
          <w:p>
            <w:pPr>
              <w:spacing w:after="0"/>
              <w:rPr>
                <w:sz w:val="1"/>
                <w:szCs w:val="1"/>
                <w:color w:val="auto"/>
              </w:rPr>
            </w:pPr>
          </w:p>
        </w:tc>
      </w:tr>
      <w:tr>
        <w:trPr>
          <w:trHeight w:val="192"/>
        </w:trPr>
        <w:tc>
          <w:tcPr>
            <w:tcW w:w="54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Unrealized</w:t>
            </w: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143,855</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157,509</w:t>
            </w:r>
          </w:p>
        </w:tc>
        <w:tc>
          <w:tcPr>
            <w:tcW w:w="2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320,254</w:t>
            </w:r>
          </w:p>
        </w:tc>
        <w:tc>
          <w:tcPr>
            <w:tcW w:w="2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25,369</w:t>
            </w:r>
          </w:p>
        </w:tc>
        <w:tc>
          <w:tcPr>
            <w:tcW w:w="0" w:type="dxa"/>
            <w:vAlign w:val="bottom"/>
          </w:tcPr>
          <w:p>
            <w:pPr>
              <w:spacing w:after="0"/>
              <w:rPr>
                <w:sz w:val="1"/>
                <w:szCs w:val="1"/>
                <w:color w:val="auto"/>
              </w:rPr>
            </w:pPr>
          </w:p>
        </w:tc>
      </w:tr>
      <w:tr>
        <w:trPr>
          <w:trHeight w:val="179"/>
        </w:trPr>
        <w:tc>
          <w:tcPr>
            <w:tcW w:w="5480" w:type="dxa"/>
            <w:vAlign w:val="bottom"/>
          </w:tcPr>
          <w:p>
            <w:pPr>
              <w:ind w:left="360"/>
              <w:spacing w:after="0"/>
              <w:rPr>
                <w:sz w:val="20"/>
                <w:szCs w:val="20"/>
                <w:color w:val="auto"/>
              </w:rPr>
            </w:pPr>
            <w:r>
              <w:rPr>
                <w:rFonts w:ascii="Arial" w:cs="Arial" w:eastAsia="Arial" w:hAnsi="Arial"/>
                <w:sz w:val="14"/>
                <w:szCs w:val="14"/>
                <w:color w:val="auto"/>
              </w:rPr>
              <w:t>Total carried interest allocations</w:t>
            </w:r>
          </w:p>
        </w:tc>
        <w:tc>
          <w:tcPr>
            <w:tcW w:w="22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196,386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166,065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422,748</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37,563</w:t>
            </w:r>
          </w:p>
        </w:tc>
        <w:tc>
          <w:tcPr>
            <w:tcW w:w="0" w:type="dxa"/>
            <w:vAlign w:val="bottom"/>
          </w:tcPr>
          <w:p>
            <w:pPr>
              <w:spacing w:after="0"/>
              <w:rPr>
                <w:sz w:val="1"/>
                <w:szCs w:val="1"/>
                <w:color w:val="auto"/>
              </w:rPr>
            </w:pPr>
          </w:p>
        </w:tc>
      </w:tr>
      <w:tr>
        <w:trPr>
          <w:trHeight w:val="192"/>
        </w:trPr>
        <w:tc>
          <w:tcPr>
            <w:tcW w:w="5480" w:type="dxa"/>
            <w:vAlign w:val="bottom"/>
            <w:shd w:val="clear" w:color="auto" w:fill="CCEEFF"/>
          </w:tcPr>
          <w:p>
            <w:pPr>
              <w:ind w:left="360"/>
              <w:spacing w:after="0" w:line="193" w:lineRule="exact"/>
              <w:rPr>
                <w:sz w:val="20"/>
                <w:szCs w:val="20"/>
                <w:color w:val="auto"/>
              </w:rPr>
            </w:pPr>
            <w:r>
              <w:rPr>
                <w:rFonts w:ascii="Arial" w:cs="Arial" w:eastAsia="Arial" w:hAnsi="Arial"/>
                <w:sz w:val="14"/>
                <w:szCs w:val="14"/>
                <w:color w:val="auto"/>
              </w:rPr>
              <w:t>Legacy Greenspring carried interest allocations</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revenues</w:t>
            </w:r>
          </w:p>
        </w:tc>
        <w:tc>
          <w:tcPr>
            <w:tcW w:w="2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281,765</w:t>
            </w:r>
          </w:p>
        </w:tc>
        <w:tc>
          <w:tcPr>
            <w:tcW w:w="2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242,913</w:t>
            </w:r>
          </w:p>
        </w:tc>
        <w:tc>
          <w:tcPr>
            <w:tcW w:w="2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590,370</w:t>
            </w:r>
          </w:p>
        </w:tc>
        <w:tc>
          <w:tcPr>
            <w:tcW w:w="24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181,500</w:t>
            </w:r>
          </w:p>
        </w:tc>
        <w:tc>
          <w:tcPr>
            <w:tcW w:w="0" w:type="dxa"/>
            <w:vAlign w:val="bottom"/>
          </w:tcPr>
          <w:p>
            <w:pPr>
              <w:spacing w:after="0"/>
              <w:rPr>
                <w:sz w:val="1"/>
                <w:szCs w:val="1"/>
                <w:color w:val="auto"/>
              </w:rPr>
            </w:pPr>
          </w:p>
        </w:tc>
      </w:tr>
      <w:tr>
        <w:trPr>
          <w:trHeight w:val="172"/>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80" w:type="dxa"/>
            <w:vAlign w:val="bottom"/>
          </w:tcPr>
          <w:p>
            <w:pPr>
              <w:ind w:left="20"/>
              <w:spacing w:after="0"/>
              <w:rPr>
                <w:sz w:val="20"/>
                <w:szCs w:val="20"/>
                <w:color w:val="auto"/>
              </w:rPr>
            </w:pPr>
            <w:r>
              <w:rPr>
                <w:rFonts w:ascii="Arial" w:cs="Arial" w:eastAsia="Arial" w:hAnsi="Arial"/>
                <w:sz w:val="14"/>
                <w:szCs w:val="14"/>
                <w:color w:val="auto"/>
              </w:rPr>
              <w:t>Compensation and benefits: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Cash-based compensation</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43,881</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37,473</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86,552</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77,126</w:t>
            </w:r>
          </w:p>
        </w:tc>
        <w:tc>
          <w:tcPr>
            <w:tcW w:w="0" w:type="dxa"/>
            <w:vAlign w:val="bottom"/>
          </w:tcPr>
          <w:p>
            <w:pPr>
              <w:spacing w:after="0"/>
              <w:rPr>
                <w:sz w:val="1"/>
                <w:szCs w:val="1"/>
                <w:color w:val="auto"/>
              </w:rPr>
            </w:pPr>
          </w:p>
        </w:tc>
      </w:tr>
      <w:tr>
        <w:trPr>
          <w:trHeight w:val="186"/>
        </w:trPr>
        <w:tc>
          <w:tcPr>
            <w:tcW w:w="5480" w:type="dxa"/>
            <w:vAlign w:val="bottom"/>
          </w:tcPr>
          <w:p>
            <w:pPr>
              <w:ind w:left="400"/>
              <w:spacing w:after="0"/>
              <w:rPr>
                <w:sz w:val="20"/>
                <w:szCs w:val="20"/>
                <w:color w:val="auto"/>
              </w:rPr>
            </w:pPr>
            <w:r>
              <w:rPr>
                <w:rFonts w:ascii="Arial" w:cs="Arial" w:eastAsia="Arial" w:hAnsi="Arial"/>
                <w:sz w:val="14"/>
                <w:szCs w:val="14"/>
                <w:color w:val="auto"/>
              </w:rPr>
              <w:t>Equity-based compensation</w:t>
            </w:r>
          </w:p>
        </w:tc>
        <w:tc>
          <w:tcPr>
            <w:tcW w:w="2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3,213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952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6,956</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1,435</w:t>
            </w:r>
          </w:p>
        </w:tc>
        <w:tc>
          <w:tcPr>
            <w:tcW w:w="0" w:type="dxa"/>
            <w:vAlign w:val="bottom"/>
          </w:tcPr>
          <w:p>
            <w:pPr>
              <w:spacing w:after="0"/>
              <w:rPr>
                <w:sz w:val="1"/>
                <w:szCs w:val="1"/>
                <w:color w:val="auto"/>
              </w:rPr>
            </w:pPr>
          </w:p>
        </w:tc>
      </w:tr>
      <w:tr>
        <w:trPr>
          <w:trHeight w:val="192"/>
        </w:trPr>
        <w:tc>
          <w:tcPr>
            <w:tcW w:w="54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Performance fee-related compensation:</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80" w:type="dxa"/>
            <w:vAlign w:val="bottom"/>
          </w:tcPr>
          <w:p>
            <w:pPr>
              <w:ind w:left="780"/>
              <w:spacing w:after="0"/>
              <w:rPr>
                <w:sz w:val="20"/>
                <w:szCs w:val="20"/>
                <w:color w:val="auto"/>
              </w:rPr>
            </w:pPr>
            <w:r>
              <w:rPr>
                <w:rFonts w:ascii="Arial" w:cs="Arial" w:eastAsia="Arial" w:hAnsi="Arial"/>
                <w:sz w:val="14"/>
                <w:szCs w:val="14"/>
                <w:color w:val="auto"/>
              </w:rPr>
              <w:t>Realized</w:t>
            </w:r>
          </w:p>
        </w:tc>
        <w:tc>
          <w:tcPr>
            <w:tcW w:w="2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26,781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4,811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52,089</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7,711</w:t>
            </w:r>
          </w:p>
        </w:tc>
        <w:tc>
          <w:tcPr>
            <w:tcW w:w="0" w:type="dxa"/>
            <w:vAlign w:val="bottom"/>
          </w:tcPr>
          <w:p>
            <w:pPr>
              <w:spacing w:after="0"/>
              <w:rPr>
                <w:sz w:val="1"/>
                <w:szCs w:val="1"/>
                <w:color w:val="auto"/>
              </w:rPr>
            </w:pPr>
          </w:p>
        </w:tc>
      </w:tr>
      <w:tr>
        <w:trPr>
          <w:trHeight w:val="192"/>
        </w:trPr>
        <w:tc>
          <w:tcPr>
            <w:tcW w:w="5480" w:type="dxa"/>
            <w:vAlign w:val="bottom"/>
            <w:shd w:val="clear" w:color="auto" w:fill="CCEEFF"/>
          </w:tcPr>
          <w:p>
            <w:pPr>
              <w:ind w:left="780"/>
              <w:spacing w:after="0"/>
              <w:rPr>
                <w:sz w:val="20"/>
                <w:szCs w:val="20"/>
                <w:color w:val="auto"/>
              </w:rPr>
            </w:pPr>
            <w:r>
              <w:rPr>
                <w:rFonts w:ascii="Arial" w:cs="Arial" w:eastAsia="Arial" w:hAnsi="Arial"/>
                <w:sz w:val="14"/>
                <w:szCs w:val="14"/>
                <w:color w:val="auto"/>
              </w:rPr>
              <w:t>Unrealized</w:t>
            </w: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74,206</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78,533</w:t>
            </w:r>
          </w:p>
        </w:tc>
        <w:tc>
          <w:tcPr>
            <w:tcW w:w="2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159,778</w:t>
            </w:r>
          </w:p>
        </w:tc>
        <w:tc>
          <w:tcPr>
            <w:tcW w:w="2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9,858</w:t>
            </w:r>
          </w:p>
        </w:tc>
        <w:tc>
          <w:tcPr>
            <w:tcW w:w="0" w:type="dxa"/>
            <w:vAlign w:val="bottom"/>
          </w:tcPr>
          <w:p>
            <w:pPr>
              <w:spacing w:after="0"/>
              <w:rPr>
                <w:sz w:val="1"/>
                <w:szCs w:val="1"/>
                <w:color w:val="auto"/>
              </w:rPr>
            </w:pPr>
          </w:p>
        </w:tc>
      </w:tr>
      <w:tr>
        <w:trPr>
          <w:trHeight w:val="179"/>
        </w:trPr>
        <w:tc>
          <w:tcPr>
            <w:tcW w:w="5480" w:type="dxa"/>
            <w:vAlign w:val="bottom"/>
          </w:tcPr>
          <w:p>
            <w:pPr>
              <w:ind w:left="400"/>
              <w:spacing w:after="0"/>
              <w:rPr>
                <w:sz w:val="20"/>
                <w:szCs w:val="20"/>
                <w:color w:val="auto"/>
              </w:rPr>
            </w:pPr>
            <w:r>
              <w:rPr>
                <w:rFonts w:ascii="Arial" w:cs="Arial" w:eastAsia="Arial" w:hAnsi="Arial"/>
                <w:sz w:val="14"/>
                <w:szCs w:val="14"/>
                <w:color w:val="auto"/>
              </w:rPr>
              <w:t>Total performance fee-related compensation</w:t>
            </w:r>
          </w:p>
        </w:tc>
        <w:tc>
          <w:tcPr>
            <w:tcW w:w="22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100,987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83,344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211,867</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17,569</w:t>
            </w:r>
          </w:p>
        </w:tc>
        <w:tc>
          <w:tcPr>
            <w:tcW w:w="0" w:type="dxa"/>
            <w:vAlign w:val="bottom"/>
          </w:tcPr>
          <w:p>
            <w:pPr>
              <w:spacing w:after="0"/>
              <w:rPr>
                <w:sz w:val="1"/>
                <w:szCs w:val="1"/>
                <w:color w:val="auto"/>
              </w:rPr>
            </w:pPr>
          </w:p>
        </w:tc>
      </w:tr>
      <w:tr>
        <w:trPr>
          <w:trHeight w:val="192"/>
        </w:trPr>
        <w:tc>
          <w:tcPr>
            <w:tcW w:w="5480" w:type="dxa"/>
            <w:vAlign w:val="bottom"/>
            <w:shd w:val="clear" w:color="auto" w:fill="CCEEFF"/>
          </w:tcPr>
          <w:p>
            <w:pPr>
              <w:ind w:left="400"/>
              <w:spacing w:after="0" w:line="193" w:lineRule="exact"/>
              <w:rPr>
                <w:sz w:val="20"/>
                <w:szCs w:val="20"/>
                <w:color w:val="auto"/>
              </w:rPr>
            </w:pPr>
            <w:r>
              <w:rPr>
                <w:rFonts w:ascii="Arial" w:cs="Arial" w:eastAsia="Arial" w:hAnsi="Arial"/>
                <w:sz w:val="14"/>
                <w:szCs w:val="14"/>
                <w:color w:val="auto"/>
              </w:rPr>
              <w:t>Legacy Greenspring performance fee-related compensation</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5480" w:type="dxa"/>
            <w:vAlign w:val="bottom"/>
          </w:tcPr>
          <w:p>
            <w:pPr>
              <w:ind w:left="20"/>
              <w:spacing w:after="0"/>
              <w:rPr>
                <w:sz w:val="20"/>
                <w:szCs w:val="20"/>
                <w:color w:val="auto"/>
              </w:rPr>
            </w:pPr>
            <w:r>
              <w:rPr>
                <w:rFonts w:ascii="Arial" w:cs="Arial" w:eastAsia="Arial" w:hAnsi="Arial"/>
                <w:sz w:val="14"/>
                <w:szCs w:val="14"/>
                <w:color w:val="auto"/>
              </w:rPr>
              <w:t>Total compensation and benefits</w:t>
            </w: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148,081</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121,769</w:t>
            </w: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305,375</w:t>
            </w:r>
          </w:p>
        </w:tc>
        <w:tc>
          <w:tcPr>
            <w:tcW w:w="2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96,130</w:t>
            </w:r>
          </w:p>
        </w:tc>
        <w:tc>
          <w:tcPr>
            <w:tcW w:w="0" w:type="dxa"/>
            <w:vAlign w:val="bottom"/>
          </w:tcPr>
          <w:p>
            <w:pPr>
              <w:spacing w:after="0"/>
              <w:rPr>
                <w:sz w:val="1"/>
                <w:szCs w:val="1"/>
                <w:color w:val="auto"/>
              </w:rPr>
            </w:pPr>
          </w:p>
        </w:tc>
      </w:tr>
      <w:tr>
        <w:trPr>
          <w:trHeight w:val="192"/>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w:t>
            </w: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25,320</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11,356</w:t>
            </w:r>
          </w:p>
        </w:tc>
        <w:tc>
          <w:tcPr>
            <w:tcW w:w="2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41,750</w:t>
            </w:r>
          </w:p>
        </w:tc>
        <w:tc>
          <w:tcPr>
            <w:tcW w:w="2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21,863</w:t>
            </w:r>
          </w:p>
        </w:tc>
        <w:tc>
          <w:tcPr>
            <w:tcW w:w="0" w:type="dxa"/>
            <w:vAlign w:val="bottom"/>
          </w:tcPr>
          <w:p>
            <w:pPr>
              <w:spacing w:after="0"/>
              <w:rPr>
                <w:sz w:val="1"/>
                <w:szCs w:val="1"/>
                <w:color w:val="auto"/>
              </w:rPr>
            </w:pPr>
          </w:p>
        </w:tc>
      </w:tr>
      <w:tr>
        <w:trPr>
          <w:trHeight w:val="179"/>
        </w:trPr>
        <w:tc>
          <w:tcPr>
            <w:tcW w:w="548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Total expenses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173,401</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133,125</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347,125</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117,993</w:t>
            </w:r>
          </w:p>
        </w:tc>
        <w:tc>
          <w:tcPr>
            <w:tcW w:w="0" w:type="dxa"/>
            <w:vAlign w:val="bottom"/>
          </w:tcPr>
          <w:p>
            <w:pPr>
              <w:spacing w:after="0"/>
              <w:rPr>
                <w:sz w:val="1"/>
                <w:szCs w:val="1"/>
                <w:color w:val="auto"/>
              </w:rPr>
            </w:pPr>
          </w:p>
        </w:tc>
      </w:tr>
      <w:tr>
        <w:trPr>
          <w:trHeight w:val="172"/>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80" w:type="dxa"/>
            <w:vAlign w:val="bottom"/>
          </w:tcPr>
          <w:p>
            <w:pPr>
              <w:ind w:left="20"/>
              <w:spacing w:after="0"/>
              <w:rPr>
                <w:sz w:val="20"/>
                <w:szCs w:val="20"/>
                <w:color w:val="auto"/>
              </w:rPr>
            </w:pPr>
            <w:r>
              <w:rPr>
                <w:rFonts w:ascii="Arial" w:cs="Arial" w:eastAsia="Arial" w:hAnsi="Arial"/>
                <w:sz w:val="14"/>
                <w:szCs w:val="14"/>
                <w:color w:val="auto"/>
              </w:rPr>
              <w:t>Investment income</w:t>
            </w:r>
          </w:p>
        </w:tc>
        <w:tc>
          <w:tcPr>
            <w:tcW w:w="2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7,187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4,325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13,611</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1,147</w:t>
            </w:r>
          </w:p>
        </w:tc>
        <w:tc>
          <w:tcPr>
            <w:tcW w:w="0" w:type="dxa"/>
            <w:vAlign w:val="bottom"/>
          </w:tcPr>
          <w:p>
            <w:pPr>
              <w:spacing w:after="0"/>
              <w:rPr>
                <w:sz w:val="1"/>
                <w:szCs w:val="1"/>
                <w:color w:val="auto"/>
              </w:rPr>
            </w:pPr>
          </w:p>
        </w:tc>
      </w:tr>
      <w:tr>
        <w:trPr>
          <w:trHeight w:val="192"/>
        </w:trPr>
        <w:tc>
          <w:tcPr>
            <w:tcW w:w="548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Legacy Greenspring investment income</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4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206</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286</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92"/>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(5,270)</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(7,327)</w:t>
            </w:r>
          </w:p>
        </w:tc>
        <w:tc>
          <w:tcPr>
            <w:tcW w:w="0" w:type="dxa"/>
            <w:vAlign w:val="bottom"/>
          </w:tcPr>
          <w:p>
            <w:pPr>
              <w:spacing w:after="0"/>
              <w:rPr>
                <w:sz w:val="1"/>
                <w:szCs w:val="1"/>
                <w:color w:val="auto"/>
              </w:rPr>
            </w:pPr>
          </w:p>
        </w:tc>
      </w:tr>
      <w:tr>
        <w:trPr>
          <w:trHeight w:val="186"/>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(loss)</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(1,952)</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242</w:t>
            </w: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(2,389)</w:t>
            </w: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86"/>
        </w:trPr>
        <w:tc>
          <w:tcPr>
            <w:tcW w:w="54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Total other income (expense)</w:t>
            </w: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5,353</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2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11,414</w:t>
            </w:r>
          </w:p>
        </w:tc>
        <w:tc>
          <w:tcPr>
            <w:tcW w:w="2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(5,459)</w:t>
            </w:r>
          </w:p>
        </w:tc>
        <w:tc>
          <w:tcPr>
            <w:tcW w:w="0" w:type="dxa"/>
            <w:vAlign w:val="bottom"/>
          </w:tcPr>
          <w:p>
            <w:pPr>
              <w:spacing w:after="0"/>
              <w:rPr>
                <w:sz w:val="1"/>
                <w:szCs w:val="1"/>
                <w:color w:val="auto"/>
              </w:rPr>
            </w:pPr>
          </w:p>
        </w:tc>
      </w:tr>
      <w:tr>
        <w:trPr>
          <w:trHeight w:val="179"/>
        </w:trPr>
        <w:tc>
          <w:tcPr>
            <w:tcW w:w="5480" w:type="dxa"/>
            <w:vAlign w:val="bottom"/>
          </w:tcPr>
          <w:p>
            <w:pPr>
              <w:ind w:left="20"/>
              <w:spacing w:after="0"/>
              <w:rPr>
                <w:sz w:val="20"/>
                <w:szCs w:val="20"/>
                <w:color w:val="auto"/>
              </w:rPr>
            </w:pPr>
            <w:r>
              <w:rPr>
                <w:rFonts w:ascii="Arial" w:cs="Arial" w:eastAsia="Arial" w:hAnsi="Arial"/>
                <w:sz w:val="14"/>
                <w:szCs w:val="14"/>
                <w:color w:val="auto"/>
              </w:rPr>
              <w:t>Income before income tax</w:t>
            </w:r>
          </w:p>
        </w:tc>
        <w:tc>
          <w:tcPr>
            <w:tcW w:w="22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113,717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109,250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254,659</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58,048</w:t>
            </w:r>
          </w:p>
        </w:tc>
        <w:tc>
          <w:tcPr>
            <w:tcW w:w="0" w:type="dxa"/>
            <w:vAlign w:val="bottom"/>
          </w:tcPr>
          <w:p>
            <w:pPr>
              <w:spacing w:after="0"/>
              <w:rPr>
                <w:sz w:val="1"/>
                <w:szCs w:val="1"/>
                <w:color w:val="auto"/>
              </w:rPr>
            </w:pPr>
          </w:p>
        </w:tc>
      </w:tr>
      <w:tr>
        <w:trPr>
          <w:trHeight w:val="192"/>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(14,145)</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881</w:t>
            </w:r>
          </w:p>
        </w:tc>
        <w:tc>
          <w:tcPr>
            <w:tcW w:w="2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2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179"/>
        </w:trPr>
        <w:tc>
          <w:tcPr>
            <w:tcW w:w="54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127,862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108,369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254,381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56,009</w:t>
            </w:r>
          </w:p>
        </w:tc>
        <w:tc>
          <w:tcPr>
            <w:tcW w:w="0" w:type="dxa"/>
            <w:vAlign w:val="bottom"/>
          </w:tcPr>
          <w:p>
            <w:pPr>
              <w:spacing w:after="0"/>
              <w:rPr>
                <w:sz w:val="1"/>
                <w:szCs w:val="1"/>
                <w:color w:val="auto"/>
              </w:rPr>
            </w:pPr>
          </w:p>
        </w:tc>
      </w:tr>
      <w:tr>
        <w:trPr>
          <w:trHeight w:val="192"/>
        </w:trPr>
        <w:tc>
          <w:tcPr>
            <w:tcW w:w="54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Less: Net income attributable to non-controlling interests in subsidiaries</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6,032</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9,045</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11,646</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13,138</w:t>
            </w:r>
          </w:p>
        </w:tc>
        <w:tc>
          <w:tcPr>
            <w:tcW w:w="0" w:type="dxa"/>
            <w:vAlign w:val="bottom"/>
          </w:tcPr>
          <w:p>
            <w:pPr>
              <w:spacing w:after="0"/>
              <w:rPr>
                <w:sz w:val="1"/>
                <w:szCs w:val="1"/>
                <w:color w:val="auto"/>
              </w:rPr>
            </w:pPr>
          </w:p>
        </w:tc>
      </w:tr>
      <w:tr>
        <w:trPr>
          <w:trHeight w:val="135"/>
        </w:trPr>
        <w:tc>
          <w:tcPr>
            <w:tcW w:w="5480" w:type="dxa"/>
            <w:vAlign w:val="bottom"/>
          </w:tcPr>
          <w:p>
            <w:pPr>
              <w:ind w:left="400"/>
              <w:spacing w:after="0" w:line="135" w:lineRule="exact"/>
              <w:rPr>
                <w:sz w:val="20"/>
                <w:szCs w:val="20"/>
                <w:color w:val="auto"/>
              </w:rPr>
            </w:pPr>
            <w:r>
              <w:rPr>
                <w:rFonts w:ascii="Arial" w:cs="Arial" w:eastAsia="Arial" w:hAnsi="Arial"/>
                <w:sz w:val="14"/>
                <w:szCs w:val="14"/>
                <w:color w:val="auto"/>
              </w:rPr>
              <w:t>Less: Net income attributable to non-controlling interests in legacy Greenspring</w:t>
            </w:r>
          </w:p>
        </w:tc>
        <w:tc>
          <w:tcPr>
            <w:tcW w:w="220" w:type="dxa"/>
            <w:vAlign w:val="bottom"/>
          </w:tcPr>
          <w:p>
            <w:pPr>
              <w:spacing w:after="0"/>
              <w:rPr>
                <w:sz w:val="11"/>
                <w:szCs w:val="11"/>
                <w:color w:val="auto"/>
              </w:rPr>
            </w:pPr>
          </w:p>
        </w:tc>
        <w:tc>
          <w:tcPr>
            <w:tcW w:w="136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24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26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480" w:type="dxa"/>
            <w:vAlign w:val="bottom"/>
          </w:tcPr>
          <w:p>
            <w:pPr>
              <w:ind w:left="560"/>
              <w:spacing w:after="0" w:line="189" w:lineRule="exact"/>
              <w:rPr>
                <w:sz w:val="20"/>
                <w:szCs w:val="20"/>
                <w:color w:val="auto"/>
              </w:rPr>
            </w:pPr>
            <w:r>
              <w:rPr>
                <w:rFonts w:ascii="Arial" w:cs="Arial" w:eastAsia="Arial" w:hAnsi="Arial"/>
                <w:sz w:val="14"/>
                <w:szCs w:val="14"/>
                <w:color w:val="auto"/>
              </w:rPr>
              <w:t>entities</w:t>
            </w:r>
            <w:r>
              <w:rPr>
                <w:rFonts w:ascii="Arial" w:cs="Arial" w:eastAsia="Arial" w:hAnsi="Arial"/>
                <w:sz w:val="18"/>
                <w:szCs w:val="18"/>
                <w:color w:val="auto"/>
                <w:vertAlign w:val="superscript"/>
              </w:rPr>
              <w:t>(1)</w:t>
            </w: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Less: Net income attributable to non-controlling interests in the Partnership</w:t>
            </w: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59,756</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100,114</w:t>
            </w:r>
          </w:p>
        </w:tc>
        <w:tc>
          <w:tcPr>
            <w:tcW w:w="2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139,011</w:t>
            </w:r>
          </w:p>
        </w:tc>
        <w:tc>
          <w:tcPr>
            <w:tcW w:w="2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43,661</w:t>
            </w:r>
          </w:p>
        </w:tc>
        <w:tc>
          <w:tcPr>
            <w:tcW w:w="0" w:type="dxa"/>
            <w:vAlign w:val="bottom"/>
          </w:tcPr>
          <w:p>
            <w:pPr>
              <w:spacing w:after="0"/>
              <w:rPr>
                <w:sz w:val="1"/>
                <w:szCs w:val="1"/>
                <w:color w:val="auto"/>
              </w:rPr>
            </w:pPr>
          </w:p>
        </w:tc>
      </w:tr>
      <w:tr>
        <w:trPr>
          <w:trHeight w:val="186"/>
        </w:trPr>
        <w:tc>
          <w:tcPr>
            <w:tcW w:w="5480" w:type="dxa"/>
            <w:vAlign w:val="bottom"/>
          </w:tcPr>
          <w:p>
            <w:pPr>
              <w:ind w:left="20"/>
              <w:spacing w:after="0"/>
              <w:rPr>
                <w:sz w:val="20"/>
                <w:szCs w:val="20"/>
                <w:color w:val="auto"/>
              </w:rPr>
            </w:pPr>
            <w:r>
              <w:rPr>
                <w:rFonts w:ascii="Arial" w:cs="Arial" w:eastAsia="Arial" w:hAnsi="Arial"/>
                <w:sz w:val="14"/>
                <w:szCs w:val="14"/>
                <w:color w:val="auto"/>
              </w:rPr>
              <w:t>Net income (loss) attributable to StepStone Group Inc.</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62,074</w:t>
            </w:r>
          </w:p>
        </w:tc>
        <w:tc>
          <w:tcPr>
            <w:tcW w:w="24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(790)</w:t>
            </w:r>
          </w:p>
        </w:tc>
        <w:tc>
          <w:tcPr>
            <w:tcW w:w="24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103,724</w:t>
            </w:r>
          </w:p>
        </w:tc>
        <w:tc>
          <w:tcPr>
            <w:tcW w:w="24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Net income (loss) per share of Class A common stock:</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480" w:type="dxa"/>
            <w:vAlign w:val="bottom"/>
          </w:tcPr>
          <w:p>
            <w:pPr>
              <w:ind w:left="460"/>
              <w:spacing w:after="0"/>
              <w:rPr>
                <w:sz w:val="20"/>
                <w:szCs w:val="20"/>
                <w:color w:val="auto"/>
              </w:rPr>
            </w:pPr>
            <w:r>
              <w:rPr>
                <w:rFonts w:ascii="Arial" w:cs="Arial" w:eastAsia="Arial" w:hAnsi="Arial"/>
                <w:sz w:val="14"/>
                <w:szCs w:val="14"/>
                <w:color w:val="auto"/>
              </w:rPr>
              <w:t>Basic</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1.49</w:t>
            </w:r>
          </w:p>
        </w:tc>
        <w:tc>
          <w:tcPr>
            <w:tcW w:w="24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(0.03)</w:t>
            </w:r>
          </w:p>
        </w:tc>
        <w:tc>
          <w:tcPr>
            <w:tcW w:w="24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2.57</w:t>
            </w:r>
          </w:p>
        </w:tc>
        <w:tc>
          <w:tcPr>
            <w:tcW w:w="24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92"/>
        </w:trPr>
        <w:tc>
          <w:tcPr>
            <w:tcW w:w="54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Diluted</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86"/>
        </w:trPr>
        <w:tc>
          <w:tcPr>
            <w:tcW w:w="5480" w:type="dxa"/>
            <w:vAlign w:val="bottom"/>
          </w:tcPr>
          <w:p>
            <w:pPr>
              <w:ind w:left="20"/>
              <w:spacing w:after="0"/>
              <w:rPr>
                <w:sz w:val="20"/>
                <w:szCs w:val="20"/>
                <w:color w:val="auto"/>
              </w:rPr>
            </w:pPr>
            <w:r>
              <w:rPr>
                <w:rFonts w:ascii="Arial" w:cs="Arial" w:eastAsia="Arial" w:hAnsi="Arial"/>
                <w:sz w:val="14"/>
                <w:szCs w:val="14"/>
                <w:color w:val="auto"/>
              </w:rPr>
              <w:t>Weighted-average shares of Class A common stock:</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Basic</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41,745,492</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29,237,500</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40,401,379</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29,237,500</w:t>
            </w:r>
          </w:p>
        </w:tc>
        <w:tc>
          <w:tcPr>
            <w:tcW w:w="0" w:type="dxa"/>
            <w:vAlign w:val="bottom"/>
          </w:tcPr>
          <w:p>
            <w:pPr>
              <w:spacing w:after="0"/>
              <w:rPr>
                <w:sz w:val="1"/>
                <w:szCs w:val="1"/>
                <w:color w:val="auto"/>
              </w:rPr>
            </w:pPr>
          </w:p>
        </w:tc>
      </w:tr>
      <w:tr>
        <w:trPr>
          <w:trHeight w:val="182"/>
        </w:trPr>
        <w:tc>
          <w:tcPr>
            <w:tcW w:w="5480" w:type="dxa"/>
            <w:vAlign w:val="bottom"/>
          </w:tcPr>
          <w:p>
            <w:pPr>
              <w:ind w:left="460"/>
              <w:spacing w:after="0"/>
              <w:rPr>
                <w:sz w:val="20"/>
                <w:szCs w:val="20"/>
                <w:color w:val="auto"/>
              </w:rPr>
            </w:pPr>
            <w:r>
              <w:rPr>
                <w:rFonts w:ascii="Arial" w:cs="Arial" w:eastAsia="Arial" w:hAnsi="Arial"/>
                <w:sz w:val="14"/>
                <w:szCs w:val="14"/>
                <w:color w:val="auto"/>
              </w:rPr>
              <w:t>Diluted</w:t>
            </w:r>
          </w:p>
        </w:tc>
        <w:tc>
          <w:tcPr>
            <w:tcW w:w="22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45,908,361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29,237,500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44,405,055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29,237,500</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the net effect of gross realized gains and the reversal of such amounts in unrealized gains. See notes 3, 5 and 14 for more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Comprehensive Income (Loss)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1"/>
              </w:rPr>
              <w:t>Six Months Ended September 30,</w:t>
            </w:r>
          </w:p>
        </w:tc>
      </w:tr>
      <w:tr>
        <w:trPr>
          <w:trHeight w:val="210"/>
        </w:trPr>
        <w:tc>
          <w:tcPr>
            <w:tcW w:w="56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r>
      <w:tr>
        <w:trPr>
          <w:trHeight w:val="22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127,862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108,369</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254,381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56,009</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23"/>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before non-controlling interests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108,644</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254,772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56,546</w:t>
            </w: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560" w:hanging="161"/>
        <w:spacing w:after="0" w:line="234" w:lineRule="auto"/>
        <w:rPr>
          <w:sz w:val="20"/>
          <w:szCs w:val="20"/>
          <w:color w:val="auto"/>
        </w:rPr>
      </w:pPr>
      <w:r>
        <w:rPr>
          <w:rFonts w:ascii="Arial" w:cs="Arial" w:eastAsia="Arial" w:hAnsi="Arial"/>
          <w:sz w:val="18"/>
          <w:szCs w:val="18"/>
          <w:color w:val="auto"/>
        </w:rPr>
        <w:t>Less: Comprehensive income attributable to non-controlling interests in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560" w:hanging="161"/>
        <w:spacing w:after="0" w:line="234" w:lineRule="auto"/>
        <w:rPr>
          <w:sz w:val="20"/>
          <w:szCs w:val="20"/>
          <w:color w:val="auto"/>
        </w:rPr>
      </w:pPr>
      <w:r>
        <w:rPr>
          <w:rFonts w:ascii="Arial" w:cs="Arial" w:eastAsia="Arial" w:hAnsi="Arial"/>
          <w:sz w:val="18"/>
          <w:szCs w:val="18"/>
          <w:color w:val="auto"/>
        </w:rPr>
        <w:t>Less: Comprehensive income attributable to non-controlling interests in legacy Greenspring entities</w:t>
      </w:r>
    </w:p>
    <w:p>
      <w:pPr>
        <w:spacing w:after="0" w:line="1" w:lineRule="exact"/>
        <w:rPr>
          <w:sz w:val="20"/>
          <w:szCs w:val="20"/>
          <w:color w:val="auto"/>
        </w:rPr>
      </w:pPr>
    </w:p>
    <w:p>
      <w:pPr>
        <w:ind w:left="560" w:hanging="161"/>
        <w:spacing w:after="0" w:line="234" w:lineRule="auto"/>
        <w:rPr>
          <w:sz w:val="20"/>
          <w:szCs w:val="20"/>
          <w:color w:val="auto"/>
        </w:rPr>
      </w:pPr>
      <w:r>
        <w:rPr>
          <w:rFonts w:ascii="Arial" w:cs="Arial" w:eastAsia="Arial" w:hAnsi="Arial"/>
          <w:sz w:val="18"/>
          <w:szCs w:val="18"/>
          <w:color w:val="auto"/>
        </w:rPr>
        <w:t>Less: Comprehensive income attributable to non-controlling interests in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jc w:val="right"/>
              <w:ind w:right="370"/>
              <w:spacing w:after="0"/>
              <w:rPr>
                <w:sz w:val="20"/>
                <w:szCs w:val="20"/>
                <w:color w:val="auto"/>
              </w:rPr>
            </w:pPr>
            <w:r>
              <w:rPr>
                <w:rFonts w:ascii="Arial" w:cs="Arial" w:eastAsia="Arial" w:hAnsi="Arial"/>
                <w:sz w:val="18"/>
                <w:szCs w:val="18"/>
                <w:color w:val="auto"/>
              </w:rPr>
              <w:t>6,101</w:t>
            </w: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9,185</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11,842</w:t>
            </w:r>
          </w:p>
        </w:tc>
        <w:tc>
          <w:tcPr>
            <w:tcW w:w="960" w:type="dxa"/>
            <w:vAlign w:val="bottom"/>
          </w:tcPr>
          <w:p>
            <w:pPr>
              <w:jc w:val="right"/>
              <w:spacing w:after="0"/>
              <w:rPr>
                <w:sz w:val="20"/>
                <w:szCs w:val="20"/>
                <w:color w:val="auto"/>
              </w:rPr>
            </w:pPr>
            <w:r>
              <w:rPr>
                <w:rFonts w:ascii="Arial" w:cs="Arial" w:eastAsia="Arial" w:hAnsi="Arial"/>
                <w:sz w:val="18"/>
                <w:szCs w:val="18"/>
                <w:color w:val="auto"/>
              </w:rPr>
              <w:t>13,412</w:t>
            </w:r>
          </w:p>
        </w:tc>
      </w:tr>
      <w:tr>
        <w:trPr>
          <w:trHeight w:val="310"/>
        </w:trPr>
        <w:tc>
          <w:tcPr>
            <w:tcW w:w="9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5"/>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87"/>
              </w:rPr>
              <w:t>59,797</w:t>
            </w: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100,271</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139,124</w:t>
            </w:r>
          </w:p>
        </w:tc>
        <w:tc>
          <w:tcPr>
            <w:tcW w:w="960" w:type="dxa"/>
            <w:vAlign w:val="bottom"/>
          </w:tcPr>
          <w:p>
            <w:pPr>
              <w:jc w:val="right"/>
              <w:spacing w:after="0"/>
              <w:rPr>
                <w:sz w:val="20"/>
                <w:szCs w:val="20"/>
                <w:color w:val="auto"/>
              </w:rPr>
            </w:pPr>
            <w:r>
              <w:rPr>
                <w:rFonts w:ascii="Arial" w:cs="Arial" w:eastAsia="Arial" w:hAnsi="Arial"/>
                <w:sz w:val="18"/>
                <w:szCs w:val="18"/>
                <w:color w:val="auto"/>
              </w:rPr>
              <w:t>43,946</w:t>
            </w:r>
          </w:p>
        </w:tc>
      </w:tr>
    </w:tbl>
    <w:p>
      <w:pPr>
        <w:spacing w:after="0" w:line="107" w:lineRule="exact"/>
        <w:rPr>
          <w:sz w:val="20"/>
          <w:szCs w:val="20"/>
          <w:color w:val="auto"/>
        </w:rPr>
      </w:pPr>
    </w:p>
    <w:p>
      <w:pPr>
        <w:sectPr>
          <w:pgSz w:w="11900" w:h="16838" w:orient="portrait"/>
          <w:cols w:equalWidth="0" w:num="2">
            <w:col w:w="5580" w:space="700"/>
            <w:col w:w="4960"/>
          </w:cols>
          <w:pgMar w:left="320" w:top="118" w:right="339" w:bottom="1440" w:gutter="0" w:footer="0" w:header="0"/>
          <w:type w:val="continuous"/>
        </w:sectPr>
      </w:pPr>
    </w:p>
    <w:p>
      <w:pPr>
        <w:ind w:left="20"/>
        <w:spacing w:after="0"/>
        <w:tabs>
          <w:tab w:leader="none" w:pos="5600" w:val="left"/>
          <w:tab w:leader="none" w:pos="6260" w:val="left"/>
          <w:tab w:leader="none" w:pos="7100" w:val="left"/>
          <w:tab w:leader="none" w:pos="7920" w:val="left"/>
          <w:tab w:leader="none" w:pos="8600" w:val="left"/>
          <w:tab w:leader="none" w:pos="9120" w:val="left"/>
          <w:tab w:leader="none" w:pos="10040" w:val="left"/>
          <w:tab w:leader="none" w:pos="10800" w:val="left"/>
        </w:tabs>
        <w:rPr>
          <w:sz w:val="20"/>
          <w:szCs w:val="20"/>
          <w:color w:val="auto"/>
        </w:rPr>
      </w:pPr>
      <w:r>
        <w:rPr>
          <w:rFonts w:ascii="Arial" w:cs="Arial" w:eastAsia="Arial" w:hAnsi="Arial"/>
          <w:sz w:val="18"/>
          <w:szCs w:val="18"/>
          <w:color w:val="auto"/>
        </w:rPr>
        <w:t>Comprehensive income (loss) attributable to StepStone Group Inc.</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62,107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(812)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103,806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40640</wp:posOffset>
            </wp:positionV>
            <wp:extent cx="35833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8330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Condensed Consolidated Statements of Stockholders’ Equity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0"/>
              </w:rPr>
              <w:t>Non-Controlling</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Accumulated Other</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5"/>
              </w:rPr>
              <w:t>Interests in</w:t>
            </w: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8"/>
              </w:rPr>
              <w:t>Class A Common</w:t>
            </w:r>
          </w:p>
        </w:tc>
        <w:tc>
          <w:tcPr>
            <w:tcW w:w="9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w w:val="98"/>
              </w:rPr>
              <w:t>Class B Common</w:t>
            </w: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3"/>
              </w:rPr>
              <w:t>Additional Paid-</w:t>
            </w:r>
          </w:p>
        </w:tc>
        <w:tc>
          <w:tcPr>
            <w:tcW w:w="140" w:type="dxa"/>
            <w:vAlign w:val="bottom"/>
          </w:tcPr>
          <w:p>
            <w:pPr>
              <w:spacing w:after="0"/>
              <w:rPr>
                <w:sz w:val="9"/>
                <w:szCs w:val="9"/>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Retained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9"/>
              </w:rPr>
              <w:t>Legacy</w:t>
            </w:r>
          </w:p>
        </w:tc>
        <w:tc>
          <w:tcPr>
            <w:tcW w:w="9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9"/>
                <w:szCs w:val="9"/>
                <w:color w:val="auto"/>
              </w:rPr>
            </w:pPr>
          </w:p>
        </w:tc>
        <w:tc>
          <w:tcPr>
            <w:tcW w:w="86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8"/>
              </w:rPr>
              <w:t>Interests in</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8"/>
              </w:rPr>
              <w:t>Greenspring</w:t>
            </w: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6"/>
              </w:rPr>
              <w:t>Interests in the</w:t>
            </w: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40"/>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Stock</w:t>
            </w:r>
          </w:p>
        </w:tc>
        <w:tc>
          <w:tcPr>
            <w:tcW w:w="18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Stock</w:t>
            </w:r>
          </w:p>
        </w:tc>
        <w:tc>
          <w:tcPr>
            <w:tcW w:w="14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in Capital</w:t>
            </w:r>
          </w:p>
        </w:tc>
        <w:tc>
          <w:tcPr>
            <w:tcW w:w="14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Earnings</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Income</w:t>
            </w:r>
          </w:p>
        </w:tc>
        <w:tc>
          <w:tcPr>
            <w:tcW w:w="10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Subsidiaries</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Entities</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Partnership</w:t>
            </w:r>
          </w:p>
        </w:tc>
        <w:tc>
          <w:tcPr>
            <w:tcW w:w="100" w:type="dxa"/>
            <w:vAlign w:val="bottom"/>
          </w:tcPr>
          <w:p>
            <w:pPr>
              <w:spacing w:after="0"/>
              <w:rPr>
                <w:sz w:val="12"/>
                <w:szCs w:val="12"/>
                <w:color w:val="auto"/>
              </w:rPr>
            </w:pPr>
          </w:p>
        </w:tc>
        <w:tc>
          <w:tcPr>
            <w:tcW w:w="800" w:type="dxa"/>
            <w:vAlign w:val="bottom"/>
          </w:tcPr>
          <w:p>
            <w:pPr>
              <w:jc w:val="center"/>
              <w:ind w:right="46"/>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22"/>
        </w:trPr>
        <w:tc>
          <w:tcPr>
            <w:tcW w:w="2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June 30, 2021</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55</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205,561</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99,057</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26,585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429,622</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761,135</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62,074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6,032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59,756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127,862</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income</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143</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1,385</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1,829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3,214</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(7,540)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(18,807)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(26,347)</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Purchase of non-controlling interests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(657)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(1,502)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(887)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(3,046)</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Dividends declared</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(3,000)</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Vesting of RSUs</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rPr>
              <w:t>Class A common stock issued for Greenspring</w:t>
            </w: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267,842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290,744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558,599</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acquisition</w:t>
            </w: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8"/>
              </w:rPr>
              <w:t>Class C Partnership units issued for Greenspring</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64,847</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70,392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135,239</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acquisition</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w w:val="90"/>
              </w:rPr>
              <w:t>Exchange of Class B units for Class A common stock</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40"/>
              <w:spacing w:after="0" w:line="108" w:lineRule="exact"/>
              <w:rPr>
                <w:sz w:val="20"/>
                <w:szCs w:val="20"/>
                <w:color w:val="auto"/>
              </w:rPr>
            </w:pPr>
            <w:r>
              <w:rPr>
                <w:rFonts w:ascii="Arial" w:cs="Arial" w:eastAsia="Arial" w:hAnsi="Arial"/>
                <w:sz w:val="11"/>
                <w:szCs w:val="11"/>
                <w:color w:val="auto"/>
                <w:w w:val="90"/>
              </w:rPr>
              <w:t>and redemption of corresponding Class B common</w:t>
            </w: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ind w:left="520"/>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shares</w:t>
            </w: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6"/>
              </w:rPr>
              <w:t>Initial consolidation of legacy Greenspring general</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219,086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219,086</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partner entities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w w:val="99"/>
              </w:rPr>
              <w:t>Equity reallocation between controlling and non-</w:t>
            </w:r>
          </w:p>
        </w:tc>
        <w:tc>
          <w:tcPr>
            <w:tcW w:w="18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27,294</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00" w:type="dxa"/>
            <w:vAlign w:val="bottom"/>
            <w:vMerge w:val="restart"/>
          </w:tcPr>
          <w:p>
            <w:pPr>
              <w:jc w:val="right"/>
              <w:ind w:right="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914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(28,228)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controlling interests</w:t>
            </w: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Deferred tax effect resulting from transactions</w:t>
            </w: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CEEFF"/>
          </w:tcPr>
          <w:p>
            <w:pPr>
              <w:ind w:left="240"/>
              <w:spacing w:after="0" w:line="108" w:lineRule="exact"/>
              <w:rPr>
                <w:sz w:val="20"/>
                <w:szCs w:val="20"/>
                <w:color w:val="auto"/>
              </w:rPr>
            </w:pPr>
            <w:r>
              <w:rPr>
                <w:rFonts w:ascii="Arial" w:cs="Arial" w:eastAsia="Arial" w:hAnsi="Arial"/>
                <w:sz w:val="11"/>
                <w:szCs w:val="11"/>
                <w:color w:val="auto"/>
              </w:rPr>
              <w:t>affecting ownership in the Partnership, net of</w:t>
            </w: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00" w:type="dxa"/>
            <w:vAlign w:val="bottom"/>
            <w:shd w:val="clear" w:color="auto" w:fill="CCEEFF"/>
          </w:tcPr>
          <w:p>
            <w:pPr>
              <w:ind w:left="240"/>
              <w:spacing w:after="0" w:line="104" w:lineRule="exact"/>
              <w:rPr>
                <w:sz w:val="20"/>
                <w:szCs w:val="20"/>
                <w:color w:val="auto"/>
              </w:rPr>
            </w:pPr>
            <w:r>
              <w:rPr>
                <w:rFonts w:ascii="Arial" w:cs="Arial" w:eastAsia="Arial" w:hAnsi="Arial"/>
                <w:sz w:val="11"/>
                <w:szCs w:val="11"/>
                <w:color w:val="auto"/>
              </w:rPr>
              <w:t>amounts payable under Tax Receivable</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(41,151)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(41,151)</w:t>
            </w: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Agreements</w:t>
            </w:r>
            <w:r>
              <w:rPr>
                <w:rFonts w:ascii="Arial" w:cs="Arial" w:eastAsia="Arial" w:hAnsi="Arial"/>
                <w:sz w:val="14"/>
                <w:szCs w:val="14"/>
                <w:color w:val="auto"/>
                <w:vertAlign w:val="superscript"/>
              </w:rPr>
              <w:t>(1)</w:t>
            </w: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00" w:type="dxa"/>
            <w:vAlign w:val="bottom"/>
          </w:tcPr>
          <w:p>
            <w:pPr>
              <w:ind w:left="20"/>
              <w:spacing w:after="0"/>
              <w:rPr>
                <w:sz w:val="20"/>
                <w:szCs w:val="20"/>
                <w:color w:val="auto"/>
              </w:rPr>
            </w:pPr>
            <w:r>
              <w:rPr>
                <w:rFonts w:ascii="Arial" w:cs="Arial" w:eastAsia="Arial" w:hAnsi="Arial"/>
                <w:sz w:val="11"/>
                <w:szCs w:val="11"/>
                <w:color w:val="auto"/>
              </w:rPr>
              <w:t>Balance at September 30, 2021</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1"/>
                <w:szCs w:val="11"/>
                <w:color w:val="auto"/>
              </w:rPr>
              <w:t>53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525,118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158,131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268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24,558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219,086</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804,483</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1,731,753</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0"/>
              </w:rPr>
              <w:t>Non-Controlling</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Accumulated Other</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5"/>
              </w:rPr>
              <w:t>Interests in</w:t>
            </w: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8"/>
              </w:rPr>
              <w:t>Class A Common</w:t>
            </w:r>
          </w:p>
        </w:tc>
        <w:tc>
          <w:tcPr>
            <w:tcW w:w="9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w w:val="98"/>
              </w:rPr>
              <w:t>Class B Common</w:t>
            </w: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3"/>
              </w:rPr>
              <w:t>Additional Paid-</w:t>
            </w:r>
          </w:p>
        </w:tc>
        <w:tc>
          <w:tcPr>
            <w:tcW w:w="140" w:type="dxa"/>
            <w:vAlign w:val="bottom"/>
          </w:tcPr>
          <w:p>
            <w:pPr>
              <w:spacing w:after="0"/>
              <w:rPr>
                <w:sz w:val="9"/>
                <w:szCs w:val="9"/>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Retained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9"/>
              </w:rPr>
              <w:t>Legacy</w:t>
            </w:r>
          </w:p>
        </w:tc>
        <w:tc>
          <w:tcPr>
            <w:tcW w:w="9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9"/>
                <w:szCs w:val="9"/>
                <w:color w:val="auto"/>
              </w:rPr>
            </w:pPr>
          </w:p>
        </w:tc>
        <w:tc>
          <w:tcPr>
            <w:tcW w:w="86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8"/>
              </w:rPr>
              <w:t>Interests in</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8"/>
              </w:rPr>
              <w:t>Greenspring</w:t>
            </w: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6"/>
              </w:rPr>
              <w:t>Interests in the</w:t>
            </w: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40"/>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Stock</w:t>
            </w:r>
          </w:p>
        </w:tc>
        <w:tc>
          <w:tcPr>
            <w:tcW w:w="18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Stock</w:t>
            </w:r>
          </w:p>
        </w:tc>
        <w:tc>
          <w:tcPr>
            <w:tcW w:w="14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in Capital</w:t>
            </w:r>
          </w:p>
        </w:tc>
        <w:tc>
          <w:tcPr>
            <w:tcW w:w="14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Earnings</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Income</w:t>
            </w:r>
          </w:p>
        </w:tc>
        <w:tc>
          <w:tcPr>
            <w:tcW w:w="10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Subsidiaries</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Entities</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Partnership</w:t>
            </w:r>
          </w:p>
        </w:tc>
        <w:tc>
          <w:tcPr>
            <w:tcW w:w="100" w:type="dxa"/>
            <w:vAlign w:val="bottom"/>
          </w:tcPr>
          <w:p>
            <w:pPr>
              <w:spacing w:after="0"/>
              <w:rPr>
                <w:sz w:val="12"/>
                <w:szCs w:val="12"/>
                <w:color w:val="auto"/>
              </w:rPr>
            </w:pPr>
          </w:p>
        </w:tc>
        <w:tc>
          <w:tcPr>
            <w:tcW w:w="800" w:type="dxa"/>
            <w:vAlign w:val="bottom"/>
          </w:tcPr>
          <w:p>
            <w:pPr>
              <w:jc w:val="center"/>
              <w:ind w:right="46"/>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22"/>
        </w:trPr>
        <w:tc>
          <w:tcPr>
            <w:tcW w:w="2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2021</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57</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188,751</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60,407</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25,885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384,400</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659,693</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103,724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11,646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139,011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254,381</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income</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391</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2,931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4,021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6,956</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(12,585)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(43,249)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(55,834)</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Purchase of non-controlling interests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(657)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(1,502)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(887)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(3,046)</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Dividends declared</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(6,000)</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Vesting of RSUs</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rPr>
              <w:t>Class A common stock issued for Greenspring</w:t>
            </w: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267,842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290,744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558,599</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acquisition</w:t>
            </w: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8"/>
              </w:rPr>
              <w:t>Class C Partnership units issued for Greenspring</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64,847</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70,392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135,239</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acquisition</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w w:val="90"/>
              </w:rPr>
              <w:t>Exchange of Class B units for Class A common stock</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40"/>
              <w:spacing w:after="0" w:line="108" w:lineRule="exact"/>
              <w:rPr>
                <w:sz w:val="20"/>
                <w:szCs w:val="20"/>
                <w:color w:val="auto"/>
              </w:rPr>
            </w:pPr>
            <w:r>
              <w:rPr>
                <w:rFonts w:ascii="Arial" w:cs="Arial" w:eastAsia="Arial" w:hAnsi="Arial"/>
                <w:sz w:val="11"/>
                <w:szCs w:val="11"/>
                <w:color w:val="auto"/>
                <w:w w:val="90"/>
              </w:rPr>
              <w:t>and redemption of corresponding Class B common</w:t>
            </w: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ind w:left="520"/>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shares</w:t>
            </w: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6"/>
              </w:rPr>
              <w:t>Initial consolidation of legacy Greenspring general</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219,086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219,086</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partner entities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w w:val="99"/>
              </w:rPr>
              <w:t>Equity reallocation between controlling and non-</w:t>
            </w:r>
          </w:p>
        </w:tc>
        <w:tc>
          <w:tcPr>
            <w:tcW w:w="18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39,159</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00" w:type="dxa"/>
            <w:vAlign w:val="bottom"/>
            <w:vMerge w:val="restart"/>
          </w:tcPr>
          <w:p>
            <w:pPr>
              <w:jc w:val="right"/>
              <w:ind w:right="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914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(40,104)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controlling interests</w:t>
            </w: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Deferred tax effect resulting from transactions</w:t>
            </w: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CEEFF"/>
          </w:tcPr>
          <w:p>
            <w:pPr>
              <w:ind w:left="240"/>
              <w:spacing w:after="0" w:line="108" w:lineRule="exact"/>
              <w:rPr>
                <w:sz w:val="20"/>
                <w:szCs w:val="20"/>
                <w:color w:val="auto"/>
              </w:rPr>
            </w:pPr>
            <w:r>
              <w:rPr>
                <w:rFonts w:ascii="Arial" w:cs="Arial" w:eastAsia="Arial" w:hAnsi="Arial"/>
                <w:sz w:val="11"/>
                <w:szCs w:val="11"/>
                <w:color w:val="auto"/>
              </w:rPr>
              <w:t>affecting ownership in the Partnership, net of</w:t>
            </w: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00" w:type="dxa"/>
            <w:vAlign w:val="bottom"/>
            <w:shd w:val="clear" w:color="auto" w:fill="CCEEFF"/>
          </w:tcPr>
          <w:p>
            <w:pPr>
              <w:ind w:left="240"/>
              <w:spacing w:after="0" w:line="104" w:lineRule="exact"/>
              <w:rPr>
                <w:sz w:val="20"/>
                <w:szCs w:val="20"/>
                <w:color w:val="auto"/>
              </w:rPr>
            </w:pPr>
            <w:r>
              <w:rPr>
                <w:rFonts w:ascii="Arial" w:cs="Arial" w:eastAsia="Arial" w:hAnsi="Arial"/>
                <w:sz w:val="11"/>
                <w:szCs w:val="11"/>
                <w:color w:val="auto"/>
              </w:rPr>
              <w:t>amounts payable under Tax Receivable</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(37,750)</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(37,750)</w:t>
            </w: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Agreements</w:t>
            </w:r>
            <w:r>
              <w:rPr>
                <w:rFonts w:ascii="Arial" w:cs="Arial" w:eastAsia="Arial" w:hAnsi="Arial"/>
                <w:sz w:val="14"/>
                <w:szCs w:val="14"/>
                <w:color w:val="auto"/>
                <w:vertAlign w:val="superscript"/>
              </w:rPr>
              <w:t>(1)</w:t>
            </w: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00" w:type="dxa"/>
            <w:vAlign w:val="bottom"/>
          </w:tcPr>
          <w:p>
            <w:pPr>
              <w:ind w:left="20"/>
              <w:spacing w:after="0"/>
              <w:rPr>
                <w:sz w:val="20"/>
                <w:szCs w:val="20"/>
                <w:color w:val="auto"/>
              </w:rPr>
            </w:pPr>
            <w:r>
              <w:rPr>
                <w:rFonts w:ascii="Arial" w:cs="Arial" w:eastAsia="Arial" w:hAnsi="Arial"/>
                <w:sz w:val="11"/>
                <w:szCs w:val="11"/>
                <w:color w:val="auto"/>
              </w:rPr>
              <w:t>Balance at September 30, 2021</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1"/>
                <w:szCs w:val="11"/>
                <w:color w:val="auto"/>
              </w:rPr>
              <w:t>53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525,118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158,131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268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24,558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219,086</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804,483</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1,731,753</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hanging="632"/>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notes 10, 13 and 14 for more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7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Stockholders’ Equity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Accumulated Other</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0"/>
              </w:rPr>
              <w:t>Non-Controlling</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10"/>
                <w:szCs w:val="10"/>
                <w:color w:val="auto"/>
              </w:rPr>
            </w:pPr>
          </w:p>
        </w:tc>
        <w:tc>
          <w:tcPr>
            <w:tcW w:w="800" w:type="dxa"/>
            <w:vAlign w:val="bottom"/>
          </w:tcPr>
          <w:p>
            <w:pPr>
              <w:jc w:val="center"/>
              <w:ind w:right="6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8"/>
              </w:rPr>
              <w:t>Class A Common</w:t>
            </w:r>
          </w:p>
        </w:tc>
        <w:tc>
          <w:tcPr>
            <w:tcW w:w="9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w w:val="98"/>
              </w:rPr>
              <w:t>Class B Common</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0"/>
              </w:rPr>
              <w:t>Additional Paid-</w:t>
            </w:r>
          </w:p>
        </w:tc>
        <w:tc>
          <w:tcPr>
            <w:tcW w:w="100" w:type="dxa"/>
            <w:vAlign w:val="bottom"/>
          </w:tcPr>
          <w:p>
            <w:pPr>
              <w:spacing w:after="0"/>
              <w:rPr>
                <w:sz w:val="9"/>
                <w:szCs w:val="9"/>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Accumulated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Partners’ Capital</w:t>
            </w:r>
          </w:p>
        </w:tc>
        <w:tc>
          <w:tcPr>
            <w:tcW w:w="94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5"/>
              </w:rPr>
              <w:t>Interests in</w:t>
            </w:r>
          </w:p>
        </w:tc>
        <w:tc>
          <w:tcPr>
            <w:tcW w:w="80" w:type="dxa"/>
            <w:vAlign w:val="bottom"/>
          </w:tcPr>
          <w:p>
            <w:pPr>
              <w:spacing w:after="0"/>
              <w:rPr>
                <w:sz w:val="9"/>
                <w:szCs w:val="9"/>
                <w:color w:val="auto"/>
              </w:rPr>
            </w:pPr>
          </w:p>
        </w:tc>
        <w:tc>
          <w:tcPr>
            <w:tcW w:w="8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9"/>
              </w:rPr>
              <w:t>Interests in the</w:t>
            </w:r>
          </w:p>
        </w:tc>
        <w:tc>
          <w:tcPr>
            <w:tcW w:w="9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Equity / Partners’</w:t>
            </w:r>
          </w:p>
        </w:tc>
        <w:tc>
          <w:tcPr>
            <w:tcW w:w="0" w:type="dxa"/>
            <w:vAlign w:val="bottom"/>
          </w:tcPr>
          <w:p>
            <w:pPr>
              <w:spacing w:after="0"/>
              <w:rPr>
                <w:sz w:val="1"/>
                <w:szCs w:val="1"/>
                <w:color w:val="auto"/>
              </w:rPr>
            </w:pPr>
          </w:p>
        </w:tc>
      </w:tr>
      <w:tr>
        <w:trPr>
          <w:trHeight w:val="140"/>
        </w:trPr>
        <w:tc>
          <w:tcPr>
            <w:tcW w:w="25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Stock</w:t>
            </w:r>
          </w:p>
        </w:tc>
        <w:tc>
          <w:tcPr>
            <w:tcW w:w="20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Stock</w:t>
            </w:r>
          </w:p>
        </w:tc>
        <w:tc>
          <w:tcPr>
            <w:tcW w:w="14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 Capital</w:t>
            </w:r>
          </w:p>
        </w:tc>
        <w:tc>
          <w:tcPr>
            <w:tcW w:w="100" w:type="dxa"/>
            <w:vAlign w:val="bottom"/>
          </w:tcPr>
          <w:p>
            <w:pPr>
              <w:spacing w:after="0"/>
              <w:rPr>
                <w:sz w:val="12"/>
                <w:szCs w:val="12"/>
                <w:color w:val="auto"/>
              </w:rPr>
            </w:pP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Income (Loss)</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Subsidiaries</w:t>
            </w:r>
          </w:p>
        </w:tc>
        <w:tc>
          <w:tcPr>
            <w:tcW w:w="8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Partnership</w:t>
            </w:r>
          </w:p>
        </w:tc>
        <w:tc>
          <w:tcPr>
            <w:tcW w:w="100" w:type="dxa"/>
            <w:vAlign w:val="bottom"/>
          </w:tcPr>
          <w:p>
            <w:pPr>
              <w:spacing w:after="0"/>
              <w:rPr>
                <w:sz w:val="12"/>
                <w:szCs w:val="12"/>
                <w:color w:val="auto"/>
              </w:rPr>
            </w:pPr>
          </w:p>
        </w:tc>
        <w:tc>
          <w:tcPr>
            <w:tcW w:w="800" w:type="dxa"/>
            <w:vAlign w:val="bottom"/>
          </w:tcPr>
          <w:p>
            <w:pPr>
              <w:jc w:val="center"/>
              <w:ind w:right="46"/>
              <w:spacing w:after="0"/>
              <w:rPr>
                <w:sz w:val="20"/>
                <w:szCs w:val="20"/>
                <w:color w:val="auto"/>
              </w:rPr>
            </w:pPr>
            <w:r>
              <w:rPr>
                <w:rFonts w:ascii="Arial" w:cs="Arial" w:eastAsia="Arial" w:hAnsi="Arial"/>
                <w:sz w:val="11"/>
                <w:szCs w:val="11"/>
                <w:b w:val="1"/>
                <w:bCs w:val="1"/>
                <w:color w:val="auto"/>
                <w:w w:val="92"/>
              </w:rPr>
              <w:t>Capital</w:t>
            </w:r>
          </w:p>
        </w:tc>
        <w:tc>
          <w:tcPr>
            <w:tcW w:w="0" w:type="dxa"/>
            <w:vAlign w:val="bottom"/>
          </w:tcPr>
          <w:p>
            <w:pPr>
              <w:spacing w:after="0"/>
              <w:rPr>
                <w:sz w:val="1"/>
                <w:szCs w:val="1"/>
                <w:color w:val="auto"/>
              </w:rPr>
            </w:pPr>
          </w:p>
        </w:tc>
      </w:tr>
      <w:tr>
        <w:trPr>
          <w:trHeight w:val="22"/>
        </w:trPr>
        <w:tc>
          <w:tcPr>
            <w:tcW w:w="2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June 30, 2020</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134,907</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20,848</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156,061</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Net income prior to Reorganization and IPO</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101,718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8,335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110,053</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3"/>
              </w:rPr>
              <w:t>Other comprehensive income prior to Reorganization</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207</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216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423</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w w:val="96"/>
              </w:rPr>
              <w:t>Contributed capital prior to Reorganization and IPO</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5"/>
              </w:rPr>
              <w:t>Equity-based compensation prior to Reorganization</w:t>
            </w:r>
          </w:p>
        </w:tc>
        <w:tc>
          <w:tcPr>
            <w:tcW w:w="2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240</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242</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and IPO</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Distributions prior to Reorganization and IPO</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(25,235)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(9,044)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(34,279)</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Equity reallocation between controlling and non-</w:t>
            </w:r>
          </w:p>
        </w:tc>
        <w:tc>
          <w:tcPr>
            <w:tcW w:w="2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252</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w w:val="91"/>
              </w:rPr>
              <w:t>controlling interests prior to Reorganization and IPO</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w w:val="93"/>
              </w:rPr>
              <w:t>Effect of Reorganization and purchase of units in the</w:t>
            </w:r>
          </w:p>
        </w:tc>
        <w:tc>
          <w:tcPr>
            <w:tcW w:w="2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(211,894)</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ind w:left="520"/>
              <w:spacing w:after="0"/>
              <w:rPr>
                <w:sz w:val="20"/>
                <w:szCs w:val="20"/>
                <w:color w:val="auto"/>
              </w:rPr>
            </w:pPr>
            <w:r>
              <w:rPr>
                <w:rFonts w:ascii="Arial" w:cs="Arial" w:eastAsia="Arial" w:hAnsi="Arial"/>
                <w:sz w:val="11"/>
                <w:szCs w:val="11"/>
                <w:color w:val="auto"/>
              </w:rPr>
              <w:t>73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23,432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(513)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188,893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Partnership</w:t>
            </w:r>
          </w:p>
        </w:tc>
        <w:tc>
          <w:tcPr>
            <w:tcW w:w="2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1"/>
              </w:rPr>
              <w:t>Issuance of Class A common stock sold in IPO, net of</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337,778</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337,798</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underwriting discounts</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w w:val="87"/>
              </w:rPr>
              <w:t>Purchase of partnership interests with IPO net proceeds</w:t>
            </w:r>
          </w:p>
        </w:tc>
        <w:tc>
          <w:tcPr>
            <w:tcW w:w="2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680" w:type="dxa"/>
            <w:vAlign w:val="bottom"/>
          </w:tcPr>
          <w:p>
            <w:pPr>
              <w:ind w:left="520"/>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(127,979)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(127,986)</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Deferred IPO costs</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(2,981)</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(6,686)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(9,667)</w:t>
            </w: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rPr>
              <w:t>Equity reallocation between controlling and non-</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60" w:type="dxa"/>
            <w:vAlign w:val="bottom"/>
          </w:tcPr>
          <w:p>
            <w:pPr>
              <w:ind w:left="240"/>
              <w:spacing w:after="0" w:line="108" w:lineRule="exact"/>
              <w:rPr>
                <w:sz w:val="20"/>
                <w:szCs w:val="20"/>
                <w:color w:val="auto"/>
              </w:rPr>
            </w:pPr>
            <w:r>
              <w:rPr>
                <w:rFonts w:ascii="Arial" w:cs="Arial" w:eastAsia="Arial" w:hAnsi="Arial"/>
                <w:sz w:val="11"/>
                <w:szCs w:val="11"/>
                <w:color w:val="auto"/>
                <w:w w:val="94"/>
              </w:rPr>
              <w:t>controlling interests subsequent to Reorganization</w:t>
            </w:r>
          </w:p>
        </w:tc>
        <w:tc>
          <w:tcPr>
            <w:tcW w:w="24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(103,063)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103,063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and 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1"/>
              </w:rPr>
              <w:t>Deferred tax effect resulting from purchase of Class B</w:t>
            </w:r>
          </w:p>
        </w:tc>
        <w:tc>
          <w:tcPr>
            <w:tcW w:w="2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60" w:type="dxa"/>
            <w:vAlign w:val="bottom"/>
            <w:shd w:val="clear" w:color="auto" w:fill="CCEEFF"/>
          </w:tcPr>
          <w:p>
            <w:pPr>
              <w:ind w:left="240"/>
              <w:spacing w:after="0" w:line="108" w:lineRule="exact"/>
              <w:rPr>
                <w:sz w:val="20"/>
                <w:szCs w:val="20"/>
                <w:color w:val="auto"/>
              </w:rPr>
            </w:pPr>
            <w:r>
              <w:rPr>
                <w:rFonts w:ascii="Arial" w:cs="Arial" w:eastAsia="Arial" w:hAnsi="Arial"/>
                <w:sz w:val="11"/>
                <w:szCs w:val="11"/>
                <w:color w:val="auto"/>
                <w:w w:val="90"/>
              </w:rPr>
              <w:t>units, net of amounts payable under Tax Receivable</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(7,128)</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(7,128)</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Agreements</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w w:val="93"/>
              </w:rPr>
              <w:t>Net income (loss) subsequent to Reorganization and</w:t>
            </w:r>
          </w:p>
        </w:tc>
        <w:tc>
          <w:tcPr>
            <w:tcW w:w="24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80" w:type="dxa"/>
            <w:vAlign w:val="bottom"/>
            <w:vMerge w:val="restart"/>
          </w:tcPr>
          <w:p>
            <w:pPr>
              <w:ind w:left="500"/>
              <w:spacing w:after="0"/>
              <w:rPr>
                <w:sz w:val="20"/>
                <w:szCs w:val="20"/>
                <w:color w:val="auto"/>
              </w:rPr>
            </w:pPr>
            <w:r>
              <w:rPr>
                <w:rFonts w:ascii="Arial" w:cs="Arial" w:eastAsia="Arial" w:hAnsi="Arial"/>
                <w:sz w:val="11"/>
                <w:szCs w:val="11"/>
                <w:color w:val="auto"/>
              </w:rPr>
              <w:t>(790)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710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(1,604)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(1,684)</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Other comprehensive loss subsequent to</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(148)</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Reorganization 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rPr>
              <w:t>Equity-based compensation subsequent to</w:t>
            </w:r>
          </w:p>
        </w:tc>
        <w:tc>
          <w:tcPr>
            <w:tcW w:w="24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219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489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710</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Reorganization and 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w w:val="94"/>
              </w:rPr>
              <w:t>Distributions subsequent to Reorganization and IPO</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55"/>
        </w:trPr>
        <w:tc>
          <w:tcPr>
            <w:tcW w:w="2560" w:type="dxa"/>
            <w:vAlign w:val="bottom"/>
          </w:tcPr>
          <w:p>
            <w:pPr>
              <w:ind w:left="20"/>
              <w:spacing w:after="0"/>
              <w:rPr>
                <w:sz w:val="20"/>
                <w:szCs w:val="20"/>
                <w:color w:val="auto"/>
              </w:rPr>
            </w:pPr>
            <w:r>
              <w:rPr>
                <w:rFonts w:ascii="Arial" w:cs="Arial" w:eastAsia="Arial" w:hAnsi="Arial"/>
                <w:sz w:val="11"/>
                <w:szCs w:val="11"/>
                <w:color w:val="auto"/>
              </w:rPr>
              <w:t>Balance at September 30, 2020</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1"/>
                <w:szCs w:val="11"/>
                <w:color w:val="auto"/>
              </w:rPr>
              <w:t>66</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120,278</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1"/>
                <w:szCs w:val="11"/>
                <w:color w:val="auto"/>
              </w:rPr>
              <w:t>(790)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20,729</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284,105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424,395</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Stockholders’ Equity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Accumulated Other</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0"/>
              </w:rPr>
              <w:t>Non-Controlling</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10"/>
                <w:szCs w:val="10"/>
                <w:color w:val="auto"/>
              </w:rPr>
            </w:pPr>
          </w:p>
        </w:tc>
        <w:tc>
          <w:tcPr>
            <w:tcW w:w="800" w:type="dxa"/>
            <w:vAlign w:val="bottom"/>
          </w:tcPr>
          <w:p>
            <w:pPr>
              <w:jc w:val="center"/>
              <w:ind w:right="6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8"/>
              </w:rPr>
              <w:t>Class A Common</w:t>
            </w:r>
          </w:p>
        </w:tc>
        <w:tc>
          <w:tcPr>
            <w:tcW w:w="9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w w:val="98"/>
              </w:rPr>
              <w:t>Class B Common</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0"/>
              </w:rPr>
              <w:t>Additional Paid-</w:t>
            </w:r>
          </w:p>
        </w:tc>
        <w:tc>
          <w:tcPr>
            <w:tcW w:w="100" w:type="dxa"/>
            <w:vAlign w:val="bottom"/>
          </w:tcPr>
          <w:p>
            <w:pPr>
              <w:spacing w:after="0"/>
              <w:rPr>
                <w:sz w:val="9"/>
                <w:szCs w:val="9"/>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Accumulated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Partners’ Capital</w:t>
            </w:r>
          </w:p>
        </w:tc>
        <w:tc>
          <w:tcPr>
            <w:tcW w:w="94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5"/>
              </w:rPr>
              <w:t>Interests in</w:t>
            </w:r>
          </w:p>
        </w:tc>
        <w:tc>
          <w:tcPr>
            <w:tcW w:w="80" w:type="dxa"/>
            <w:vAlign w:val="bottom"/>
          </w:tcPr>
          <w:p>
            <w:pPr>
              <w:spacing w:after="0"/>
              <w:rPr>
                <w:sz w:val="9"/>
                <w:szCs w:val="9"/>
                <w:color w:val="auto"/>
              </w:rPr>
            </w:pPr>
          </w:p>
        </w:tc>
        <w:tc>
          <w:tcPr>
            <w:tcW w:w="8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9"/>
              </w:rPr>
              <w:t>Interests in the</w:t>
            </w:r>
          </w:p>
        </w:tc>
        <w:tc>
          <w:tcPr>
            <w:tcW w:w="9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Equity / Partners’</w:t>
            </w:r>
          </w:p>
        </w:tc>
        <w:tc>
          <w:tcPr>
            <w:tcW w:w="0" w:type="dxa"/>
            <w:vAlign w:val="bottom"/>
          </w:tcPr>
          <w:p>
            <w:pPr>
              <w:spacing w:after="0"/>
              <w:rPr>
                <w:sz w:val="1"/>
                <w:szCs w:val="1"/>
                <w:color w:val="auto"/>
              </w:rPr>
            </w:pPr>
          </w:p>
        </w:tc>
      </w:tr>
      <w:tr>
        <w:trPr>
          <w:trHeight w:val="140"/>
        </w:trPr>
        <w:tc>
          <w:tcPr>
            <w:tcW w:w="25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Stock</w:t>
            </w:r>
          </w:p>
        </w:tc>
        <w:tc>
          <w:tcPr>
            <w:tcW w:w="20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Stock</w:t>
            </w:r>
          </w:p>
        </w:tc>
        <w:tc>
          <w:tcPr>
            <w:tcW w:w="14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 Capital</w:t>
            </w:r>
          </w:p>
        </w:tc>
        <w:tc>
          <w:tcPr>
            <w:tcW w:w="100" w:type="dxa"/>
            <w:vAlign w:val="bottom"/>
          </w:tcPr>
          <w:p>
            <w:pPr>
              <w:spacing w:after="0"/>
              <w:rPr>
                <w:sz w:val="12"/>
                <w:szCs w:val="12"/>
                <w:color w:val="auto"/>
              </w:rPr>
            </w:pP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Income (Loss)</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Subsidiaries</w:t>
            </w:r>
          </w:p>
        </w:tc>
        <w:tc>
          <w:tcPr>
            <w:tcW w:w="8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Partnership</w:t>
            </w:r>
          </w:p>
        </w:tc>
        <w:tc>
          <w:tcPr>
            <w:tcW w:w="100" w:type="dxa"/>
            <w:vAlign w:val="bottom"/>
          </w:tcPr>
          <w:p>
            <w:pPr>
              <w:spacing w:after="0"/>
              <w:rPr>
                <w:sz w:val="12"/>
                <w:szCs w:val="12"/>
                <w:color w:val="auto"/>
              </w:rPr>
            </w:pPr>
          </w:p>
        </w:tc>
        <w:tc>
          <w:tcPr>
            <w:tcW w:w="800" w:type="dxa"/>
            <w:vAlign w:val="bottom"/>
          </w:tcPr>
          <w:p>
            <w:pPr>
              <w:jc w:val="center"/>
              <w:ind w:right="46"/>
              <w:spacing w:after="0"/>
              <w:rPr>
                <w:sz w:val="20"/>
                <w:szCs w:val="20"/>
                <w:color w:val="auto"/>
              </w:rPr>
            </w:pPr>
            <w:r>
              <w:rPr>
                <w:rFonts w:ascii="Arial" w:cs="Arial" w:eastAsia="Arial" w:hAnsi="Arial"/>
                <w:sz w:val="11"/>
                <w:szCs w:val="11"/>
                <w:b w:val="1"/>
                <w:bCs w:val="1"/>
                <w:color w:val="auto"/>
                <w:w w:val="92"/>
              </w:rPr>
              <w:t>Capital</w:t>
            </w:r>
          </w:p>
        </w:tc>
        <w:tc>
          <w:tcPr>
            <w:tcW w:w="0" w:type="dxa"/>
            <w:vAlign w:val="bottom"/>
          </w:tcPr>
          <w:p>
            <w:pPr>
              <w:spacing w:after="0"/>
              <w:rPr>
                <w:sz w:val="1"/>
                <w:szCs w:val="1"/>
                <w:color w:val="auto"/>
              </w:rPr>
            </w:pPr>
          </w:p>
        </w:tc>
      </w:tr>
      <w:tr>
        <w:trPr>
          <w:trHeight w:val="22"/>
        </w:trPr>
        <w:tc>
          <w:tcPr>
            <w:tcW w:w="2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2020</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216,051</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178</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20,738</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236,967</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Net income prior to Reorganization and IPO</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45,265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12,428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57,693</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3"/>
              </w:rPr>
              <w:t>Other comprehensive income prior to Reorganization</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335</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350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685</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w w:val="96"/>
              </w:rPr>
              <w:t>Contributed capital prior to Reorganization and IPO</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5"/>
              </w:rPr>
              <w:t>Equity-based compensation prior to Reorganization</w:t>
            </w:r>
          </w:p>
        </w:tc>
        <w:tc>
          <w:tcPr>
            <w:tcW w:w="2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723</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725</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and IPO</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rPr>
              <w:t>Sale of non-controlling interests prior to</w:t>
            </w:r>
          </w:p>
        </w:tc>
        <w:tc>
          <w:tcPr>
            <w:tcW w:w="24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3,308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3,308</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Reorganization and 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Purchase of non-controlling interests prior to</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(3,308)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(3,308)</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Reorganization 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Distributions prior to Reorganization and IPO</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(50,424)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(13,161)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(63,585)</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Equity reallocation between controlling and non-</w:t>
            </w:r>
          </w:p>
        </w:tc>
        <w:tc>
          <w:tcPr>
            <w:tcW w:w="2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252</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w w:val="91"/>
              </w:rPr>
              <w:t>controlling interests prior to Reorganization and IPO</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w w:val="93"/>
              </w:rPr>
              <w:t>Effect of Reorganization and purchase of units in the</w:t>
            </w:r>
          </w:p>
        </w:tc>
        <w:tc>
          <w:tcPr>
            <w:tcW w:w="2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(211,894)</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ind w:left="520"/>
              <w:spacing w:after="0"/>
              <w:rPr>
                <w:sz w:val="20"/>
                <w:szCs w:val="20"/>
                <w:color w:val="auto"/>
              </w:rPr>
            </w:pPr>
            <w:r>
              <w:rPr>
                <w:rFonts w:ascii="Arial" w:cs="Arial" w:eastAsia="Arial" w:hAnsi="Arial"/>
                <w:sz w:val="11"/>
                <w:szCs w:val="11"/>
                <w:color w:val="auto"/>
              </w:rPr>
              <w:t>73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23,432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(513)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188,893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Partnership</w:t>
            </w:r>
          </w:p>
        </w:tc>
        <w:tc>
          <w:tcPr>
            <w:tcW w:w="2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1"/>
              </w:rPr>
              <w:t>Issuance of Class A common stock sold in IPO, net of</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337,778</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337,798</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underwriting discounts</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w w:val="87"/>
              </w:rPr>
              <w:t>Purchase of partnership interests with IPO net proceeds</w:t>
            </w:r>
          </w:p>
        </w:tc>
        <w:tc>
          <w:tcPr>
            <w:tcW w:w="2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680" w:type="dxa"/>
            <w:vAlign w:val="bottom"/>
          </w:tcPr>
          <w:p>
            <w:pPr>
              <w:ind w:left="520"/>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(127,979)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(127,986)</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Deferred IPO costs</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(2,981)</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(6,686)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(9,667)</w:t>
            </w: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rPr>
              <w:t>Equity reallocation between controlling and non-</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60" w:type="dxa"/>
            <w:vAlign w:val="bottom"/>
          </w:tcPr>
          <w:p>
            <w:pPr>
              <w:ind w:left="240"/>
              <w:spacing w:after="0" w:line="108" w:lineRule="exact"/>
              <w:rPr>
                <w:sz w:val="20"/>
                <w:szCs w:val="20"/>
                <w:color w:val="auto"/>
              </w:rPr>
            </w:pPr>
            <w:r>
              <w:rPr>
                <w:rFonts w:ascii="Arial" w:cs="Arial" w:eastAsia="Arial" w:hAnsi="Arial"/>
                <w:sz w:val="11"/>
                <w:szCs w:val="11"/>
                <w:color w:val="auto"/>
                <w:w w:val="94"/>
              </w:rPr>
              <w:t>controlling interests subsequent to Reorganization</w:t>
            </w:r>
          </w:p>
        </w:tc>
        <w:tc>
          <w:tcPr>
            <w:tcW w:w="24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(103,063)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103,063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and 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1"/>
              </w:rPr>
              <w:t>Deferred tax effect resulting from purchase of Class B</w:t>
            </w:r>
          </w:p>
        </w:tc>
        <w:tc>
          <w:tcPr>
            <w:tcW w:w="2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60" w:type="dxa"/>
            <w:vAlign w:val="bottom"/>
            <w:shd w:val="clear" w:color="auto" w:fill="CCEEFF"/>
          </w:tcPr>
          <w:p>
            <w:pPr>
              <w:ind w:left="240"/>
              <w:spacing w:after="0" w:line="108" w:lineRule="exact"/>
              <w:rPr>
                <w:sz w:val="20"/>
                <w:szCs w:val="20"/>
                <w:color w:val="auto"/>
              </w:rPr>
            </w:pPr>
            <w:r>
              <w:rPr>
                <w:rFonts w:ascii="Arial" w:cs="Arial" w:eastAsia="Arial" w:hAnsi="Arial"/>
                <w:sz w:val="11"/>
                <w:szCs w:val="11"/>
                <w:color w:val="auto"/>
                <w:w w:val="90"/>
              </w:rPr>
              <w:t>units, net of amounts payable under Tax Receivable</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(7,128)</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(7,128)</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Agreements</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w w:val="93"/>
              </w:rPr>
              <w:t>Net income (loss) subsequent to Reorganization and</w:t>
            </w:r>
          </w:p>
        </w:tc>
        <w:tc>
          <w:tcPr>
            <w:tcW w:w="24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80" w:type="dxa"/>
            <w:vAlign w:val="bottom"/>
            <w:vMerge w:val="restart"/>
          </w:tcPr>
          <w:p>
            <w:pPr>
              <w:ind w:left="500"/>
              <w:spacing w:after="0"/>
              <w:rPr>
                <w:sz w:val="20"/>
                <w:szCs w:val="20"/>
                <w:color w:val="auto"/>
              </w:rPr>
            </w:pPr>
            <w:r>
              <w:rPr>
                <w:rFonts w:ascii="Arial" w:cs="Arial" w:eastAsia="Arial" w:hAnsi="Arial"/>
                <w:sz w:val="11"/>
                <w:szCs w:val="11"/>
                <w:color w:val="auto"/>
              </w:rPr>
              <w:t>(790)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710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(1,604)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(1,684)</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Other comprehensive loss subsequent to</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(148)</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Reorganization 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rPr>
              <w:t>Equity-based compensation subsequent to</w:t>
            </w:r>
          </w:p>
        </w:tc>
        <w:tc>
          <w:tcPr>
            <w:tcW w:w="24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219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489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710</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Reorganization and 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w w:val="94"/>
              </w:rPr>
              <w:t>Distributions subsequent to Reorganization and IPO</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55"/>
        </w:trPr>
        <w:tc>
          <w:tcPr>
            <w:tcW w:w="2560" w:type="dxa"/>
            <w:vAlign w:val="bottom"/>
          </w:tcPr>
          <w:p>
            <w:pPr>
              <w:ind w:left="20"/>
              <w:spacing w:after="0"/>
              <w:rPr>
                <w:sz w:val="20"/>
                <w:szCs w:val="20"/>
                <w:color w:val="auto"/>
              </w:rPr>
            </w:pPr>
            <w:r>
              <w:rPr>
                <w:rFonts w:ascii="Arial" w:cs="Arial" w:eastAsia="Arial" w:hAnsi="Arial"/>
                <w:sz w:val="11"/>
                <w:szCs w:val="11"/>
                <w:color w:val="auto"/>
              </w:rPr>
              <w:t>Balance at September 30, 2020</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1"/>
                <w:szCs w:val="11"/>
                <w:color w:val="auto"/>
              </w:rPr>
              <w:t>66</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120,278</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1"/>
                <w:szCs w:val="11"/>
                <w:color w:val="auto"/>
              </w:rPr>
              <w:t>(790)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20,729</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284,105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424,395</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3"/>
              </w:rPr>
              <w:t>Six Months Ended September 30,</w:t>
            </w:r>
          </w:p>
        </w:tc>
      </w:tr>
      <w:tr>
        <w:trPr>
          <w:trHeight w:val="223"/>
        </w:trPr>
        <w:tc>
          <w:tcPr>
            <w:tcW w:w="79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254,381</w:t>
            </w:r>
          </w:p>
        </w:tc>
        <w:tc>
          <w:tcPr>
            <w:tcW w:w="2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56,009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3,626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2,767</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carried interest allocations and investment income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(329,031)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Unrealized performance fee-related compensation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159,778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9,858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 amortization of deferred financing costs</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6,956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1,435</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income taxes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Other non-cash activities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Fees and accounts receivable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(2,365)</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from affiliates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Other assets and receivables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2,788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expenses and other 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31,268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24,633</w:t>
            </w: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carried interest-related compensation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Due to affiliates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2,583</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right-of-use assets, net and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134,894</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82,862</w:t>
            </w:r>
          </w:p>
        </w:tc>
      </w:tr>
      <w:tr>
        <w:trPr>
          <w:trHeight w:val="250"/>
        </w:trPr>
        <w:tc>
          <w:tcPr>
            <w:tcW w:w="7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 to investments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(10,927)</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Distributions received from investments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3,749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Greenspring acquisition, net of cash acquired</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(181,529)</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(189,997)</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(5,747)</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3"/>
              </w:rPr>
              <w:t>Six Months Ended September 30,</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Sale of non-controlling interests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capital contributions from non-controlling interests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Proceeds from IPO, net of underwriting discount</w:t>
            </w:r>
          </w:p>
        </w:tc>
        <w:tc>
          <w:tcPr>
            <w:tcW w:w="22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337,798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revolving credit facility</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non-controlling interests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(131,294)</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Payment of deferred offering costs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on term loan</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(147,000)</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Payments on revolving credit facility</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(70,000)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 interests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(63,597)</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Dividends paid to common stockholders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(5,646)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47,077</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currency exchange rate changes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(7,832)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69,888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183,863</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89,939</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176,031</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159,827</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operating, investing, and financing activities: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Accrued dividends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354</w:t>
            </w:r>
          </w:p>
        </w:tc>
        <w:tc>
          <w:tcPr>
            <w:tcW w:w="2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5"/>
              </w:rPr>
              <w:t>Deferred tax effect resulting from transactions affecting ownership in the Partnership, net of amounts</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(37,750)</w:t>
            </w: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135"/>
        </w:trPr>
        <w:tc>
          <w:tcPr>
            <w:tcW w:w="798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payable under Tax Receivable Agreements</w:t>
            </w:r>
          </w:p>
        </w:tc>
        <w:tc>
          <w:tcPr>
            <w:tcW w:w="220" w:type="dxa"/>
            <w:vAlign w:val="bottom"/>
            <w:shd w:val="clear" w:color="auto" w:fill="CCEEFF"/>
          </w:tcPr>
          <w:p>
            <w:pPr>
              <w:spacing w:after="0"/>
              <w:rPr>
                <w:sz w:val="11"/>
                <w:szCs w:val="11"/>
                <w:color w:val="auto"/>
              </w:rPr>
            </w:pPr>
          </w:p>
        </w:tc>
        <w:tc>
          <w:tcPr>
            <w:tcW w:w="128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798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Accrued deferred offering costs</w:t>
            </w:r>
          </w:p>
        </w:tc>
        <w:tc>
          <w:tcPr>
            <w:tcW w:w="22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Establishment of lease liabilities in exchange for lease right-of-use 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79,478</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Class A common stock issued for Greenspring acquisition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558,598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C Partnership units issued for Greenspring acquisition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135,239</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Reconciliation of cash, cash equivalents and restricted cash:</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175,015</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156,908</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cash, cash equivalents and restricted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176,031</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159,827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8"/>
          <w:szCs w:val="18"/>
          <w:b w:val="1"/>
          <w:bCs w:val="1"/>
          <w:color w:val="auto"/>
        </w:rPr>
        <w:t>Organization</w:t>
      </w:r>
    </w:p>
    <w:p>
      <w:pPr>
        <w:spacing w:after="0" w:line="22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9"/>
          <w:szCs w:val="19"/>
          <w:color w:val="auto"/>
        </w:rPr>
        <w:t>StepStone Group Inc. (“SSG”) was incorporated in the state of Delaware on November 20, 2019. The company was formed for the purpose of completing an initial public offering (“IPO”) in order to conduct the business of StepStone Group LP (the “Partnership”) as a publicly-traded entity. As of September 18, 2020, in connection with the Reorganization discussed below, SSG became the sole managing member of StepStone Group Holdings LLC (the “General Partner”), the general partner of the Partnership. Unless otherwise specified, “StepStone” or the “Company” refers to SSG and its consolidated subsidiaries, including the Partnership, following the Reorganization and IPO, and to the Partnership and its consolidated subsidiaries prior to the Reorganization and IPO, throughout the remainder of these notes to the condensed consolidated financial statements.</w:t>
      </w:r>
    </w:p>
    <w:p>
      <w:pPr>
        <w:spacing w:after="0" w:line="185" w:lineRule="exact"/>
        <w:rPr>
          <w:sz w:val="20"/>
          <w:szCs w:val="20"/>
          <w:color w:val="auto"/>
        </w:rPr>
      </w:pPr>
    </w:p>
    <w:p>
      <w:pPr>
        <w:ind w:right="40" w:firstLine="648"/>
        <w:spacing w:after="0" w:line="242" w:lineRule="auto"/>
        <w:rPr>
          <w:sz w:val="20"/>
          <w:szCs w:val="20"/>
          <w:color w:val="auto"/>
        </w:rPr>
      </w:pPr>
      <w:r>
        <w:rPr>
          <w:rFonts w:ascii="Arial" w:cs="Arial" w:eastAsia="Arial" w:hAnsi="Arial"/>
          <w:sz w:val="20"/>
          <w:szCs w:val="20"/>
          <w:color w:val="auto"/>
        </w:rPr>
        <w:t>The Company is a global private markets investment firm focused on providing customized investment solutions and advisory and data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spacing w:after="0" w:line="197" w:lineRule="exact"/>
        <w:rPr>
          <w:sz w:val="20"/>
          <w:szCs w:val="20"/>
          <w:color w:val="auto"/>
        </w:rPr>
      </w:pPr>
    </w:p>
    <w:p>
      <w:pPr>
        <w:ind w:right="220" w:firstLine="648"/>
        <w:spacing w:after="0" w:line="316" w:lineRule="auto"/>
        <w:rPr>
          <w:sz w:val="20"/>
          <w:szCs w:val="20"/>
          <w:color w:val="auto"/>
        </w:rPr>
      </w:pPr>
      <w:r>
        <w:rPr>
          <w:rFonts w:ascii="Arial" w:cs="Arial" w:eastAsia="Arial" w:hAnsi="Arial"/>
          <w:sz w:val="18"/>
          <w:szCs w:val="18"/>
          <w:color w:val="auto"/>
        </w:rPr>
        <w:t>The Company, through its subsidiaries, acts as the investment advisor and general partner or managing member to separately managed accounts (“SMAs”) and focused commingled funds, including acquired Greenspring funds (collectively, the “StepStone Funds”).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Reorganization</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connection with the IPO, the Company completed certain transactions as part of a corporate reorganization (the “Reorganization”), which are described below:</w:t>
      </w:r>
    </w:p>
    <w:p>
      <w:pPr>
        <w:spacing w:after="0" w:line="177" w:lineRule="exact"/>
        <w:rPr>
          <w:sz w:val="20"/>
          <w:szCs w:val="20"/>
          <w:color w:val="auto"/>
        </w:rPr>
      </w:pPr>
    </w:p>
    <w:p>
      <w:pPr>
        <w:ind w:left="660" w:right="360" w:hanging="328"/>
        <w:spacing w:after="0" w:line="260"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SSG amended and restated its certificate of incorporation to, among other things, provide for Class A common stock and Class B common stock.</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Partnership amended its limited partnership agreement to, among other things, provide for Class A units and Class B units.</w:t>
      </w:r>
    </w:p>
    <w:p>
      <w:pPr>
        <w:spacing w:after="0" w:line="238" w:lineRule="exact"/>
        <w:rPr>
          <w:rFonts w:ascii="Arial" w:cs="Arial" w:eastAsia="Arial" w:hAnsi="Arial"/>
          <w:sz w:val="18"/>
          <w:szCs w:val="18"/>
          <w:color w:val="auto"/>
        </w:rPr>
      </w:pPr>
    </w:p>
    <w:p>
      <w:pPr>
        <w:ind w:left="660" w:right="240" w:hanging="328"/>
        <w:spacing w:after="0" w:line="260"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General Partner amended and restated its limited liability company agreement to, among other things, appoint SSG as the sole managing member of the General Partner.</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SSG redeemed its 100 shares of common stock outstanding.</w:t>
      </w:r>
    </w:p>
    <w:p>
      <w:pPr>
        <w:spacing w:after="0" w:line="215" w:lineRule="exact"/>
        <w:rPr>
          <w:rFonts w:ascii="Arial" w:cs="Arial" w:eastAsia="Arial" w:hAnsi="Arial"/>
          <w:sz w:val="20"/>
          <w:szCs w:val="20"/>
          <w:color w:val="auto"/>
        </w:rPr>
      </w:pPr>
    </w:p>
    <w:p>
      <w:pPr>
        <w:ind w:left="660" w:right="160" w:hanging="328"/>
        <w:spacing w:after="0" w:line="291"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Partnership effectuated a series of transactions such that certain blocker entities in which certain pre-IPO institutional investors that held partnership units in the Partnership merged with and into SSG, with SSG surviving. As a result of the mergers, the 100% owners of the blocker entities acquired 9,112,500 shares of newly issued Class A common stock of SSG.</w:t>
      </w:r>
    </w:p>
    <w:p>
      <w:pPr>
        <w:spacing w:after="0" w:line="151"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Partnership classified the partnership units acquired by SSG as Class A units and reclassified the partnership units held by the continuing limited partners of the Partnership as Class B units.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right="620" w:hanging="328"/>
        <w:spacing w:after="0" w:line="260"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SSG issued to the remaining Class B unitholders one share of Class B common stock for each Class B unit that they owned in exchange for their interests in the General Partner.</w:t>
      </w:r>
    </w:p>
    <w:p>
      <w:pPr>
        <w:spacing w:after="0" w:line="176" w:lineRule="exact"/>
        <w:rPr>
          <w:rFonts w:ascii="Arial" w:cs="Arial" w:eastAsia="Arial" w:hAnsi="Arial"/>
          <w:sz w:val="20"/>
          <w:szCs w:val="20"/>
          <w:color w:val="auto"/>
        </w:rPr>
      </w:pPr>
    </w:p>
    <w:p>
      <w:pPr>
        <w:jc w:val="both"/>
        <w:ind w:left="660" w:right="260" w:hanging="328"/>
        <w:spacing w:after="0" w:line="269" w:lineRule="auto"/>
        <w:tabs>
          <w:tab w:leader="none" w:pos="648" w:val="left"/>
        </w:tabs>
        <w:numPr>
          <w:ilvl w:val="0"/>
          <w:numId w:val="10"/>
        </w:numPr>
        <w:rPr>
          <w:rFonts w:ascii="Arial" w:cs="Arial" w:eastAsia="Arial" w:hAnsi="Arial"/>
          <w:sz w:val="19"/>
          <w:szCs w:val="19"/>
          <w:color w:val="auto"/>
        </w:rPr>
      </w:pPr>
      <w:r>
        <w:rPr>
          <w:rFonts w:ascii="Arial" w:cs="Arial" w:eastAsia="Arial" w:hAnsi="Arial"/>
          <w:sz w:val="19"/>
          <w:szCs w:val="19"/>
          <w:color w:val="auto"/>
        </w:rPr>
        <w:t>Certain of the Class B stockholders entered into a stockholders agreement pursuant to which they agreed to vote all their shares of voting stock, including Class A common stock and Class B common stock, together and in accordance with the instructions of the Class B Committee, which comprises certain members of senior management.</w:t>
      </w:r>
    </w:p>
    <w:p>
      <w:pPr>
        <w:spacing w:after="0" w:line="163"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b w:val="1"/>
          <w:bCs w:val="1"/>
          <w:color w:val="auto"/>
        </w:rPr>
        <w:t>Initial Public Offering and Greenspring Acquisition</w:t>
      </w:r>
    </w:p>
    <w:p>
      <w:pPr>
        <w:spacing w:after="0" w:line="222" w:lineRule="exact"/>
        <w:rPr>
          <w:sz w:val="20"/>
          <w:szCs w:val="20"/>
          <w:color w:val="auto"/>
        </w:rPr>
      </w:pPr>
    </w:p>
    <w:p>
      <w:pPr>
        <w:ind w:right="180" w:firstLine="648"/>
        <w:spacing w:after="0" w:line="260" w:lineRule="auto"/>
        <w:rPr>
          <w:sz w:val="20"/>
          <w:szCs w:val="20"/>
          <w:color w:val="auto"/>
        </w:rPr>
      </w:pPr>
      <w:r>
        <w:rPr>
          <w:rFonts w:ascii="Arial" w:cs="Arial" w:eastAsia="Arial" w:hAnsi="Arial"/>
          <w:sz w:val="19"/>
          <w:szCs w:val="19"/>
          <w:color w:val="auto"/>
        </w:rPr>
        <w:t>On September 18, 2020, SSG issued 20,125,000 shares of Class A common stock in the IPO at a price of $18.00 per share. The net proceeds from the offering totaled $337.8 million, net of underwriting discounts of $24.5 million and before offering costs of $9.7 million that were incurred by the Partnership. SSG used approximately $209.8 million of the net proceeds from the offering to acquire 12,500,000 newly issued Class A units of the Partnership and approximately $128.0 million to purchase 7,625,000 Class B units from certain of the Partnership’s existing unitholders, including certain members of senior management.</w:t>
      </w:r>
    </w:p>
    <w:p>
      <w:pPr>
        <w:spacing w:after="0" w:line="180" w:lineRule="exact"/>
        <w:rPr>
          <w:sz w:val="20"/>
          <w:szCs w:val="20"/>
          <w:color w:val="auto"/>
        </w:rPr>
      </w:pPr>
    </w:p>
    <w:p>
      <w:pPr>
        <w:ind w:right="40" w:firstLine="648"/>
        <w:spacing w:after="0" w:line="269" w:lineRule="auto"/>
        <w:rPr>
          <w:sz w:val="20"/>
          <w:szCs w:val="20"/>
          <w:color w:val="auto"/>
        </w:rPr>
      </w:pPr>
      <w:r>
        <w:rPr>
          <w:rFonts w:ascii="Arial" w:cs="Arial" w:eastAsia="Arial" w:hAnsi="Arial"/>
          <w:sz w:val="19"/>
          <w:szCs w:val="19"/>
          <w:color w:val="auto"/>
        </w:rPr>
        <w:t>In connection with the Greenspring acquisition (see note 14), the Company issued 12,686,756 shares of its Class A common stock and the Partnership issued 3,071,519 newly created Class C units of the Partnership, each of which is exchangeable into one share of Class A common stock, in each case subject to certain adjustments and restrictions (see note 13).</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Following the Reorganization and IPO, SSG became a holding company whose principal asset is a controlling financial interest in the Partnership through its ownership of all of the Partnership’s Class A units and 100% of the membership interests in the General Partner of the Partnership. SSG acts as the sole managing member of the General Partner of the Partnership and, as a result, indirectly operates and controls all of the Partnership’s business and affairs. As a result, SSG consolidates the financial results of the Partnership and reports non-controlling interests related to the Class B and Class C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10). Each share of Class A common stock is entitled to one vote and each share of Class B common stock is entitled to five votes. As of September 30, 2021, SSG held approximately 50.1% of the economic interest in the Partnership. As the Partnership’s limited partners exchange their Class B and Class C units into SSG’s Class A common stock in the future, SSG’s economic interest in the Partnership will increase relative to that of the Class B and Class C unit holders.</w:t>
      </w:r>
    </w:p>
    <w:p>
      <w:pPr>
        <w:spacing w:after="0" w:line="174"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The Reorganization was considered a transaction between entities under common control. As a result, the condensed consolidated financial statements for periods prior to the Reorganization and IPO are the condensed consolidated financial statements of the Partnership as the predecessor to SSG for accounting and reporting purposes.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right="7160" w:hanging="652"/>
        <w:spacing w:after="0" w:line="468" w:lineRule="auto"/>
        <w:tabs>
          <w:tab w:leader="none" w:pos="358"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Basis of Presentation</w:t>
      </w:r>
    </w:p>
    <w:p>
      <w:pPr>
        <w:ind w:right="40" w:firstLine="648"/>
        <w:spacing w:after="0" w:line="309" w:lineRule="auto"/>
        <w:rPr>
          <w:sz w:val="20"/>
          <w:szCs w:val="20"/>
          <w:color w:val="auto"/>
        </w:rPr>
      </w:pPr>
      <w:r>
        <w:rPr>
          <w:rFonts w:ascii="Arial" w:cs="Arial" w:eastAsia="Arial" w:hAnsi="Arial"/>
          <w:sz w:val="16"/>
          <w:szCs w:val="16"/>
          <w:color w:val="auto"/>
        </w:rPr>
        <w:t>The accompanying unaudited condensed consolidated financial statements are prepared in accordance with accounting principles generally accepted in the United States (“GAAP”) for interim financial information. Management believes it has made all necessary adjustments (consisting of only normal recurring items) such that the condensed consolidated financial statements are presented fairly and that estimates made in preparing the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 These unaudited condensed consolidated financial statements should be read in conjunction with the Company’s audited consolidated financial statements included in its Annual Report on Form 10-K for the fiscal year ended March 31, 2021 filed with the Securities and Exchange Commission (“SEC”).</w:t>
      </w:r>
    </w:p>
    <w:p>
      <w:pPr>
        <w:spacing w:after="0" w:line="379" w:lineRule="exact"/>
        <w:rPr>
          <w:sz w:val="20"/>
          <w:szCs w:val="20"/>
          <w:color w:val="auto"/>
        </w:rPr>
      </w:pPr>
    </w:p>
    <w:p>
      <w:pPr>
        <w:ind w:right="120" w:firstLine="648"/>
        <w:spacing w:after="0" w:line="250" w:lineRule="auto"/>
        <w:rPr>
          <w:sz w:val="20"/>
          <w:szCs w:val="20"/>
          <w:color w:val="auto"/>
        </w:rPr>
      </w:pPr>
      <w:r>
        <w:rPr>
          <w:rFonts w:ascii="Arial" w:cs="Arial" w:eastAsia="Arial" w:hAnsi="Arial"/>
          <w:sz w:val="20"/>
          <w:szCs w:val="20"/>
          <w:color w:val="auto"/>
        </w:rPr>
        <w:t>Certain of the StepStone Funds are investment companies that follow specialized accounting under GAAP and reflect their investments at estimated fair value. Accordingly, the carrying value of the Company’s equity method investments in such entities retains the specialized accounting.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Reclassifications</w:t>
      </w:r>
    </w:p>
    <w:p>
      <w:pPr>
        <w:spacing w:after="0" w:line="20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Certain prior year amounts have been reclassified to conform to the current period presentation. Amounts relating to foreign currency transaction gains and losses that were previously reported within general, administrative and other expenses have been presented within other income (loss) in the condensed consolidated statements of income.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Consolidation</w:t>
      </w:r>
    </w:p>
    <w:p>
      <w:pPr>
        <w:spacing w:after="0" w:line="208"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spacing w:after="0" w:line="168" w:lineRule="exact"/>
        <w:rPr>
          <w:sz w:val="20"/>
          <w:szCs w:val="20"/>
          <w:color w:val="auto"/>
        </w:rPr>
      </w:pPr>
    </w:p>
    <w:p>
      <w:pPr>
        <w:ind w:right="140" w:firstLine="648"/>
        <w:spacing w:after="0" w:line="256" w:lineRule="auto"/>
        <w:rPr>
          <w:sz w:val="20"/>
          <w:szCs w:val="20"/>
          <w:color w:val="auto"/>
        </w:rPr>
      </w:pPr>
      <w:r>
        <w:rPr>
          <w:rFonts w:ascii="Arial" w:cs="Arial" w:eastAsia="Arial" w:hAnsi="Arial"/>
          <w:sz w:val="19"/>
          <w:szCs w:val="19"/>
          <w:color w:val="auto"/>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liquidate the fund or remove the general partner or substantive rights to participate. Certain StepStone Funds are VIEs because they have not granted unaffiliated limited partners or members substantive rights to terminate the fund or remove the general partner or substantive rights to participate. The Company does not consolidate these StepStone Funds because it is not the primary beneficiary of those funds, primarily because its fee arrangements are considered customary and commensurate and thus not deemed to be variable interests, and it does not hold any other interests in those funds that are considered more than insignificant.</w:t>
      </w:r>
    </w:p>
    <w:p>
      <w:pPr>
        <w:spacing w:after="0" w:line="184"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The Company has determined that certain of its operating subsidiaries, StepStone Group Real Assets LP (“SRA”), StepStone Group Real Estate LP (“SRE”) and Swiss Capital Alternative Investments AG (“Swiss Capital”), are VIEs, and that the Company is the primary beneficiary of each entity because it has a controlling financial interest in each entity; accordingly, the Company consolidates these entities. The assets and liabilities of the consolidated VIEs are presented gross in the condensed consolidated balance sheets. The assets of the consolidated VIEs may only be used to settle obligations of the consolidated VIEs. See note 4 for more information on both consolidated and unconsolidated VIEs.</w:t>
      </w:r>
    </w:p>
    <w:p>
      <w:pPr>
        <w:spacing w:after="0" w:line="196" w:lineRule="exact"/>
        <w:rPr>
          <w:sz w:val="20"/>
          <w:szCs w:val="20"/>
          <w:color w:val="auto"/>
        </w:rPr>
      </w:pPr>
    </w:p>
    <w:p>
      <w:pPr>
        <w:ind w:right="120" w:firstLine="648"/>
        <w:spacing w:after="0" w:line="243" w:lineRule="auto"/>
        <w:rPr>
          <w:sz w:val="20"/>
          <w:szCs w:val="20"/>
          <w:color w:val="auto"/>
        </w:rPr>
      </w:pPr>
      <w:r>
        <w:rPr>
          <w:rFonts w:ascii="Arial" w:cs="Arial" w:eastAsia="Arial" w:hAnsi="Arial"/>
          <w:sz w:val="20"/>
          <w:szCs w:val="20"/>
          <w:color w:val="auto"/>
        </w:rPr>
        <w:t>In connection with the Greenspring acquisition, the Company, indirectly through its subsidiaries, became the sole and/or managing member of certain entities, each of which is the general partner of an investment fund (“legacy Greenspring general partner entities”). The Company did not acquire any direct economic interests attributable to the legacy Greenspring general partner entities, including legacy Greenspring investments in funds and carried interest allocations. However, certain arrangements negotiated as part of the acquisition represent variable interests that could be significant. The Company determined that the legacy Greenspring general partner entities are VIEs and it is the primary beneficiary of each such entity because it has a controlling financial interest in each entity. As a result, the Company consolidates these entities.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Non-Controlling Interests</w:t>
      </w:r>
    </w:p>
    <w:p>
      <w:pPr>
        <w:spacing w:after="0" w:line="222"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condensed consolidated balance sheets to clearly distinguish between the Company’s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 See note 13 for more information on ownership interests in the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i w:val="1"/>
          <w:iCs w:val="1"/>
          <w:color w:val="auto"/>
        </w:rPr>
        <w:t xml:space="preserve">Non-controlling interests in subsidiaries </w:t>
      </w:r>
      <w:r>
        <w:rPr>
          <w:rFonts w:ascii="Arial" w:cs="Arial" w:eastAsia="Arial" w:hAnsi="Arial"/>
          <w:sz w:val="18"/>
          <w:szCs w:val="18"/>
          <w:color w:val="auto"/>
        </w:rPr>
        <w:t>represent the economic interests in SRA, SRE, and Swiss Capital (the variable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included in the Company’s condensed consolidated financial statements) held by 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61"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i w:val="1"/>
          <w:iCs w:val="1"/>
          <w:color w:val="auto"/>
        </w:rPr>
        <w:t xml:space="preserve">Non-controlling interests in legacy Greenspring entities </w:t>
      </w:r>
      <w:r>
        <w:rPr>
          <w:rFonts w:ascii="Arial" w:cs="Arial" w:eastAsia="Arial" w:hAnsi="Arial"/>
          <w:sz w:val="20"/>
          <w:szCs w:val="20"/>
          <w:color w:val="auto"/>
        </w:rPr>
        <w:t>represent the economic interests in the legacy Greenspring general partner</w:t>
      </w:r>
      <w:r>
        <w:rPr>
          <w:rFonts w:ascii="Arial" w:cs="Arial" w:eastAsia="Arial" w:hAnsi="Arial"/>
          <w:sz w:val="20"/>
          <w:szCs w:val="20"/>
          <w:i w:val="1"/>
          <w:iCs w:val="1"/>
          <w:color w:val="auto"/>
        </w:rPr>
        <w:t xml:space="preserve"> </w:t>
      </w:r>
      <w:r>
        <w:rPr>
          <w:rFonts w:ascii="Arial" w:cs="Arial" w:eastAsia="Arial" w:hAnsi="Arial"/>
          <w:sz w:val="20"/>
          <w:szCs w:val="20"/>
          <w:color w:val="auto"/>
        </w:rPr>
        <w:t>entities. The Company did not acquire any direct economic interests in the legacy Greenspring general partner entities. As a result, all of the net income or loss related to the legacy Greenspring general partner entities is allocated to non-controlling interests in legacy Greenspring entities.</w:t>
      </w:r>
    </w:p>
    <w:p>
      <w:pPr>
        <w:spacing w:after="0" w:line="191"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i w:val="1"/>
          <w:iCs w:val="1"/>
          <w:color w:val="auto"/>
        </w:rPr>
        <w:t xml:space="preserve">Non-controlling interests in the Partnership </w:t>
      </w:r>
      <w:r>
        <w:rPr>
          <w:rFonts w:ascii="Arial" w:cs="Arial" w:eastAsia="Arial" w:hAnsi="Arial"/>
          <w:sz w:val="20"/>
          <w:szCs w:val="20"/>
          <w:color w:val="auto"/>
        </w:rPr>
        <w:t>represent the economic interests related to the Class B units of the Partnership which are</w:t>
      </w:r>
      <w:r>
        <w:rPr>
          <w:rFonts w:ascii="Arial" w:cs="Arial" w:eastAsia="Arial" w:hAnsi="Arial"/>
          <w:sz w:val="20"/>
          <w:szCs w:val="20"/>
          <w:i w:val="1"/>
          <w:iCs w:val="1"/>
          <w:color w:val="auto"/>
        </w:rPr>
        <w:t xml:space="preserve"> </w:t>
      </w:r>
      <w:r>
        <w:rPr>
          <w:rFonts w:ascii="Arial" w:cs="Arial" w:eastAsia="Arial" w:hAnsi="Arial"/>
          <w:sz w:val="20"/>
          <w:szCs w:val="20"/>
          <w:color w:val="auto"/>
        </w:rPr>
        <w:t>not owned by SSG. Non-controlling interests in the Partnership are allocated a share of income or loss in the Partnership in proportion to their relative ownership interests, after consideration of contractual arrangements that govern allocations of income or loss. Prior to the Reorganization and IPO, all of the Company’s net income related to the Partnership and therefore has been presented as non-controlling interests in the Partnership.</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Accounting for Differing Fiscal Periods</w:t>
      </w:r>
    </w:p>
    <w:p>
      <w:pPr>
        <w:spacing w:after="0" w:line="222" w:lineRule="exact"/>
        <w:rPr>
          <w:sz w:val="20"/>
          <w:szCs w:val="20"/>
          <w:color w:val="auto"/>
        </w:rPr>
      </w:pPr>
    </w:p>
    <w:p>
      <w:pPr>
        <w:ind w:right="20" w:firstLine="648"/>
        <w:spacing w:after="0" w:line="255" w:lineRule="auto"/>
        <w:rPr>
          <w:sz w:val="20"/>
          <w:szCs w:val="20"/>
          <w:color w:val="auto"/>
        </w:rPr>
      </w:pPr>
      <w:r>
        <w:rPr>
          <w:rFonts w:ascii="Arial" w:cs="Arial" w:eastAsia="Arial" w:hAnsi="Arial"/>
          <w:sz w:val="19"/>
          <w:szCs w:val="19"/>
          <w:color w:val="auto"/>
        </w:rPr>
        <w:t>The StepStone Funds primarily have a fiscal year end as of December 31. The Company accounts for its 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for its share of capital contributions to and distributions from the StepStone Funds during the three-month lag period. For this interim period ending September 30, 2021, the Company used the June 30, 2021 unaudited financial statements of the StepStone Funds, which reflect the underlying private market funds as of June 30, 2021, to record its investments (including any carried interest allocated by those investments), as adjusted for capital contributions and distributions during the three-month lag period ended September 30, 2021.</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does not account for management and advisory fees or incentive fees on a three-month lag.</w:t>
      </w:r>
    </w:p>
    <w:p>
      <w:pPr>
        <w:spacing w:after="0" w:line="216" w:lineRule="exact"/>
        <w:rPr>
          <w:sz w:val="20"/>
          <w:szCs w:val="20"/>
          <w:color w:val="auto"/>
        </w:rPr>
      </w:pPr>
    </w:p>
    <w:p>
      <w:pPr>
        <w:ind w:right="340" w:firstLine="648"/>
        <w:spacing w:after="0" w:line="287" w:lineRule="auto"/>
        <w:rPr>
          <w:sz w:val="20"/>
          <w:szCs w:val="20"/>
          <w:color w:val="auto"/>
        </w:rPr>
      </w:pPr>
      <w:r>
        <w:rPr>
          <w:rFonts w:ascii="Arial" w:cs="Arial" w:eastAsia="Arial" w:hAnsi="Arial"/>
          <w:sz w:val="19"/>
          <w:szCs w:val="19"/>
          <w:color w:val="auto"/>
        </w:rPr>
        <w:t>To the extent that management becomes aware of any material events that affect the StepStone Funds during the three-month lag period, the effect of the events would be disclosed in the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4" w:right="39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Continuing Impact of COVID-19</w:t>
      </w:r>
    </w:p>
    <w:p>
      <w:pPr>
        <w:spacing w:after="0" w:line="222" w:lineRule="exact"/>
        <w:rPr>
          <w:sz w:val="20"/>
          <w:szCs w:val="20"/>
          <w:color w:val="auto"/>
        </w:rPr>
      </w:pPr>
    </w:p>
    <w:p>
      <w:pPr>
        <w:ind w:right="60" w:firstLine="648"/>
        <w:spacing w:after="0" w:line="255" w:lineRule="auto"/>
        <w:rPr>
          <w:sz w:val="20"/>
          <w:szCs w:val="20"/>
          <w:color w:val="auto"/>
        </w:rPr>
      </w:pPr>
      <w:r>
        <w:rPr>
          <w:rFonts w:ascii="Arial" w:cs="Arial" w:eastAsia="Arial" w:hAnsi="Arial"/>
          <w:sz w:val="19"/>
          <w:szCs w:val="19"/>
          <w:color w:val="auto"/>
        </w:rPr>
        <w:t>The COVID-19 pandemic has continued to impact the global economy and financial markets. With the spread of the Delta variant, restrictions have been and may continue to be reimposed to mitigate risks to public health in jurisdictions where additional outbreaks have been detected. Moreover, even where restrictions are and remain lifted, and as vaccinations have become available and more accessible, certain groups of people may continue to self-isolate and not participate in the economy at pre-pandemic levels for a prolonged period of time, potentially further delaying global economic recovery. The Company is continuing to closely monitor developments related to COVID-19 and assessing any negative impacts to the Company’s business. In particular, it is possible that the Company’s future results may be adversely affected by slowdowns in fundraising activity and the pace of capital deployment, which could result in delayed or decreased management fees. Further, if fund managers are unable or less able to profitably exit existing investments, such conditions could result in delayed or decreased performance fees. As the global response and ongoing nature of COVID-19 evolves, it is currently not possible to predict the potential scale and scope of the outbreak and its ultimate effects on the financial markets, overall economy and the Company’s condensed consolidated financial statements.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Fair Value Measurements</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165"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Financial instruments measured and reported at fair value are classified and disclosed based on the observability of inputs used in the determination of their fair values, as follows:</w:t>
      </w:r>
    </w:p>
    <w:p>
      <w:pPr>
        <w:spacing w:after="0" w:line="177"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I – Pricing inputs are unadjusted, quoted prices in active markets for identical assets or liabilities as of the measurement date.</w:t>
      </w:r>
    </w:p>
    <w:p>
      <w:pPr>
        <w:spacing w:after="0" w:line="238" w:lineRule="exact"/>
        <w:rPr>
          <w:rFonts w:ascii="Arial" w:cs="Arial" w:eastAsia="Arial" w:hAnsi="Arial"/>
          <w:sz w:val="18"/>
          <w:szCs w:val="18"/>
          <w:color w:val="auto"/>
        </w:rPr>
      </w:pPr>
    </w:p>
    <w:p>
      <w:pPr>
        <w:ind w:left="660" w:right="120" w:hanging="328"/>
        <w:spacing w:after="0" w:line="246"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191" w:lineRule="exact"/>
        <w:rPr>
          <w:rFonts w:ascii="Arial" w:cs="Arial" w:eastAsia="Arial" w:hAnsi="Arial"/>
          <w:sz w:val="20"/>
          <w:szCs w:val="20"/>
          <w:color w:val="auto"/>
        </w:rPr>
      </w:pPr>
    </w:p>
    <w:p>
      <w:pPr>
        <w:ind w:left="660" w:right="380" w:hanging="328"/>
        <w:spacing w:after="0" w:line="250"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8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60" w:firstLine="648"/>
        <w:spacing w:after="0" w:line="276" w:lineRule="auto"/>
        <w:rPr>
          <w:sz w:val="20"/>
          <w:szCs w:val="20"/>
          <w:color w:val="auto"/>
        </w:rPr>
      </w:pPr>
      <w:r>
        <w:rPr>
          <w:rFonts w:ascii="Arial" w:cs="Arial" w:eastAsia="Arial" w:hAnsi="Arial"/>
          <w:sz w:val="18"/>
          <w:szCs w:val="18"/>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65" w:lineRule="exact"/>
        <w:rPr>
          <w:sz w:val="20"/>
          <w:szCs w:val="20"/>
          <w:color w:val="auto"/>
        </w:rPr>
      </w:pPr>
    </w:p>
    <w:p>
      <w:pPr>
        <w:ind w:right="240" w:firstLine="648"/>
        <w:spacing w:after="0" w:line="244" w:lineRule="auto"/>
        <w:rPr>
          <w:sz w:val="20"/>
          <w:szCs w:val="20"/>
          <w:color w:val="auto"/>
        </w:rPr>
      </w:pPr>
      <w:r>
        <w:rPr>
          <w:rFonts w:ascii="Arial" w:cs="Arial" w:eastAsia="Arial" w:hAnsi="Arial"/>
          <w:sz w:val="20"/>
          <w:szCs w:val="20"/>
          <w:color w:val="auto"/>
        </w:rPr>
        <w:t>The Company considers its cash, cash equivalents, restricted cash, fees and accounts receivable, accounts payable, investments, revolving credit facility and contingent consideration balances to be financial instruments. The carrying amounts of cash, cash equivalents, restricted cash, fees and accounts receivable and accounts payable equal or approximate their fair values due to their nature and/or the relatively short period over which they are held. See note 6 for additional details regarding the fair value of the Company’s contingent consideration balances.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Restricted Cash</w:t>
      </w:r>
    </w:p>
    <w:p>
      <w:pPr>
        <w:spacing w:after="0" w:line="222"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Restricted cash consists of cash that the Company is contractually obligated to maintain to secure its letters of credit used primarily related to its office facilities and other obligations.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Investments</w:t>
      </w:r>
    </w:p>
    <w:p>
      <w:pPr>
        <w:spacing w:after="0" w:line="222" w:lineRule="exact"/>
        <w:rPr>
          <w:sz w:val="20"/>
          <w:szCs w:val="20"/>
          <w:color w:val="auto"/>
        </w:rPr>
      </w:pPr>
    </w:p>
    <w:p>
      <w:pPr>
        <w:ind w:firstLine="648"/>
        <w:spacing w:after="0" w:line="307" w:lineRule="auto"/>
        <w:rPr>
          <w:sz w:val="20"/>
          <w:szCs w:val="20"/>
          <w:color w:val="auto"/>
        </w:rPr>
      </w:pPr>
      <w:r>
        <w:rPr>
          <w:rFonts w:ascii="Arial" w:cs="Arial" w:eastAsia="Arial" w:hAnsi="Arial"/>
          <w:sz w:val="16"/>
          <w:szCs w:val="16"/>
          <w:color w:val="auto"/>
        </w:rPr>
        <w:t>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Legacy Greenspring investments in funds and accrued carried interest allocations represent the economic interests held by the legacy Greenspring general partner entities in certain funds for which the Company does not have any direct economic interests. All of the economics in respect of such interests are payable to employees and are therefore reflected as non-controlling interests in legacy Greenspring entities and legacy Greenspring performance fee-related compensation. The Company evaluates its equity method investments for impairment whenever events or changes in circumstances indicate that the carrying amounts of such investments may not be recoverable.</w:t>
      </w:r>
    </w:p>
    <w:p>
      <w:pPr>
        <w:spacing w:after="0" w:line="37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Leases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On April 1, 2021, the Company adopted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on a prospective basis.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As a result, prior period amounts were not adjusted to reflect the impact of the new standard.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60" w:firstLine="648"/>
        <w:spacing w:after="0" w:line="255" w:lineRule="auto"/>
        <w:rPr>
          <w:sz w:val="20"/>
          <w:szCs w:val="20"/>
          <w:color w:val="auto"/>
        </w:rPr>
      </w:pPr>
      <w:r>
        <w:rPr>
          <w:rFonts w:ascii="Arial" w:cs="Arial" w:eastAsia="Arial" w:hAnsi="Arial"/>
          <w:sz w:val="19"/>
          <w:szCs w:val="19"/>
          <w:color w:val="auto"/>
        </w:rPr>
        <w:t>The new standard establishes a right-of-use (“ROU”) model that requires a lessee to record a ROU asset and a lease liability on the condensed consolidated balance sheets for all leases with terms longer than 12 months. Under the previous guidance, operating leases were not recognized by the Company in the condensed consolidated balance sheets as a lessee. The guidance does not significantly change the recognition, measurement and presentation of expenses in the condensed consolidated statements of income or cash flows arising from a lease by a lessee. The adoption of this standard did not have a material impact on the condensed consolidated statements of income as substantially all of the Company’s leases are still classified as operating leases, which under the new guidance will continue to be recognized as expense on a straight-line basis. However, the adoption resulted in a significant gross-up in total assets and total liabilities on the Company’s condensed consolidated balance sheets. The Company recognized right-of-use assets of approximately $66.7 million and liabilities of approximately $76.9 million related to its operating leases which represents the aggregate discounted amount of the Company’s minimum lease obligations as of the adoption date.</w:t>
      </w:r>
    </w:p>
    <w:p>
      <w:pPr>
        <w:spacing w:after="0" w:line="190" w:lineRule="exact"/>
        <w:rPr>
          <w:sz w:val="20"/>
          <w:szCs w:val="20"/>
          <w:color w:val="auto"/>
        </w:rPr>
      </w:pPr>
    </w:p>
    <w:p>
      <w:pPr>
        <w:ind w:firstLine="648"/>
        <w:spacing w:after="0" w:line="309" w:lineRule="auto"/>
        <w:rPr>
          <w:sz w:val="20"/>
          <w:szCs w:val="20"/>
          <w:color w:val="auto"/>
        </w:rPr>
      </w:pPr>
      <w:r>
        <w:rPr>
          <w:rFonts w:ascii="Arial" w:cs="Arial" w:eastAsia="Arial" w:hAnsi="Arial"/>
          <w:sz w:val="16"/>
          <w:szCs w:val="16"/>
          <w:color w:val="auto"/>
        </w:rPr>
        <w:t>The Company determines whether an arrangement contains a lease at inception of the arrangement. A lease is a contract that provides the right to control an identified asset for a period of time in exchange for consideration. For identified leases, the Company determines the classification as either an operating or finance lease. The Company’s identified leases primarily consist of operating lease agreements for office space and certain equipment, as the lessee. Operating leases are included in lease right-of-use-assets, net and lease liabilities in the condensed consolidated balance sheets. Certain leases include lease and non-lease components, which the Company accounts for as a single lease component. Lease ROU assets and lease liabilities are measured based on the present value of future minimum lease payments over the lease term at the commencement date. Lease ROU assets include initial direct costs incurred by the Company and are presented net of deferred rent and lease incentives. The Company uses its incremental borrowing rate in determining the present value of future minimum lease payments. The Company’s lease terms may include options to extend or terminate the lease, which are included in the measurement of ROU assets and lease liabilities when it is reasonably certain that the Company will exercise those options.</w:t>
      </w:r>
    </w:p>
    <w:p>
      <w:pPr>
        <w:spacing w:after="0" w:line="37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8"/>
          <w:szCs w:val="18"/>
          <w:color w:val="auto"/>
        </w:rPr>
        <w:t>Operating lease expense associated with minimum lease payments is recognized on a straight-line basis over the lease term in general, administrative and other expenses in the condensed consolidated statements of income. Minimum lease payments for leases with an initial term of twelve months or less are not recorded in the condensed consolidated balance sheets. See note 15 for more information.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Business Combinations</w:t>
      </w:r>
    </w:p>
    <w:p>
      <w:pPr>
        <w:spacing w:after="0" w:line="222"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The Company accounts for business combinations using the acquisition method of accounting, under which the purchase price of an acquisition is allocated to the assets acquired and liabilities assumed based on their fair values, as determined by management at the acquisition date. Contingent consideration obligations that are elements of consideration transferred are recognized at the acquisition date as part of the fair value transferred in exchange for the acquired business. Contingent consideration arrangements are revalued to fair value each reporting period. Acquisition-related costs incurred in connection with a business combination are expensed as incurred and are included in general, administrative and other expenses in the condensed consolidated statements of income.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Intangibles and Goodwill</w:t>
      </w:r>
    </w:p>
    <w:p>
      <w:pPr>
        <w:spacing w:after="0" w:line="222" w:lineRule="exact"/>
        <w:rPr>
          <w:sz w:val="20"/>
          <w:szCs w:val="20"/>
          <w:color w:val="auto"/>
        </w:rPr>
      </w:pPr>
    </w:p>
    <w:p>
      <w:pPr>
        <w:ind w:right="40" w:firstLine="648"/>
        <w:spacing w:after="0" w:line="269" w:lineRule="auto"/>
        <w:rPr>
          <w:sz w:val="20"/>
          <w:szCs w:val="20"/>
          <w:color w:val="auto"/>
        </w:rPr>
      </w:pPr>
      <w:r>
        <w:rPr>
          <w:rFonts w:ascii="Arial" w:cs="Arial" w:eastAsia="Arial" w:hAnsi="Arial"/>
          <w:sz w:val="19"/>
          <w:szCs w:val="19"/>
          <w:color w:val="auto"/>
        </w:rPr>
        <w:t>The Company’s finite-lived intangible assets consist of acquired contractual rights to earn future management and advisory fee income and client relationships. Finite-lived intangible assets are amortized over their estimated useful lives, which range from 8 to 10 years. The Company did not have any intangible assets that were deemed to have an indefinite life as of September 30, 2021.</w:t>
      </w:r>
    </w:p>
    <w:p>
      <w:pPr>
        <w:spacing w:after="0" w:line="170"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Finite-lived intangible assets are reviewed for impairment whenever events or changes in circumstances indicate that the carrying amount of the asset may not be recoverable. There were no impairment charges related to the Company’s finite-lived intangible assets during the three and six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Goodwill represents the excess amount of consideration transferred in a business combination above the fair value of the identifiable net assets. Goodwill is assessed for impairment at least annually using a qualitative and, if necessary, a quantitative approach. The Company performs its annual goodwill impairment test as of January 1, or more frequently, if events and circumstances indicate that an impairment may exist. Goodwill is tested for impairment at the reporting unit level. The initial assessment for impairment under the qualitative approach is to determine whether it is more likely than not that the fair value of a reporting unit is less than its carrying amount, including goodwill. If the qualitative assessment indicates that it is more likely than not that the fair value of a reporting unit is less than the carrying amount, a quantitative assessment is performed to measure the amount of impairment loss, if any. The quantitative assessment includes comparing the fair value of a reporting unit with its carrying amount, including goodwill. If the carrying amount of the reporting unit exceeds its fair value, an impairment loss is recognized equal to the lesser of (a) the difference between the carrying amount of the reporting unit and its fair value and (b) the total carrying amount of the reporting unit’s goodwill.</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 xml:space="preserve">The Company recognizes revenue in accordance with Accounting Standards Codification Topic 606 (“ASC 606”), </w:t>
      </w:r>
      <w:r>
        <w:rPr>
          <w:rFonts w:ascii="Arial" w:cs="Arial" w:eastAsia="Arial" w:hAnsi="Arial"/>
          <w:sz w:val="19"/>
          <w:szCs w:val="19"/>
          <w:i w:val="1"/>
          <w:iCs w:val="1"/>
          <w:color w:val="auto"/>
        </w:rPr>
        <w:t>Revenue from</w:t>
      </w:r>
      <w:r>
        <w:rPr>
          <w:rFonts w:ascii="Arial" w:cs="Arial" w:eastAsia="Arial" w:hAnsi="Arial"/>
          <w:sz w:val="19"/>
          <w:szCs w:val="19"/>
          <w:color w:val="auto"/>
        </w:rPr>
        <w:t xml:space="preserve"> </w:t>
      </w:r>
      <w:r>
        <w:rPr>
          <w:rFonts w:ascii="Arial" w:cs="Arial" w:eastAsia="Arial" w:hAnsi="Arial"/>
          <w:sz w:val="19"/>
          <w:szCs w:val="19"/>
          <w:i w:val="1"/>
          <w:iCs w:val="1"/>
          <w:color w:val="auto"/>
        </w:rPr>
        <w:t>Contracts with Customers</w:t>
      </w:r>
      <w:r>
        <w:rPr>
          <w:rFonts w:ascii="Arial" w:cs="Arial" w:eastAsia="Arial" w:hAnsi="Arial"/>
          <w:sz w:val="19"/>
          <w:szCs w:val="19"/>
          <w:color w:val="auto"/>
        </w:rPr>
        <w:t>. Revenue is recognized in a manner that depicts the transfer of promised goods or services to customers and for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Management and Advisory Fees, Net</w:t>
      </w:r>
    </w:p>
    <w:p>
      <w:pPr>
        <w:spacing w:after="0" w:line="216" w:lineRule="exact"/>
        <w:rPr>
          <w:sz w:val="20"/>
          <w:szCs w:val="20"/>
          <w:color w:val="auto"/>
        </w:rPr>
      </w:pPr>
    </w:p>
    <w:p>
      <w:pPr>
        <w:ind w:right="220" w:firstLine="648"/>
        <w:spacing w:after="0" w:line="244" w:lineRule="auto"/>
        <w:rPr>
          <w:sz w:val="20"/>
          <w:szCs w:val="20"/>
          <w:color w:val="auto"/>
        </w:rPr>
      </w:pPr>
      <w:r>
        <w:rPr>
          <w:rFonts w:ascii="Arial" w:cs="Arial" w:eastAsia="Arial" w:hAnsi="Arial"/>
          <w:sz w:val="20"/>
          <w:szCs w:val="20"/>
          <w:color w:val="auto"/>
        </w:rPr>
        <w:t>The Company earns management fees for services provided to its SMAs, focused commingled funds and distribution management clients.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w:t>
      </w:r>
    </w:p>
    <w:p>
      <w:pPr>
        <w:spacing w:after="0" w:line="194"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the Company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the Company serves as the general partner or managing member. The Company determined that the individual client or single limited partner or member is the customer with respect to SMAs and advisory clients, while the investment fund is generally considered to be the customer for arrangements with focused commingled funds.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spacing w:after="0" w:line="165" w:lineRule="exact"/>
        <w:rPr>
          <w:sz w:val="20"/>
          <w:szCs w:val="20"/>
          <w:color w:val="auto"/>
        </w:rPr>
      </w:pPr>
    </w:p>
    <w:p>
      <w:pPr>
        <w:ind w:right="80" w:firstLine="648"/>
        <w:spacing w:after="0" w:line="244" w:lineRule="auto"/>
        <w:rPr>
          <w:sz w:val="20"/>
          <w:szCs w:val="20"/>
          <w:color w:val="auto"/>
        </w:rPr>
      </w:pPr>
      <w:r>
        <w:rPr>
          <w:rFonts w:ascii="Arial" w:cs="Arial" w:eastAsia="Arial" w:hAnsi="Arial"/>
          <w:sz w:val="20"/>
          <w:szCs w:val="20"/>
          <w:color w:val="auto"/>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incur certain costs in connection with satisfying its performance obligations for investment management services</w:t>
      </w:r>
    </w:p>
    <w:p>
      <w:pPr>
        <w:spacing w:after="0" w:line="3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 primarily employee travel costs and certain professional fees – for which it receives reimbursements from its customers. For reimbursable employee travel costs and certain professional fees, the Company concluded it controls the services provided by its employees and other parties and, therefore, is acting as principal. Accordingly, the Company records the reimbursement for these costs incurred on a gross basis – that is, as revenue in management and advisory fees, net and expense in general, administrative and other expenses in the condensed consolidated statements of income. For reimbursable costs incurred in connection with satisfying its performance obligations for administration services, the Company concluded it does not control the services provided by its employees and other parties and, therefore, is acting as agent. Accordingly, the Company records the reimbursement for these costs incurred on a net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Performance Fees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earns two types of performance fee revenues: incentive fees and carried interest allocations,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40" w:firstLine="648"/>
        <w:spacing w:after="0" w:line="259" w:lineRule="auto"/>
        <w:rPr>
          <w:sz w:val="20"/>
          <w:szCs w:val="20"/>
          <w:color w:val="auto"/>
        </w:rPr>
      </w:pPr>
      <w:r>
        <w:rPr>
          <w:rFonts w:ascii="Arial" w:cs="Arial" w:eastAsia="Arial" w:hAnsi="Arial"/>
          <w:sz w:val="19"/>
          <w:szCs w:val="19"/>
          <w:i w:val="1"/>
          <w:iCs w:val="1"/>
          <w:color w:val="auto"/>
        </w:rPr>
        <w:t xml:space="preserve">Incentive fees </w:t>
      </w:r>
      <w:r>
        <w:rPr>
          <w:rFonts w:ascii="Arial" w:cs="Arial" w:eastAsia="Arial" w:hAnsi="Arial"/>
          <w:sz w:val="19"/>
          <w:szCs w:val="19"/>
          <w:color w:val="auto"/>
        </w:rPr>
        <w:t>are generally calculated as a percentage of the profits (up to 10%) earned in respect of certain accounts for which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8" w:lineRule="exact"/>
        <w:rPr>
          <w:sz w:val="20"/>
          <w:szCs w:val="20"/>
          <w:color w:val="auto"/>
        </w:rPr>
      </w:pPr>
    </w:p>
    <w:p>
      <w:pPr>
        <w:jc w:val="both"/>
        <w:ind w:right="80" w:firstLine="648"/>
        <w:spacing w:after="0" w:line="306" w:lineRule="auto"/>
        <w:rPr>
          <w:sz w:val="20"/>
          <w:szCs w:val="20"/>
          <w:color w:val="auto"/>
        </w:rPr>
      </w:pPr>
      <w:r>
        <w:rPr>
          <w:rFonts w:ascii="Arial" w:cs="Arial" w:eastAsia="Arial" w:hAnsi="Arial"/>
          <w:sz w:val="16"/>
          <w:szCs w:val="16"/>
          <w:color w:val="auto"/>
        </w:rPr>
        <w:t>The Company recognizes incentive fee revenue only when these amounts are realized and no longer subject to significant reversal, which is typically at the end of a defined performance period and/or upon expiration of the associated clawback period (i.e., crystallization). However, clawback terms for incentive fees received prior to crystallization only require the return of amounts on a net of tax basis.</w:t>
      </w:r>
    </w:p>
    <w:p>
      <w:pPr>
        <w:spacing w:after="0" w:line="1" w:lineRule="exact"/>
        <w:rPr>
          <w:sz w:val="20"/>
          <w:szCs w:val="20"/>
          <w:color w:val="auto"/>
        </w:rPr>
      </w:pPr>
    </w:p>
    <w:p>
      <w:pPr>
        <w:ind w:right="280"/>
        <w:spacing w:after="0" w:line="241" w:lineRule="auto"/>
        <w:rPr>
          <w:sz w:val="20"/>
          <w:szCs w:val="20"/>
          <w:color w:val="auto"/>
        </w:rPr>
      </w:pPr>
      <w:r>
        <w:rPr>
          <w:rFonts w:ascii="Arial" w:cs="Arial" w:eastAsia="Arial" w:hAnsi="Arial"/>
          <w:sz w:val="20"/>
          <w:szCs w:val="20"/>
          <w:color w:val="auto"/>
        </w:rPr>
        <w:t>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94"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i w:val="1"/>
          <w:iCs w:val="1"/>
          <w:color w:val="auto"/>
        </w:rPr>
        <w:t xml:space="preserve">Carried interest allocations </w:t>
      </w:r>
      <w:r>
        <w:rPr>
          <w:rFonts w:ascii="Arial" w:cs="Arial" w:eastAsia="Arial" w:hAnsi="Arial"/>
          <w:sz w:val="20"/>
          <w:szCs w:val="20"/>
          <w:color w:val="auto"/>
        </w:rPr>
        <w:t>include the allocation of performance-based fees, commonly referred to as carried interest, to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from unaffiliated limited partners in the StepStone Funds in which the Company holds an equity interest. The Company is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197"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i w:val="1"/>
          <w:iCs w:val="1"/>
          <w:color w:val="231F20"/>
        </w:rPr>
        <w:t xml:space="preserve">Legacy Greenspring carried interest allocations </w:t>
      </w:r>
      <w:r>
        <w:rPr>
          <w:rFonts w:ascii="Arial" w:cs="Arial" w:eastAsia="Arial" w:hAnsi="Arial"/>
          <w:sz w:val="18"/>
          <w:szCs w:val="18"/>
          <w:color w:val="231F20"/>
        </w:rPr>
        <w:t>reflect the allocation of carried interest to legacy Greenspring general partner</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The Company accounts for the investment balances in the legacy Greenspring funds, including carried interest allocations, under the equity method of accounting </w:t>
      </w:r>
      <w:r>
        <w:rPr>
          <w:rFonts w:ascii="Arial" w:cs="Arial" w:eastAsia="Arial" w:hAnsi="Arial"/>
          <w:sz w:val="18"/>
          <w:szCs w:val="18"/>
          <w:color w:val="000000"/>
        </w:rPr>
        <w:t>because it</w:t>
      </w:r>
      <w:r>
        <w:rPr>
          <w:rFonts w:ascii="Arial" w:cs="Arial" w:eastAsia="Arial" w:hAnsi="Arial"/>
          <w:sz w:val="18"/>
          <w:szCs w:val="18"/>
          <w:color w:val="231F20"/>
        </w:rPr>
        <w:t xml:space="preserve"> </w:t>
      </w:r>
      <w:r>
        <w:rPr>
          <w:rFonts w:ascii="Arial" w:cs="Arial" w:eastAsia="Arial" w:hAnsi="Arial"/>
          <w:sz w:val="18"/>
          <w:szCs w:val="18"/>
          <w:color w:val="000000"/>
        </w:rPr>
        <w:t>is presumed to have significant influence as the general partner or managing member</w:t>
      </w:r>
      <w:r>
        <w:rPr>
          <w:rFonts w:ascii="Arial" w:cs="Arial" w:eastAsia="Arial" w:hAnsi="Arial"/>
          <w:sz w:val="18"/>
          <w:szCs w:val="18"/>
          <w:color w:val="231F20"/>
        </w:rPr>
        <w:t>. The Company does not hold any direct economic</w:t>
      </w:r>
      <w:r>
        <w:rPr>
          <w:rFonts w:ascii="Arial" w:cs="Arial" w:eastAsia="Arial" w:hAnsi="Arial"/>
          <w:sz w:val="18"/>
          <w:szCs w:val="18"/>
          <w:color w:val="000000"/>
        </w:rPr>
        <w:t xml:space="preserve"> </w:t>
      </w:r>
      <w:r>
        <w:rPr>
          <w:rFonts w:ascii="Arial" w:cs="Arial" w:eastAsia="Arial" w:hAnsi="Arial"/>
          <w:sz w:val="18"/>
          <w:szCs w:val="18"/>
          <w:color w:val="231F20"/>
        </w:rPr>
        <w:t xml:space="preserve">interests in the legacy Greenspring general partner entities and thus is not entitled to any carried interest allocation from the legacy funds. All of the carried interest allocations in respect of the legacy Greenspring funds are payable to employees who are considered affiliates of the Company and are therefore reflected as legacy Greenspring performance fee-related compensation in the condensed consolidated statements of income. </w:t>
      </w:r>
      <w:r>
        <w:rPr>
          <w:rFonts w:ascii="Arial" w:cs="Arial" w:eastAsia="Arial" w:hAnsi="Arial"/>
          <w:sz w:val="18"/>
          <w:szCs w:val="18"/>
          <w:color w:val="000000"/>
        </w:rPr>
        <w:t>Accordingly, legacy Greenspring carried interest allocations are not deemed to be within the scope of ASC 606.</w:t>
      </w:r>
    </w:p>
    <w:p>
      <w:pPr>
        <w:spacing w:after="0" w:line="174" w:lineRule="exact"/>
        <w:rPr>
          <w:sz w:val="20"/>
          <w:szCs w:val="20"/>
          <w:color w:val="auto"/>
        </w:rPr>
      </w:pPr>
    </w:p>
    <w:p>
      <w:pPr>
        <w:ind w:right="20" w:firstLine="648"/>
        <w:spacing w:after="0" w:line="316" w:lineRule="auto"/>
        <w:rPr>
          <w:sz w:val="20"/>
          <w:szCs w:val="20"/>
          <w:color w:val="auto"/>
        </w:rPr>
      </w:pPr>
      <w:r>
        <w:rPr>
          <w:rFonts w:ascii="Arial" w:cs="Arial" w:eastAsia="Arial" w:hAnsi="Arial"/>
          <w:sz w:val="16"/>
          <w:szCs w:val="16"/>
          <w:color w:val="auto"/>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4" w:right="39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September 30, 2021 and March 31, 2021, no material amounts for potential clawback obligations had been accrued.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Equity-Based Compensation</w:t>
      </w:r>
    </w:p>
    <w:p>
      <w:pPr>
        <w:spacing w:after="0" w:line="222" w:lineRule="exact"/>
        <w:rPr>
          <w:sz w:val="20"/>
          <w:szCs w:val="20"/>
          <w:color w:val="auto"/>
        </w:rPr>
      </w:pPr>
    </w:p>
    <w:p>
      <w:pPr>
        <w:ind w:right="40" w:firstLine="648"/>
        <w:spacing w:after="0" w:line="259" w:lineRule="auto"/>
        <w:rPr>
          <w:sz w:val="20"/>
          <w:szCs w:val="20"/>
          <w:color w:val="auto"/>
        </w:rPr>
      </w:pPr>
      <w:r>
        <w:rPr>
          <w:rFonts w:ascii="Arial" w:cs="Arial" w:eastAsia="Arial" w:hAnsi="Arial"/>
          <w:sz w:val="19"/>
          <w:szCs w:val="19"/>
          <w:color w:val="auto"/>
        </w:rPr>
        <w:t>The Company accounts for grants of equity-based awards, including restricted stock units (“RSUs”), to certain employees and directors at fair value as of the grant date. The Company recognizes non-cash compensation expense attributable to these grants on a straight-line basis over the requisite service period, which is generally the vesting period. Expense related to grants of equity-based awards is recognized as equity-based compensation expense in the condensed consolidated statements of income. The fair value of RSUs is determined by the closing stock price on the grant date. Forfeitures of equity-based awards are recognized as they occur. See note 9 for additional information regarding the Company’s accounting for equity-based awards.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Taxes</w:t>
      </w:r>
    </w:p>
    <w:p>
      <w:pPr>
        <w:spacing w:after="0" w:line="222" w:lineRule="exact"/>
        <w:rPr>
          <w:sz w:val="20"/>
          <w:szCs w:val="20"/>
          <w:color w:val="auto"/>
        </w:rPr>
      </w:pPr>
    </w:p>
    <w:p>
      <w:pPr>
        <w:ind w:right="60" w:firstLine="648"/>
        <w:spacing w:after="0" w:line="257" w:lineRule="auto"/>
        <w:rPr>
          <w:sz w:val="20"/>
          <w:szCs w:val="20"/>
          <w:color w:val="auto"/>
        </w:rPr>
      </w:pPr>
      <w:r>
        <w:rPr>
          <w:rFonts w:ascii="Arial" w:cs="Arial" w:eastAsia="Arial" w:hAnsi="Arial"/>
          <w:sz w:val="19"/>
          <w:szCs w:val="19"/>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condensed consolidated statements of income. As a result, the Partnership does not record U.S. federal and state income taxes on income in the Partnership or its subsidiaries, except for certain local and foreign income taxes discussed above.</w:t>
      </w:r>
    </w:p>
    <w:p>
      <w:pPr>
        <w:spacing w:after="0" w:line="180" w:lineRule="exact"/>
        <w:rPr>
          <w:sz w:val="20"/>
          <w:szCs w:val="20"/>
          <w:color w:val="auto"/>
        </w:rPr>
      </w:pPr>
    </w:p>
    <w:p>
      <w:pPr>
        <w:ind w:right="60" w:firstLine="648"/>
        <w:spacing w:after="0" w:line="316" w:lineRule="auto"/>
        <w:rPr>
          <w:sz w:val="20"/>
          <w:szCs w:val="20"/>
          <w:color w:val="auto"/>
        </w:rPr>
      </w:pPr>
      <w:r>
        <w:rPr>
          <w:rFonts w:ascii="Arial" w:cs="Arial" w:eastAsia="Arial" w:hAnsi="Arial"/>
          <w:sz w:val="16"/>
          <w:szCs w:val="16"/>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condensed consolidated balance sheets. The principal items giving rise to temporary differences are certain basis differences resulting from exchanges of Partnership units. See Tax Receivable Agreements below.</w:t>
      </w:r>
    </w:p>
    <w:p>
      <w:pPr>
        <w:spacing w:after="0" w:line="140" w:lineRule="exact"/>
        <w:rPr>
          <w:sz w:val="20"/>
          <w:szCs w:val="20"/>
          <w:color w:val="auto"/>
        </w:rPr>
      </w:pPr>
    </w:p>
    <w:p>
      <w:pPr>
        <w:ind w:right="120" w:firstLine="648"/>
        <w:spacing w:after="0" w:line="244" w:lineRule="auto"/>
        <w:rPr>
          <w:sz w:val="20"/>
          <w:szCs w:val="20"/>
          <w:color w:val="auto"/>
        </w:rPr>
      </w:pPr>
      <w:r>
        <w:rPr>
          <w:rFonts w:ascii="Arial" w:cs="Arial" w:eastAsia="Arial" w:hAnsi="Arial"/>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 xml:space="preserve">The Company is subject to the provisions of ASC Subtopic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percent likely to be realized. If upon performance of an assessment pursuant to this subtopic, management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respectively, in the condensed consolidated statements of income. See note 10 for more information.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Tax Receivable Agreements</w:t>
      </w:r>
    </w:p>
    <w:p>
      <w:pPr>
        <w:spacing w:after="0" w:line="222"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SSG has entered into an Exchanges Tax Receivable Agreement (the “Exchanges Tax Receivable Agreement”) with the partners of the Partnership as of the date of the IPO and a Reorganization Tax Receivable Agreement with certain pre-IPO institutional investors (together with the Exchanges Tax Receivable Agreement, the “Tax Receivable Agreements”). The Tax Receivable Agreements provide for payment by SSG to such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 In connection with the Greenspring acquisition, the sellers receiving Class C units of the Partnership became parties to the Exchanges Tax Receivable Agreement. See notes 13 and 14 for more information.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Accumulated Other Comprehensive Income</w:t>
      </w:r>
    </w:p>
    <w:p>
      <w:pPr>
        <w:spacing w:after="0" w:line="22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w w:val="89"/>
              </w:rPr>
              <w:t>As of</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13"/>
                <w:szCs w:val="13"/>
                <w:color w:val="auto"/>
              </w:rPr>
            </w:pPr>
          </w:p>
        </w:tc>
        <w:tc>
          <w:tcPr>
            <w:tcW w:w="1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March 31, 2021</w:t>
            </w:r>
          </w:p>
        </w:tc>
        <w:tc>
          <w:tcPr>
            <w:tcW w:w="0" w:type="dxa"/>
            <w:vAlign w:val="bottom"/>
          </w:tcPr>
          <w:p>
            <w:pPr>
              <w:spacing w:after="0"/>
              <w:rPr>
                <w:sz w:val="1"/>
                <w:szCs w:val="1"/>
                <w:color w:val="auto"/>
              </w:rPr>
            </w:pPr>
          </w:p>
        </w:tc>
      </w:tr>
      <w:tr>
        <w:trPr>
          <w:trHeight w:val="213"/>
        </w:trPr>
        <w:tc>
          <w:tcPr>
            <w:tcW w:w="69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Foreign currency translation adjustments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Unrealized loss on defined benefit plan, net</w:t>
            </w:r>
          </w:p>
        </w:tc>
        <w:tc>
          <w:tcPr>
            <w:tcW w:w="8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93"/>
              </w:rPr>
              <w:t>(49)</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93"/>
              </w:rPr>
              <w:t>(53)</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268</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Segments</w:t>
      </w:r>
    </w:p>
    <w:p>
      <w:pPr>
        <w:spacing w:after="0" w:line="222" w:lineRule="exact"/>
        <w:rPr>
          <w:sz w:val="20"/>
          <w:szCs w:val="20"/>
          <w:color w:val="auto"/>
        </w:rPr>
      </w:pPr>
    </w:p>
    <w:p>
      <w:pPr>
        <w:ind w:right="40" w:firstLine="648"/>
        <w:spacing w:after="0" w:line="263" w:lineRule="auto"/>
        <w:rPr>
          <w:sz w:val="20"/>
          <w:szCs w:val="20"/>
          <w:color w:val="auto"/>
        </w:rPr>
      </w:pPr>
      <w:r>
        <w:rPr>
          <w:rFonts w:ascii="Arial" w:cs="Arial" w:eastAsia="Arial" w:hAnsi="Arial"/>
          <w:sz w:val="19"/>
          <w:szCs w:val="19"/>
          <w:color w:val="auto"/>
        </w:rPr>
        <w:t>The Company operates as one business, a fully-integrated private markets solution provider. The Company’s chief operating decision maker, which consists of the Company’s co-chief executive officers together,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Recent Accounting Pronouncements</w:t>
      </w:r>
    </w:p>
    <w:p>
      <w:pPr>
        <w:spacing w:after="0" w:line="22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9"/>
          <w:szCs w:val="19"/>
          <w:color w:val="auto"/>
        </w:rPr>
        <w:t xml:space="preserve">In December 2019, the Financial Accounting Standards Board (“FASB”) issued ASU 2019-12, </w:t>
      </w:r>
      <w:r>
        <w:rPr>
          <w:rFonts w:ascii="Arial" w:cs="Arial" w:eastAsia="Arial" w:hAnsi="Arial"/>
          <w:sz w:val="19"/>
          <w:szCs w:val="19"/>
          <w:i w:val="1"/>
          <w:iCs w:val="1"/>
          <w:color w:val="auto"/>
        </w:rPr>
        <w:t>Income Taxes (Topic 740):</w:t>
      </w:r>
      <w:r>
        <w:rPr>
          <w:rFonts w:ascii="Arial" w:cs="Arial" w:eastAsia="Arial" w:hAnsi="Arial"/>
          <w:sz w:val="19"/>
          <w:szCs w:val="19"/>
          <w:color w:val="auto"/>
        </w:rPr>
        <w:t xml:space="preserve"> </w:t>
      </w:r>
      <w:r>
        <w:rPr>
          <w:rFonts w:ascii="Arial" w:cs="Arial" w:eastAsia="Arial" w:hAnsi="Arial"/>
          <w:sz w:val="19"/>
          <w:szCs w:val="19"/>
          <w:i w:val="1"/>
          <w:iCs w:val="1"/>
          <w:color w:val="auto"/>
        </w:rPr>
        <w:t>Simplifying the Accounting for Income Taxes</w:t>
      </w:r>
      <w:r>
        <w:rPr>
          <w:rFonts w:ascii="Arial" w:cs="Arial" w:eastAsia="Arial" w:hAnsi="Arial"/>
          <w:sz w:val="19"/>
          <w:szCs w:val="19"/>
          <w:color w:val="auto"/>
        </w:rPr>
        <w:t>, which modifies ASC 740 to simplify the accounting for income taxes. The guidance, among</w:t>
      </w:r>
      <w:r>
        <w:rPr>
          <w:rFonts w:ascii="Arial" w:cs="Arial" w:eastAsia="Arial" w:hAnsi="Arial"/>
          <w:sz w:val="19"/>
          <w:szCs w:val="19"/>
          <w:i w:val="1"/>
          <w:iCs w:val="1"/>
          <w:color w:val="auto"/>
        </w:rPr>
        <w:t xml:space="preserve"> </w:t>
      </w:r>
      <w:r>
        <w:rPr>
          <w:rFonts w:ascii="Arial" w:cs="Arial" w:eastAsia="Arial" w:hAnsi="Arial"/>
          <w:sz w:val="19"/>
          <w:szCs w:val="19"/>
          <w:color w:val="auto"/>
        </w:rPr>
        <w:t>other changes, (i) provides a policy election to not allocate consolidated income taxes when a member of a consolidated tax return is not subject to income tax and (ii) provides guidance to evaluate whether a step-up in tax basis of goodwill relates to a business combination in which book goodwill was recognized or a separate transaction. This guidance is effective for annual and interim periods beginning after December 15, 2020, with early adoption permitted. The Company adopted this guidance on April 1, 2021. Adoption of this guidance did not have a material effect on the condensed consolidated financial statements.</w:t>
      </w:r>
    </w:p>
    <w:p>
      <w:pPr>
        <w:spacing w:after="0" w:line="185" w:lineRule="exact"/>
        <w:rPr>
          <w:sz w:val="20"/>
          <w:szCs w:val="20"/>
          <w:color w:val="auto"/>
        </w:rPr>
      </w:pPr>
    </w:p>
    <w:p>
      <w:pPr>
        <w:ind w:right="20" w:firstLine="648"/>
        <w:spacing w:after="0" w:line="274" w:lineRule="auto"/>
        <w:rPr>
          <w:sz w:val="20"/>
          <w:szCs w:val="20"/>
          <w:color w:val="auto"/>
        </w:rPr>
      </w:pPr>
      <w:r>
        <w:rPr>
          <w:rFonts w:ascii="Arial" w:cs="Arial" w:eastAsia="Arial" w:hAnsi="Arial"/>
          <w:sz w:val="18"/>
          <w:szCs w:val="18"/>
          <w:color w:val="auto"/>
        </w:rPr>
        <w:t xml:space="preserve">In July 2021, the FASB issued ASU 2021-05, </w:t>
      </w:r>
      <w:r>
        <w:rPr>
          <w:rFonts w:ascii="Arial" w:cs="Arial" w:eastAsia="Arial" w:hAnsi="Arial"/>
          <w:sz w:val="18"/>
          <w:szCs w:val="18"/>
          <w:i w:val="1"/>
          <w:iCs w:val="1"/>
          <w:color w:val="auto"/>
        </w:rPr>
        <w:t>Leases (Topic 842): Lessors—Certain Leases with Variable Lease Payments</w:t>
      </w:r>
      <w:r>
        <w:rPr>
          <w:rFonts w:ascii="Arial" w:cs="Arial" w:eastAsia="Arial" w:hAnsi="Arial"/>
          <w:sz w:val="18"/>
          <w:szCs w:val="18"/>
          <w:color w:val="auto"/>
        </w:rPr>
        <w:t>, which modifies ASC 842 to amend the lease classification requirements for lessors to align with practice under ASC Topic 840. Lessors should classify and account for a lease with variable lease payments that do not depend on a reference index or a rate as an operating lease if the lease would have been classified as a sales-type lease or a direct financing lease under ASC 842, and the lessor would have otherwise recognized a day-one loss on the investment in the lease. This guidance is effective for annual periods beginning after December 15, 2021 and interim periods within those annual periods. The Company plans to adopt this guidance on April 1, 2022, and does expect the adoption of this guidance to have a material effect on the condensed consolidated financial statements.</w:t>
      </w:r>
    </w:p>
    <w:p>
      <w:pPr>
        <w:spacing w:after="0" w:line="16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6"/>
          <w:szCs w:val="16"/>
          <w:b w:val="1"/>
          <w:bCs w:val="1"/>
          <w:color w:val="auto"/>
        </w:rPr>
        <w:t>Revenues</w:t>
      </w:r>
    </w:p>
    <w:p>
      <w:pPr>
        <w:spacing w:after="0" w:line="222"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The following presents revenues disaggregated by product offering, which aligns with the Company’s performance obligations and the basis for calculating each amount: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6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1"/>
              </w:rPr>
              <w:t>Six Months Ended September 30,</w:t>
            </w:r>
          </w:p>
        </w:tc>
      </w:tr>
      <w:tr>
        <w:trPr>
          <w:trHeight w:val="215"/>
        </w:trPr>
        <w:tc>
          <w:tcPr>
            <w:tcW w:w="5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Management and Advisory Fees, Net</w:t>
            </w: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r>
      <w:tr>
        <w:trPr>
          <w:trHeight w:val="223"/>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Focused commingled funds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30,821</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50,674</w:t>
            </w:r>
          </w:p>
        </w:tc>
      </w:tr>
      <w:tr>
        <w:trPr>
          <w:trHeight w:val="230"/>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SMAs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42,510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31,229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83,115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61,951</w:t>
            </w:r>
          </w:p>
        </w:tc>
      </w:tr>
      <w:tr>
        <w:trPr>
          <w:trHeight w:val="230"/>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Advisory and other services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26,465</w:t>
            </w:r>
          </w:p>
        </w:tc>
      </w:tr>
      <w:tr>
        <w:trPr>
          <w:trHeight w:val="230"/>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Fund reimbursement revenues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48"/>
        </w:trPr>
        <w:tc>
          <w:tcPr>
            <w:tcW w:w="5640" w:type="dxa"/>
            <w:vAlign w:val="bottom"/>
            <w:tcBorders>
              <w:top w:val="single" w:sz="8" w:color="CCEEFF"/>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Total management and advisory fees, net</w:t>
            </w: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83,583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75,652</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161,644</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139,152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21"/>
        </w:trPr>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24"/>
                <w:szCs w:val="24"/>
                <w:color w:val="auto"/>
              </w:rPr>
            </w:pPr>
          </w:p>
        </w:tc>
        <w:tc>
          <w:tcPr>
            <w:tcW w:w="250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1"/>
              </w:rPr>
              <w:t>Six Months Ended September 30,</w:t>
            </w:r>
          </w:p>
        </w:tc>
      </w:tr>
      <w:tr>
        <w:trPr>
          <w:trHeight w:val="215"/>
        </w:trPr>
        <w:tc>
          <w:tcPr>
            <w:tcW w:w="5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Incentive Fees</w:t>
            </w: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r>
      <w:tr>
        <w:trPr>
          <w:trHeight w:val="223"/>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w:t>
            </w:r>
          </w:p>
        </w:tc>
      </w:tr>
      <w:tr>
        <w:trPr>
          <w:trHeight w:val="230"/>
        </w:trPr>
        <w:tc>
          <w:tcPr>
            <w:tcW w:w="5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Focused commingled funds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56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Total incentive fees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8"/>
        </w:trPr>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24"/>
                <w:szCs w:val="24"/>
                <w:color w:val="auto"/>
              </w:rPr>
            </w:pPr>
          </w:p>
        </w:tc>
        <w:tc>
          <w:tcPr>
            <w:tcW w:w="250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1"/>
              </w:rPr>
              <w:t>Six Months Ended September 30,</w:t>
            </w:r>
          </w:p>
        </w:tc>
      </w:tr>
      <w:tr>
        <w:trPr>
          <w:trHeight w:val="216"/>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Carried Interest Allocations</w:t>
            </w: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129,829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127,227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302,622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21,459</w:t>
            </w:r>
          </w:p>
        </w:tc>
      </w:tr>
      <w:tr>
        <w:trPr>
          <w:trHeight w:val="230"/>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Focused commingled funds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66,557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38,838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120,126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16,104</w:t>
            </w:r>
          </w:p>
        </w:tc>
      </w:tr>
      <w:tr>
        <w:trPr>
          <w:trHeight w:val="248"/>
        </w:trPr>
        <w:tc>
          <w:tcPr>
            <w:tcW w:w="56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carried interest allocations</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196,386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166,065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422,748</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Pr>
          <w:p>
            <w:pPr>
              <w:spacing w:after="0"/>
              <w:rPr>
                <w:sz w:val="18"/>
                <w:szCs w:val="18"/>
                <w:color w:val="auto"/>
              </w:rPr>
            </w:pPr>
          </w:p>
        </w:tc>
        <w:tc>
          <w:tcPr>
            <w:tcW w:w="294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ind w:left="20"/>
              <w:spacing w:after="0"/>
              <w:rPr>
                <w:sz w:val="20"/>
                <w:szCs w:val="20"/>
                <w:color w:val="auto"/>
              </w:rPr>
            </w:pPr>
            <w:r>
              <w:rPr>
                <w:rFonts w:ascii="Arial" w:cs="Arial" w:eastAsia="Arial" w:hAnsi="Arial"/>
                <w:sz w:val="16"/>
                <w:szCs w:val="16"/>
                <w:b w:val="1"/>
                <w:bCs w:val="1"/>
                <w:color w:val="auto"/>
                <w:w w:val="97"/>
              </w:rPr>
              <w:t>Six Months Ended September 30,</w:t>
            </w:r>
          </w:p>
        </w:tc>
      </w:tr>
      <w:tr>
        <w:trPr>
          <w:trHeight w:val="215"/>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Legacy Greenspring Carried Interest Allocations</w:t>
            </w: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29"/>
        </w:trPr>
        <w:tc>
          <w:tcPr>
            <w:tcW w:w="5660" w:type="dxa"/>
            <w:vAlign w:val="bottom"/>
          </w:tcPr>
          <w:p>
            <w:pPr>
              <w:ind w:left="20"/>
              <w:spacing w:after="0" w:line="230" w:lineRule="exact"/>
              <w:rPr>
                <w:sz w:val="20"/>
                <w:szCs w:val="20"/>
                <w:color w:val="auto"/>
              </w:rPr>
            </w:pPr>
            <w:r>
              <w:rPr>
                <w:rFonts w:ascii="Arial" w:cs="Arial" w:eastAsia="Arial" w:hAnsi="Arial"/>
                <w:sz w:val="18"/>
                <w:szCs w:val="18"/>
                <w:color w:val="auto"/>
              </w:rPr>
              <w:t>Focused commingled funds</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48"/>
        </w:trPr>
        <w:tc>
          <w:tcPr>
            <w:tcW w:w="56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legacy Greenspring carried interest allocations</w:t>
            </w:r>
          </w:p>
        </w:tc>
        <w:tc>
          <w:tcPr>
            <w:tcW w:w="2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660" w:right="220" w:hanging="652"/>
        <w:spacing w:after="0" w:line="260" w:lineRule="auto"/>
        <w:tabs>
          <w:tab w:leader="none" w:pos="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the net effect of gross realized carried interest allocations of $3.0 million and the reversal of such amounts in unrealized carried interest allocations for the period from September 20, 2021 to September 30, 2021.</w:t>
      </w:r>
    </w:p>
    <w:p>
      <w:pPr>
        <w:spacing w:after="0" w:line="183" w:lineRule="exact"/>
        <w:rPr>
          <w:sz w:val="20"/>
          <w:szCs w:val="20"/>
          <w:color w:val="auto"/>
        </w:rPr>
      </w:pPr>
    </w:p>
    <w:p>
      <w:pPr>
        <w:jc w:val="both"/>
        <w:ind w:right="800" w:firstLine="648"/>
        <w:spacing w:after="0" w:line="250" w:lineRule="auto"/>
        <w:rPr>
          <w:sz w:val="20"/>
          <w:szCs w:val="20"/>
          <w:color w:val="auto"/>
        </w:rPr>
      </w:pPr>
      <w:r>
        <w:rPr>
          <w:rFonts w:ascii="Arial" w:cs="Arial" w:eastAsia="Arial" w:hAnsi="Arial"/>
          <w:sz w:val="20"/>
          <w:szCs w:val="20"/>
          <w:color w:val="auto"/>
        </w:rPr>
        <w:t>The increase in carried interest allocations for the three and six months ended September 30, 2021 and 2020 was primarily attributable to net unrealized appreciation in the fair value of certain underlying fund investments. See note 2 for a discussion of the Company’s accounting policy for investments on a three-month lag.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derives revenues from clients located in both the United States and other countries. The table below presents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Company’s revenues by geographic location: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23"/>
                <w:szCs w:val="23"/>
                <w:b w:val="1"/>
                <w:bCs w:val="1"/>
                <w:color w:val="auto"/>
                <w:vertAlign w:val="superscript"/>
              </w:rPr>
              <w:t>(1)</w:t>
            </w:r>
          </w:p>
        </w:tc>
        <w:tc>
          <w:tcPr>
            <w:tcW w:w="120" w:type="dxa"/>
            <w:vAlign w:val="bottom"/>
          </w:tcPr>
          <w:p>
            <w:pPr>
              <w:spacing w:after="0"/>
              <w:rPr>
                <w:sz w:val="18"/>
                <w:szCs w:val="18"/>
                <w:color w:val="auto"/>
              </w:rPr>
            </w:pPr>
          </w:p>
        </w:tc>
        <w:tc>
          <w:tcPr>
            <w:tcW w:w="286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3"/>
              <w:spacing w:after="0"/>
              <w:rPr>
                <w:sz w:val="20"/>
                <w:szCs w:val="20"/>
                <w:color w:val="auto"/>
              </w:rPr>
            </w:pPr>
            <w:r>
              <w:rPr>
                <w:rFonts w:ascii="Arial" w:cs="Arial" w:eastAsia="Arial" w:hAnsi="Arial"/>
                <w:sz w:val="16"/>
                <w:szCs w:val="16"/>
                <w:b w:val="1"/>
                <w:bCs w:val="1"/>
                <w:color w:val="auto"/>
                <w:w w:val="91"/>
              </w:rPr>
              <w:t>Six Months Ended September 30,</w:t>
            </w:r>
          </w:p>
        </w:tc>
        <w:tc>
          <w:tcPr>
            <w:tcW w:w="0" w:type="dxa"/>
            <w:vAlign w:val="bottom"/>
          </w:tcPr>
          <w:p>
            <w:pPr>
              <w:spacing w:after="0"/>
              <w:rPr>
                <w:sz w:val="1"/>
                <w:szCs w:val="1"/>
                <w:color w:val="auto"/>
              </w:rPr>
            </w:pPr>
          </w:p>
        </w:tc>
      </w:tr>
      <w:tr>
        <w:trPr>
          <w:trHeight w:val="212"/>
        </w:trPr>
        <w:tc>
          <w:tcPr>
            <w:tcW w:w="5620" w:type="dxa"/>
            <w:vAlign w:val="bottom"/>
            <w:tcBorders>
              <w:bottom w:val="single" w:sz="8" w:color="CCEEFF"/>
            </w:tcBorders>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46,551</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111,640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51,961</w:t>
            </w:r>
          </w:p>
        </w:tc>
        <w:tc>
          <w:tcPr>
            <w:tcW w:w="0" w:type="dxa"/>
            <w:vAlign w:val="bottom"/>
          </w:tcPr>
          <w:p>
            <w:pPr>
              <w:spacing w:after="0"/>
              <w:rPr>
                <w:sz w:val="1"/>
                <w:szCs w:val="1"/>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Non-U.S. countries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220,780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196,362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478,730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129,539</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660" w:right="460" w:hanging="652"/>
        <w:spacing w:after="0" w:line="260" w:lineRule="auto"/>
        <w:tabs>
          <w:tab w:leader="none" w:pos="6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Revenues are attributed to countries based on client location for SMAs and advisory and other services, or location of investment vehicle for focused commingled funds.</w:t>
      </w:r>
    </w:p>
    <w:p>
      <w:pPr>
        <w:spacing w:after="0" w:line="183" w:lineRule="exact"/>
        <w:rPr>
          <w:sz w:val="20"/>
          <w:szCs w:val="20"/>
          <w:color w:val="auto"/>
        </w:rPr>
      </w:pPr>
    </w:p>
    <w:p>
      <w:pPr>
        <w:ind w:right="240" w:firstLine="648"/>
        <w:spacing w:after="0" w:line="260" w:lineRule="auto"/>
        <w:rPr>
          <w:sz w:val="20"/>
          <w:szCs w:val="20"/>
          <w:color w:val="auto"/>
        </w:rPr>
      </w:pPr>
      <w:r>
        <w:rPr>
          <w:rFonts w:ascii="Arial" w:cs="Arial" w:eastAsia="Arial" w:hAnsi="Arial"/>
          <w:sz w:val="20"/>
          <w:szCs w:val="20"/>
          <w:color w:val="auto"/>
        </w:rPr>
        <w:t>For the three and six months ended September 30, 2021 and 2020, no individual client represented 10% or more of the Company’s management and advisory fees.</w:t>
      </w:r>
    </w:p>
    <w:p>
      <w:pPr>
        <w:spacing w:after="0" w:line="177" w:lineRule="exact"/>
        <w:rPr>
          <w:sz w:val="20"/>
          <w:szCs w:val="20"/>
          <w:color w:val="auto"/>
        </w:rPr>
      </w:pPr>
    </w:p>
    <w:p>
      <w:pPr>
        <w:ind w:right="100" w:firstLine="648"/>
        <w:spacing w:after="0" w:line="246" w:lineRule="auto"/>
        <w:rPr>
          <w:sz w:val="20"/>
          <w:szCs w:val="20"/>
          <w:color w:val="auto"/>
        </w:rPr>
      </w:pPr>
      <w:r>
        <w:rPr>
          <w:rFonts w:ascii="Arial" w:cs="Arial" w:eastAsia="Arial" w:hAnsi="Arial"/>
          <w:sz w:val="20"/>
          <w:szCs w:val="20"/>
          <w:color w:val="auto"/>
        </w:rPr>
        <w:t>As of September 30, 2021 and March 31, 2021, the Company had $20.3 million and $13.9 million, respectively, of deferred revenues, which is included in accounts payable, accrued expenses and other liabilities in the condensed consolidated balance sheets. During the six months ended September 30, 2021, the Company had recognized $0.3 million as revenue from amounts included in the deferred revenue balance as of March 31, 2021.</w:t>
      </w:r>
    </w:p>
    <w:p>
      <w:pPr>
        <w:spacing w:after="0" w:line="185" w:lineRule="exact"/>
        <w:rPr>
          <w:sz w:val="20"/>
          <w:szCs w:val="20"/>
          <w:color w:val="auto"/>
        </w:rPr>
      </w:pPr>
    </w:p>
    <w:p>
      <w:pPr>
        <w:ind w:left="660" w:right="8760" w:hanging="652"/>
        <w:spacing w:after="0" w:line="520" w:lineRule="auto"/>
        <w:tabs>
          <w:tab w:leader="none" w:pos="35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Consolidated VIEs</w:t>
      </w:r>
    </w:p>
    <w:p>
      <w:pPr>
        <w:ind w:firstLine="648"/>
        <w:spacing w:after="0" w:line="273" w:lineRule="auto"/>
        <w:rPr>
          <w:sz w:val="20"/>
          <w:szCs w:val="20"/>
          <w:color w:val="auto"/>
        </w:rPr>
      </w:pPr>
      <w:r>
        <w:rPr>
          <w:rFonts w:ascii="Arial" w:cs="Arial" w:eastAsia="Arial" w:hAnsi="Arial"/>
          <w:sz w:val="18"/>
          <w:szCs w:val="18"/>
          <w:color w:val="auto"/>
        </w:rPr>
        <w:t>The Company consolidates certain VIEs for which it is the primary beneficiary. The Company’s VIEs consist of certain operating entities not wholly-owned by the Company (e.g., Swiss Capital, SRA and SRE) and legacy Greenspring general partner entities. See note 2 for more information on the Company’s accounting policies related to the consolidation of VIEs. The assets of the consolidated VIEs totaled $1,298.1 million and $65.3 million as of September 30, 2021 and March 31, 2021, respectively. The liabilities of the consolidated VIEs totaled $1,042.9 million and $26.9 million as of September 30, 2021 and March 31, 2021, 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September 30, 2021, no material amounts previously distributed have been accrued for clawback liabilities.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Unconsolidated VIEs</w:t>
      </w:r>
    </w:p>
    <w:p>
      <w:pPr>
        <w:spacing w:after="0" w:line="22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condensed consolidated balance sheets with respect to the Company’s interests in VIEs that were not consolidated is set forth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820" w:type="dxa"/>
            <w:vAlign w:val="bottom"/>
            <w:gridSpan w:val="5"/>
          </w:tcPr>
          <w:p>
            <w:pPr>
              <w:ind w:left="40"/>
              <w:spacing w:after="0"/>
              <w:rPr>
                <w:sz w:val="20"/>
                <w:szCs w:val="20"/>
                <w:color w:val="auto"/>
              </w:rPr>
            </w:pPr>
            <w:r>
              <w:rPr>
                <w:rFonts w:ascii="Arial" w:cs="Arial" w:eastAsia="Arial" w:hAnsi="Arial"/>
                <w:sz w:val="16"/>
                <w:szCs w:val="16"/>
                <w:b w:val="1"/>
                <w:bCs w:val="1"/>
                <w:color w:val="auto"/>
              </w:rPr>
              <w:t>September 30, 2021</w:t>
            </w:r>
          </w:p>
        </w:tc>
        <w:tc>
          <w:tcPr>
            <w:tcW w:w="1280" w:type="dxa"/>
            <w:vAlign w:val="bottom"/>
          </w:tcPr>
          <w:p>
            <w:pPr>
              <w:jc w:val="right"/>
              <w:ind w:right="91"/>
              <w:spacing w:after="0"/>
              <w:rPr>
                <w:sz w:val="20"/>
                <w:szCs w:val="20"/>
                <w:color w:val="auto"/>
              </w:rPr>
            </w:pPr>
            <w:r>
              <w:rPr>
                <w:rFonts w:ascii="Arial" w:cs="Arial" w:eastAsia="Arial" w:hAnsi="Arial"/>
                <w:sz w:val="16"/>
                <w:szCs w:val="16"/>
                <w:b w:val="1"/>
                <w:bCs w:val="1"/>
                <w:color w:val="auto"/>
                <w:w w:val="94"/>
              </w:rPr>
              <w:t>March 31, 2021</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funds</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90,325</w:t>
            </w:r>
          </w:p>
        </w:tc>
        <w:tc>
          <w:tcPr>
            <w:tcW w:w="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74,379</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Legacy Greenspring investments in funds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219,086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affiliates, net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Less: Amounts attributable to non-controlling interests in subsidiaries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8,950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7,488</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Amounts attributable to non-controlling interests in legacy Greenspring entities</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219,086</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Maximum exposure to loss</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89,143</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71,109</w:t>
            </w:r>
          </w:p>
        </w:tc>
      </w:tr>
      <w:tr>
        <w:trPr>
          <w:trHeight w:val="21"/>
        </w:trPr>
        <w:tc>
          <w:tcPr>
            <w:tcW w:w="8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6"/>
          <w:szCs w:val="16"/>
          <w:b w:val="1"/>
          <w:bCs w:val="1"/>
          <w:color w:val="auto"/>
        </w:rPr>
        <w:t>Investments</w:t>
      </w:r>
    </w:p>
    <w:p>
      <w:pPr>
        <w:spacing w:after="0" w:line="222"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The Company’s investments consist of equity method investments primarily related to investments in the StepStone Funds for which it serves as general partner or managing member but does not have a controlling financial interest. The Company’s equity interest typically does not exceed 1% in each fund. The Company’s share of the underlying net income or loss attributable to its equity interest in the funds is recorded in investment income in the condensed consolidated statements of income. Investment income attributable to investments in certain legacy Greenspring funds for which the Company has no economic interest are recorded in legacy Greenspring investment income in the condensed consolidated statements of income.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Company’s equity method investments consist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March 31, 2021</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funds</w:t>
            </w: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90,325</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74,379</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Accrued carried interest allocations</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1,215,919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896,523</w:t>
            </w:r>
          </w:p>
        </w:tc>
      </w:tr>
      <w:tr>
        <w:trPr>
          <w:trHeight w:val="230"/>
        </w:trPr>
        <w:tc>
          <w:tcPr>
            <w:tcW w:w="8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Legacy Greenspring investments in funds and accrued carried interest allocations</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1,208,693</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 investments</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2,514,937</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970,902</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Reflects investments in funds of $219.1 million and carried interest allocations of $989.6 million.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recognized equity method income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1"/>
              </w:rPr>
              <w:t>Six Months Ended September 30,</w:t>
            </w:r>
          </w:p>
        </w:tc>
      </w:tr>
      <w:tr>
        <w:trPr>
          <w:trHeight w:val="210"/>
        </w:trPr>
        <w:tc>
          <w:tcPr>
            <w:tcW w:w="56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r>
      <w:tr>
        <w:trPr>
          <w:trHeight w:val="22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Carried interest allocations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196,386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166,065</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422,748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37,563</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7,187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13,611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1,147</w:t>
            </w:r>
          </w:p>
        </w:tc>
      </w:tr>
      <w:tr>
        <w:trPr>
          <w:trHeight w:val="229"/>
        </w:trPr>
        <w:tc>
          <w:tcPr>
            <w:tcW w:w="5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Legacy Greenspring carried interest allocations</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Legacy Greenspring investment income</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6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equity method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203,573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170,390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436,359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660" w:right="220" w:hanging="652"/>
        <w:spacing w:after="0" w:line="250" w:lineRule="auto"/>
        <w:tabs>
          <w:tab w:leader="none" w:pos="6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the net effect of gross realized carried interest allocations of $3.0 million and the reversal of such amounts in unrealized carried interest allocations for the period from September 20, 2021 to September 30, 2021.</w:t>
      </w:r>
    </w:p>
    <w:p>
      <w:pPr>
        <w:ind w:left="660" w:right="200" w:hanging="652"/>
        <w:spacing w:after="0" w:line="260" w:lineRule="auto"/>
        <w:tabs>
          <w:tab w:leader="none" w:pos="6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the net effect of gross realized investment income of $1.4 million and the reversal of such amounts in unrealized investment income for the period from September 20, 2021 to September 30, 2021.</w:t>
      </w:r>
    </w:p>
    <w:p>
      <w:pPr>
        <w:spacing w:after="0" w:line="183" w:lineRule="exact"/>
        <w:rPr>
          <w:sz w:val="20"/>
          <w:szCs w:val="20"/>
          <w:color w:val="auto"/>
        </w:rPr>
      </w:pPr>
    </w:p>
    <w:p>
      <w:pPr>
        <w:ind w:right="100" w:firstLine="648"/>
        <w:spacing w:after="0" w:line="291" w:lineRule="auto"/>
        <w:rPr>
          <w:sz w:val="20"/>
          <w:szCs w:val="20"/>
          <w:color w:val="auto"/>
        </w:rPr>
      </w:pPr>
      <w:r>
        <w:rPr>
          <w:rFonts w:ascii="Arial" w:cs="Arial" w:eastAsia="Arial" w:hAnsi="Arial"/>
          <w:sz w:val="18"/>
          <w:szCs w:val="18"/>
          <w:color w:val="auto"/>
        </w:rPr>
        <w:t>The increase in carried interest allocations for the three and six months ended September 30, 2021 as compared to the three and six months ended September 30, 2020 was primarily attributable to unrealized appreciation in the fair value of the underlying investments in the Company’s private equity funds. See note 2 for a discussion of the Company’s accounting policy for investments on a three-month lag.</w:t>
      </w:r>
    </w:p>
    <w:p>
      <w:pPr>
        <w:spacing w:after="0" w:line="1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9"/>
          <w:szCs w:val="19"/>
          <w:color w:val="auto"/>
        </w:rPr>
        <w:t>As of September 30, 2021, the Company’s investments in three SMAs each individually represented 10% or more of the total accrued carried interest allocations balance, and in the aggregate represented approximately 34% of the total accrued carried interest allocations balance as of that date. As of March 31, 2021, the Company’s investments in two SMAs each individually represented 10% or more of the total accrued carried interest allocations balance, and in the aggregate represented approximately 26% of the total accrued carried interest allocations balance as of that date. As of September 30, 2021, the Company’s investments in three commingled funds individually represented 10% or more of the total legacy Greenspring investments in funds and accrued carried interest allocations balance, and in the aggregate represented approximately 40% of the total legacy Greenspring investments in funds and accrued carried interest allocations balance as of that date.</w:t>
      </w:r>
    </w:p>
    <w:p>
      <w:pPr>
        <w:spacing w:after="0" w:line="180" w:lineRule="exact"/>
        <w:rPr>
          <w:sz w:val="20"/>
          <w:szCs w:val="20"/>
          <w:color w:val="auto"/>
        </w:rPr>
      </w:pPr>
    </w:p>
    <w:p>
      <w:pPr>
        <w:ind w:firstLine="648"/>
        <w:spacing w:after="0" w:line="259" w:lineRule="auto"/>
        <w:rPr>
          <w:sz w:val="20"/>
          <w:szCs w:val="20"/>
          <w:color w:val="auto"/>
        </w:rPr>
      </w:pPr>
      <w:r>
        <w:rPr>
          <w:rFonts w:ascii="Arial" w:cs="Arial" w:eastAsia="Arial" w:hAnsi="Arial"/>
          <w:sz w:val="19"/>
          <w:szCs w:val="19"/>
          <w:color w:val="auto"/>
        </w:rPr>
        <w:t>Of the total accrued carried interest allocations balance as of September 30, 2021 and March 31, 2021, respectively, $638.8 million and $465.6 million were payable to affiliates and is included in accrued carried interest-related compensation in the condensed consolidated balance sheets. Of the total legacy Greenspring investments in funds and accrued carried interest allocations balance as of September 30, 2021, $989.6 million was payable to employees who are considered affiliates of the Company and is included in legacy Greenspring accrued carried interest-related compensation in the condensed consolidated balance sheets and $219.1 million is reflected as non-controlling interests in legacy Greenspring entities in the condensed consolidated balance sheets.</w:t>
      </w:r>
    </w:p>
    <w:p>
      <w:pPr>
        <w:spacing w:after="0" w:line="178" w:lineRule="exact"/>
        <w:rPr>
          <w:sz w:val="20"/>
          <w:szCs w:val="20"/>
          <w:color w:val="auto"/>
        </w:rPr>
      </w:pPr>
    </w:p>
    <w:p>
      <w:pPr>
        <w:ind w:right="120" w:firstLine="648"/>
        <w:spacing w:after="0" w:line="246" w:lineRule="auto"/>
        <w:rPr>
          <w:sz w:val="20"/>
          <w:szCs w:val="20"/>
          <w:color w:val="auto"/>
        </w:rPr>
      </w:pPr>
      <w:r>
        <w:rPr>
          <w:rFonts w:ascii="Arial" w:cs="Arial" w:eastAsia="Arial" w:hAnsi="Arial"/>
          <w:sz w:val="20"/>
          <w:szCs w:val="20"/>
          <w:color w:val="auto"/>
        </w:rPr>
        <w:t>The Company evaluates each of its equity method investments to determine if any are considered significant as defined by the SEC. As of September 30, 2021 and March 31, 2021 and for the three and six months ended September 30, 2021 and 2020, no individual equity method investment held by the Company met the significance criteria. As a result, the Company is not required to provide separate financial statements for any of its equity method investments.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8"/>
          <w:szCs w:val="18"/>
          <w:b w:val="1"/>
          <w:bCs w:val="1"/>
          <w:color w:val="auto"/>
        </w:rPr>
        <w:t>Fair Value Measurements</w:t>
      </w:r>
    </w:p>
    <w:p>
      <w:pPr>
        <w:spacing w:after="0" w:line="222" w:lineRule="exact"/>
        <w:rPr>
          <w:sz w:val="20"/>
          <w:szCs w:val="20"/>
          <w:color w:val="auto"/>
        </w:rPr>
      </w:pPr>
    </w:p>
    <w:p>
      <w:pPr>
        <w:ind w:right="640" w:firstLine="648"/>
        <w:spacing w:after="0" w:line="260" w:lineRule="auto"/>
        <w:rPr>
          <w:sz w:val="20"/>
          <w:szCs w:val="20"/>
          <w:color w:val="auto"/>
        </w:rPr>
      </w:pPr>
      <w:r>
        <w:rPr>
          <w:rFonts w:ascii="Arial" w:cs="Arial" w:eastAsia="Arial" w:hAnsi="Arial"/>
          <w:sz w:val="20"/>
          <w:szCs w:val="20"/>
          <w:color w:val="auto"/>
        </w:rPr>
        <w:t>The Company measures certain liabilities at fair value on a recurring basis. The following tables provide details regarding the classification of these liabilities within the fair value hierarchy as of the dates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As of September 30, 2021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I</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II</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Arial" w:cs="Arial" w:eastAsia="Arial" w:hAnsi="Arial"/>
                <w:sz w:val="16"/>
                <w:szCs w:val="16"/>
                <w:b w:val="1"/>
                <w:bCs w:val="1"/>
                <w:color w:val="auto"/>
              </w:rPr>
              <w:t>Total</w:t>
            </w:r>
          </w:p>
        </w:tc>
      </w:tr>
      <w:tr>
        <w:trPr>
          <w:trHeight w:val="212"/>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5720" w:type="dxa"/>
            <w:vAlign w:val="bottom"/>
          </w:tcPr>
          <w:p>
            <w:pPr>
              <w:ind w:left="400"/>
              <w:spacing w:after="0"/>
              <w:rPr>
                <w:sz w:val="20"/>
                <w:szCs w:val="20"/>
                <w:color w:val="auto"/>
              </w:rPr>
            </w:pPr>
            <w:r>
              <w:rPr>
                <w:rFonts w:ascii="Arial" w:cs="Arial" w:eastAsia="Arial" w:hAnsi="Arial"/>
                <w:sz w:val="18"/>
                <w:szCs w:val="18"/>
                <w:color w:val="auto"/>
              </w:rPr>
              <w:t>Contingent consideration obligation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18,851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18,851</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18,851</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525"/>
        </w:trPr>
        <w:tc>
          <w:tcPr>
            <w:tcW w:w="5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As of March 31, 2021</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0"/>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I</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II</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Arial" w:cs="Arial" w:eastAsia="Arial" w:hAnsi="Arial"/>
                <w:sz w:val="16"/>
                <w:szCs w:val="16"/>
                <w:b w:val="1"/>
                <w:bCs w:val="1"/>
                <w:color w:val="auto"/>
              </w:rPr>
              <w:t>Total</w:t>
            </w:r>
          </w:p>
        </w:tc>
      </w:tr>
      <w:tr>
        <w:trPr>
          <w:trHeight w:val="212"/>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5720" w:type="dxa"/>
            <w:vAlign w:val="bottom"/>
          </w:tcPr>
          <w:p>
            <w:pPr>
              <w:ind w:left="400"/>
              <w:spacing w:after="0"/>
              <w:rPr>
                <w:sz w:val="20"/>
                <w:szCs w:val="20"/>
                <w:color w:val="auto"/>
              </w:rPr>
            </w:pPr>
            <w:r>
              <w:rPr>
                <w:rFonts w:ascii="Arial" w:cs="Arial" w:eastAsia="Arial" w:hAnsi="Arial"/>
                <w:sz w:val="18"/>
                <w:szCs w:val="18"/>
                <w:color w:val="auto"/>
              </w:rPr>
              <w:t>Contingent consideration obligation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1,541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1,541</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For the liabilities presented in the tables above, there were no changes in fair value hierarchy levels during the three and six months ended September 30, 2021 and 2020.</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changes in the fair value of Level III financial instruments are set forth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296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1"/>
              <w:spacing w:after="0"/>
              <w:rPr>
                <w:sz w:val="20"/>
                <w:szCs w:val="20"/>
                <w:color w:val="auto"/>
              </w:rPr>
            </w:pPr>
            <w:r>
              <w:rPr>
                <w:rFonts w:ascii="Arial" w:cs="Arial" w:eastAsia="Arial" w:hAnsi="Arial"/>
                <w:sz w:val="16"/>
                <w:szCs w:val="16"/>
                <w:b w:val="1"/>
                <w:bCs w:val="1"/>
                <w:color w:val="auto"/>
                <w:w w:val="91"/>
              </w:rPr>
              <w:t>Six Months Ended September 30,</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Contingent Consideration Liability</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1,306</w:t>
            </w:r>
          </w:p>
        </w:tc>
        <w:tc>
          <w:tcPr>
            <w:tcW w:w="2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745</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1,541</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Additions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40" w:type="dxa"/>
            <w:vAlign w:val="bottom"/>
          </w:tcPr>
          <w:p>
            <w:pPr>
              <w:ind w:left="400"/>
              <w:spacing w:after="0"/>
              <w:rPr>
                <w:sz w:val="20"/>
                <w:szCs w:val="20"/>
                <w:color w:val="auto"/>
              </w:rPr>
            </w:pPr>
            <w:r>
              <w:rPr>
                <w:rFonts w:ascii="Arial" w:cs="Arial" w:eastAsia="Arial" w:hAnsi="Arial"/>
                <w:sz w:val="18"/>
                <w:szCs w:val="18"/>
                <w:color w:val="auto"/>
              </w:rPr>
              <w:t>(Gain) loss on change in fair value</w:t>
            </w:r>
          </w:p>
        </w:tc>
        <w:tc>
          <w:tcPr>
            <w:tcW w:w="2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Settlements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18,851</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18,851</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640" w:type="dxa"/>
            <w:vAlign w:val="bottom"/>
          </w:tcPr>
          <w:p>
            <w:pPr>
              <w:ind w:left="20"/>
              <w:spacing w:after="0" w:line="176" w:lineRule="exact"/>
              <w:rPr>
                <w:sz w:val="20"/>
                <w:szCs w:val="20"/>
                <w:color w:val="auto"/>
              </w:rPr>
            </w:pPr>
            <w:r>
              <w:rPr>
                <w:rFonts w:ascii="Arial" w:cs="Arial" w:eastAsia="Arial" w:hAnsi="Arial"/>
                <w:sz w:val="18"/>
                <w:szCs w:val="18"/>
                <w:color w:val="auto"/>
                <w:w w:val="91"/>
              </w:rPr>
              <w:t>Changes in unrealized (gains) losses included in earnings related to financial</w:t>
            </w:r>
          </w:p>
        </w:tc>
        <w:tc>
          <w:tcPr>
            <w:tcW w:w="280" w:type="dxa"/>
            <w:vAlign w:val="bottom"/>
            <w:vMerge w:val="restart"/>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40" w:type="dxa"/>
            <w:vAlign w:val="bottom"/>
          </w:tcPr>
          <w:p>
            <w:pPr>
              <w:ind w:left="180"/>
              <w:spacing w:after="0" w:line="202" w:lineRule="exact"/>
              <w:rPr>
                <w:sz w:val="20"/>
                <w:szCs w:val="20"/>
                <w:color w:val="auto"/>
              </w:rPr>
            </w:pPr>
            <w:r>
              <w:rPr>
                <w:rFonts w:ascii="Arial" w:cs="Arial" w:eastAsia="Arial" w:hAnsi="Arial"/>
                <w:sz w:val="18"/>
                <w:szCs w:val="18"/>
                <w:color w:val="auto"/>
              </w:rPr>
              <w:t>liabilities still held at the reporting date</w:t>
            </w:r>
          </w:p>
        </w:tc>
        <w:tc>
          <w:tcPr>
            <w:tcW w:w="28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260" w:firstLine="648"/>
        <w:spacing w:after="0" w:line="260" w:lineRule="auto"/>
        <w:rPr>
          <w:sz w:val="20"/>
          <w:szCs w:val="20"/>
          <w:color w:val="auto"/>
        </w:rPr>
      </w:pPr>
      <w:r>
        <w:rPr>
          <w:rFonts w:ascii="Arial" w:cs="Arial" w:eastAsia="Arial" w:hAnsi="Arial"/>
          <w:sz w:val="20"/>
          <w:szCs w:val="20"/>
          <w:color w:val="auto"/>
        </w:rPr>
        <w:t>In connection with the Greenspring acquisition, the Company recorded a contingent consideration liability of $17.8 million during the three months ended September 30, 2021. See note 14 for more information.</w:t>
      </w:r>
    </w:p>
    <w:p>
      <w:pPr>
        <w:spacing w:after="0" w:line="177"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auto"/>
        </w:rPr>
        <w:t>The fair value of the contingent consideration liability is based on a discounted cash flow analysis using a probability-weighted average estimate of certain performance targets, including revenue levels. The assumptions used in the analysis are inherently subjective; therefore, the ultimate amount of the contingent consideration liability may differ materially from the current estimate. The significant unobservable inputs required to value the contingent consideration liabilities primarily relate to the discount rates applied to the expected future revenue and payment obligations, which ranged from 3% to 10% as of September 30, 2021. The contingent consideration liabilities are included in accounts payable, accrued expenses and other liabilities in the condensed consolidated balance sheets. Changes in the fair value of the liability are included in general, administrative and other expenses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6"/>
          <w:szCs w:val="16"/>
          <w:b w:val="1"/>
          <w:bCs w:val="1"/>
          <w:color w:val="auto"/>
        </w:rPr>
        <w:t>Intangibles and Goodwill</w:t>
      </w:r>
    </w:p>
    <w:p>
      <w:pPr>
        <w:spacing w:after="0" w:line="222" w:lineRule="exact"/>
        <w:rPr>
          <w:sz w:val="20"/>
          <w:szCs w:val="20"/>
          <w:color w:val="auto"/>
        </w:rPr>
      </w:pPr>
    </w:p>
    <w:p>
      <w:pPr>
        <w:ind w:right="980" w:firstLine="648"/>
        <w:spacing w:after="0" w:line="287" w:lineRule="auto"/>
        <w:rPr>
          <w:sz w:val="20"/>
          <w:szCs w:val="20"/>
          <w:color w:val="auto"/>
        </w:rPr>
      </w:pPr>
      <w:r>
        <w:rPr>
          <w:rFonts w:ascii="Arial" w:cs="Arial" w:eastAsia="Arial" w:hAnsi="Arial"/>
          <w:sz w:val="19"/>
          <w:szCs w:val="19"/>
          <w:color w:val="auto"/>
        </w:rPr>
        <w:t>Intangible assets consist of management contracts providing economic rights to management and advisory fees and client relationships related to future fundraising, as obtained through the Company’s acquisitions of other businesses.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Intangible assets, net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March 31, 2021</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contracts</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352,002</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41,058</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Client relationships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96,650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agreements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(38,057)</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(35,567)</w:t>
            </w:r>
          </w:p>
        </w:tc>
      </w:tr>
      <w:tr>
        <w:trPr>
          <w:trHeight w:val="248"/>
        </w:trPr>
        <w:tc>
          <w:tcPr>
            <w:tcW w:w="8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Intangible assets, net</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420,132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160" w:firstLine="648"/>
        <w:spacing w:after="0" w:line="291" w:lineRule="auto"/>
        <w:rPr>
          <w:sz w:val="20"/>
          <w:szCs w:val="20"/>
          <w:color w:val="auto"/>
        </w:rPr>
      </w:pPr>
      <w:r>
        <w:rPr>
          <w:rFonts w:ascii="Arial" w:cs="Arial" w:eastAsia="Arial" w:hAnsi="Arial"/>
          <w:sz w:val="18"/>
          <w:szCs w:val="18"/>
          <w:color w:val="auto"/>
        </w:rPr>
        <w:t>Amortization expense related to intangible assets was $1.9 million and $0.8 million for the three months ended September 30, 2021 and 2020, respectively, and $2.5 million and $1.7 million for the six months ended September 30, 2021 and 2020, respectively. These amounts are included in general, administrative and other expenses in the condensed consolidated statements of income.</w:t>
      </w:r>
    </w:p>
    <w:p>
      <w:pPr>
        <w:spacing w:after="0" w:line="152"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In connection with the Greenspring acquisition, the Company added approximately $310.9 million of management contract intangible assets, $96.7 million of client relationship intangible assets and $9.5 million of service agreement intangible assets. See note 14 for more information.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 September 30, 2021, the expected future amortization of finite-lived intangible assets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FY2022</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22,006</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FY2023</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43,481</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FY2024</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42,645</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FY2025</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41,955</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FY2026</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41,764</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228,281</w:t>
            </w:r>
          </w:p>
        </w:tc>
      </w:tr>
      <w:tr>
        <w:trPr>
          <w:trHeight w:val="248"/>
        </w:trPr>
        <w:tc>
          <w:tcPr>
            <w:tcW w:w="98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420,132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The carrying value of goodwill was $583.0 million as of September 30, 2021 and $6.8 million as of March 31, 2021. The increase in the carrying value of goodwill is attributable to the Greenspring acquisition, which added approximately $576.2 million in goodwill. See note 14 for more information. The Company determined there was no indication of goodwill impairment as of September 30, 2021 and March 31, 2021.</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Debt Obligations</w:t>
      </w:r>
    </w:p>
    <w:p>
      <w:pPr>
        <w:spacing w:after="0" w:line="22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9"/>
          <w:szCs w:val="19"/>
          <w:color w:val="auto"/>
        </w:rPr>
        <w:t>In September 2021, the Company entered into a credit agreement with various lenders (the “Credit Agreement”) in connection with the Greenspring acquisition. The Credit Agreement was arranged by JPMorgan Chase Bank, N.A., as the administrative agent, and provides for a $225.0 million multicurrency revolving credit facility (the “Revolver”) with a five-year maturity. As of September 30, 2021, the Company had $112.6 million outstanding on the Revolver, net of debt issuance costs.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Company’s debt obligations consist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As of</w:t>
            </w:r>
          </w:p>
        </w:tc>
        <w:tc>
          <w:tcPr>
            <w:tcW w:w="1920" w:type="dxa"/>
            <w:vAlign w:val="bottom"/>
            <w:tcBorders>
              <w:bottom w:val="single" w:sz="8" w:color="auto"/>
            </w:tcBorders>
          </w:tcPr>
          <w:p>
            <w:pPr>
              <w:spacing w:after="0"/>
              <w:rPr>
                <w:sz w:val="20"/>
                <w:szCs w:val="20"/>
                <w:color w:val="auto"/>
              </w:rPr>
            </w:pPr>
          </w:p>
        </w:tc>
      </w:tr>
      <w:tr>
        <w:trPr>
          <w:trHeight w:val="223"/>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2021</w:t>
            </w:r>
          </w:p>
        </w:tc>
        <w:tc>
          <w:tcPr>
            <w:tcW w:w="320" w:type="dxa"/>
            <w:vAlign w:val="bottom"/>
          </w:tcPr>
          <w:p>
            <w:pPr>
              <w:spacing w:after="0"/>
              <w:rPr>
                <w:sz w:val="19"/>
                <w:szCs w:val="19"/>
                <w:color w:val="auto"/>
              </w:rPr>
            </w:pPr>
          </w:p>
        </w:tc>
        <w:tc>
          <w:tcPr>
            <w:tcW w:w="1920" w:type="dxa"/>
            <w:vAlign w:val="bottom"/>
          </w:tcPr>
          <w:p>
            <w:pPr>
              <w:ind w:left="200"/>
              <w:spacing w:after="0"/>
              <w:rPr>
                <w:sz w:val="20"/>
                <w:szCs w:val="20"/>
                <w:color w:val="auto"/>
              </w:rPr>
            </w:pPr>
            <w:r>
              <w:rPr>
                <w:rFonts w:ascii="Arial" w:cs="Arial" w:eastAsia="Arial" w:hAnsi="Arial"/>
                <w:sz w:val="18"/>
                <w:szCs w:val="18"/>
                <w:b w:val="1"/>
                <w:bCs w:val="1"/>
                <w:color w:val="auto"/>
              </w:rPr>
              <w:t>March 31, 2021</w:t>
            </w: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Revolver</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Debt issuance costs</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w:t>
            </w:r>
          </w:p>
        </w:tc>
      </w:tr>
      <w:tr>
        <w:trPr>
          <w:trHeight w:val="248"/>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debt obligations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112,644</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rPr>
              <w:t>—</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60" w:firstLine="648"/>
        <w:spacing w:after="0" w:line="255" w:lineRule="auto"/>
        <w:rPr>
          <w:sz w:val="20"/>
          <w:szCs w:val="20"/>
          <w:color w:val="auto"/>
        </w:rPr>
      </w:pPr>
      <w:r>
        <w:rPr>
          <w:rFonts w:ascii="Arial" w:cs="Arial" w:eastAsia="Arial" w:hAnsi="Arial"/>
          <w:sz w:val="19"/>
          <w:szCs w:val="19"/>
          <w:color w:val="auto"/>
        </w:rPr>
        <w:t>Borrowings under the Revolver bear interest at a variable rate per annum. The Company may designate each borrowing as (i) in the case of any borrowing in U.S. dollars, a base rate loan or a LIBOR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LIBOR, multiplied by the Statutory Reserve Rate (as defined in the Credit Agreement), plus 1.00%, (ii) in the case of a LIBOR rate loan, the LIBOR rate multiplied by the Statutory Reserve Rate plus 2.00%, (iii) in the case of a EURIBOR rate loan, the EURIBOR rate multiplied by the Statutory Reserve Rate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The weighted-average interest rate in effect for the Revolver as of September 30, 2021 was 2.13%.</w:t>
      </w:r>
    </w:p>
    <w:p>
      <w:pPr>
        <w:spacing w:after="0" w:line="184" w:lineRule="exact"/>
        <w:rPr>
          <w:sz w:val="20"/>
          <w:szCs w:val="20"/>
          <w:color w:val="auto"/>
        </w:rPr>
      </w:pPr>
    </w:p>
    <w:p>
      <w:pPr>
        <w:ind w:right="120" w:firstLine="648"/>
        <w:spacing w:after="0" w:line="269" w:lineRule="auto"/>
        <w:rPr>
          <w:sz w:val="20"/>
          <w:szCs w:val="20"/>
          <w:color w:val="auto"/>
        </w:rPr>
      </w:pPr>
      <w:r>
        <w:rPr>
          <w:rFonts w:ascii="Arial" w:cs="Arial" w:eastAsia="Arial" w:hAnsi="Arial"/>
          <w:sz w:val="19"/>
          <w:szCs w:val="19"/>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September 20, 2026.</w:t>
      </w:r>
    </w:p>
    <w:p>
      <w:pPr>
        <w:spacing w:after="0" w:line="17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Revolver bears a fee on undrawn commitments equal to 0.25% per annum if total utilization of revolving commitments is greater than 50% and 0.35% per annum if total utilization of revolving commitments is less than 50%.</w:t>
      </w:r>
    </w:p>
    <w:p>
      <w:pPr>
        <w:spacing w:after="0" w:line="177"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The carrying value of the Revolver approximates fair value, as the loan is subject to variable interest rates that adjust with changes in market rates and market conditions and the current interest rate approximates that which would be available under similar financial arrangements.</w:t>
      </w:r>
    </w:p>
    <w:p>
      <w:pPr>
        <w:spacing w:after="0" w:line="186" w:lineRule="exact"/>
        <w:rPr>
          <w:sz w:val="20"/>
          <w:szCs w:val="20"/>
          <w:color w:val="auto"/>
        </w:rPr>
      </w:pPr>
    </w:p>
    <w:p>
      <w:pPr>
        <w:ind w:right="180" w:firstLine="648"/>
        <w:spacing w:after="0" w:line="243" w:lineRule="auto"/>
        <w:rPr>
          <w:sz w:val="20"/>
          <w:szCs w:val="20"/>
          <w:color w:val="auto"/>
        </w:rPr>
      </w:pPr>
      <w:r>
        <w:rPr>
          <w:rFonts w:ascii="Arial" w:cs="Arial" w:eastAsia="Arial" w:hAnsi="Arial"/>
          <w:sz w:val="20"/>
          <w:szCs w:val="20"/>
          <w:color w:val="auto"/>
        </w:rPr>
        <w:t>Under the terms of the Credit Agreement, certain of the Company’s assets serve as pledged collateral. In addition, the Credit Agreement contains covenants that, among other things: limit the Company’s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the Company to maintain a total net leverage ratio and a minimum total of fee-earning assets under management beginning with the quarter ending December 31, 2021.</w:t>
      </w:r>
    </w:p>
    <w:p>
      <w:pPr>
        <w:spacing w:after="0" w:line="196" w:lineRule="exact"/>
        <w:rPr>
          <w:sz w:val="20"/>
          <w:szCs w:val="20"/>
          <w:color w:val="auto"/>
        </w:rPr>
      </w:pPr>
    </w:p>
    <w:p>
      <w:pPr>
        <w:ind w:right="220" w:firstLine="648"/>
        <w:spacing w:after="0" w:line="250" w:lineRule="auto"/>
        <w:rPr>
          <w:sz w:val="20"/>
          <w:szCs w:val="20"/>
          <w:color w:val="auto"/>
        </w:rPr>
      </w:pPr>
      <w:r>
        <w:rPr>
          <w:rFonts w:ascii="Arial" w:cs="Arial" w:eastAsia="Arial" w:hAnsi="Arial"/>
          <w:sz w:val="20"/>
          <w:szCs w:val="20"/>
          <w:color w:val="auto"/>
        </w:rPr>
        <w:t>The Company can use available funding capacity under the Revolver to satisfy letters of credit in amounts up to $10.0 million. Amounts used to satisfy the letters of credit reduce the available capacity under the Revolver. As of September 30, 2021, the Company had outstanding letters of credit totaling $2.8 million.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6"/>
          <w:szCs w:val="16"/>
          <w:b w:val="1"/>
          <w:bCs w:val="1"/>
          <w:color w:val="auto"/>
        </w:rPr>
        <w:t>Equity-Based Compensation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change in unvested RSUs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rPr>
              <w:t>Number of RSUs</w:t>
            </w:r>
          </w:p>
        </w:tc>
        <w:tc>
          <w:tcPr>
            <w:tcW w:w="140" w:type="dxa"/>
            <w:vAlign w:val="bottom"/>
          </w:tcPr>
          <w:p>
            <w:pPr>
              <w:spacing w:after="0"/>
              <w:rPr>
                <w:sz w:val="16"/>
                <w:szCs w:val="16"/>
                <w:color w:val="auto"/>
              </w:rPr>
            </w:pPr>
          </w:p>
        </w:tc>
        <w:tc>
          <w:tcPr>
            <w:tcW w:w="1960" w:type="dxa"/>
            <w:vAlign w:val="bottom"/>
          </w:tcPr>
          <w:p>
            <w:pPr>
              <w:jc w:val="right"/>
              <w:ind w:right="73"/>
              <w:spacing w:after="0"/>
              <w:rPr>
                <w:sz w:val="20"/>
                <w:szCs w:val="20"/>
                <w:color w:val="auto"/>
              </w:rPr>
            </w:pPr>
            <w:r>
              <w:rPr>
                <w:rFonts w:ascii="Arial" w:cs="Arial" w:eastAsia="Arial" w:hAnsi="Arial"/>
                <w:sz w:val="16"/>
                <w:szCs w:val="16"/>
                <w:b w:val="1"/>
                <w:bCs w:val="1"/>
                <w:color w:val="auto"/>
                <w:w w:val="92"/>
              </w:rPr>
              <w:t>Weighted-Average Grant-</w:t>
            </w:r>
          </w:p>
        </w:tc>
        <w:tc>
          <w:tcPr>
            <w:tcW w:w="0" w:type="dxa"/>
            <w:vAlign w:val="bottom"/>
          </w:tcPr>
          <w:p>
            <w:pPr>
              <w:spacing w:after="0"/>
              <w:rPr>
                <w:sz w:val="1"/>
                <w:szCs w:val="1"/>
                <w:color w:val="auto"/>
              </w:rPr>
            </w:pPr>
          </w:p>
        </w:tc>
      </w:tr>
      <w:tr>
        <w:trPr>
          <w:trHeight w:val="213"/>
        </w:trPr>
        <w:tc>
          <w:tcPr>
            <w:tcW w:w="69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right"/>
              <w:ind w:right="93"/>
              <w:spacing w:after="0"/>
              <w:rPr>
                <w:sz w:val="20"/>
                <w:szCs w:val="20"/>
                <w:color w:val="auto"/>
              </w:rPr>
            </w:pPr>
            <w:r>
              <w:rPr>
                <w:rFonts w:ascii="Arial" w:cs="Arial" w:eastAsia="Arial" w:hAnsi="Arial"/>
                <w:sz w:val="16"/>
                <w:szCs w:val="16"/>
                <w:b w:val="1"/>
                <w:bCs w:val="1"/>
                <w:color w:val="auto"/>
                <w:w w:val="95"/>
              </w:rPr>
              <w:t>Date Fair Value Per RSU</w:t>
            </w:r>
          </w:p>
        </w:tc>
        <w:tc>
          <w:tcPr>
            <w:tcW w:w="0" w:type="dxa"/>
            <w:vAlign w:val="bottom"/>
          </w:tcPr>
          <w:p>
            <w:pPr>
              <w:spacing w:after="0"/>
              <w:rPr>
                <w:sz w:val="1"/>
                <w:szCs w:val="1"/>
                <w:color w:val="auto"/>
              </w:rPr>
            </w:pPr>
          </w:p>
        </w:tc>
      </w:tr>
      <w:tr>
        <w:trPr>
          <w:trHeight w:val="226"/>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2,549,861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Arial" w:cs="Arial" w:eastAsia="Arial" w:hAnsi="Arial"/>
                <w:sz w:val="18"/>
                <w:szCs w:val="18"/>
                <w:color w:val="auto"/>
              </w:rPr>
              <w:t>Granted</w:t>
            </w:r>
          </w:p>
        </w:tc>
        <w:tc>
          <w:tcPr>
            <w:tcW w:w="2100" w:type="dxa"/>
            <w:vAlign w:val="bottom"/>
          </w:tcPr>
          <w:p>
            <w:pPr>
              <w:jc w:val="right"/>
              <w:spacing w:after="0"/>
              <w:rPr>
                <w:sz w:val="20"/>
                <w:szCs w:val="20"/>
                <w:color w:val="auto"/>
              </w:rPr>
            </w:pPr>
            <w:r>
              <w:rPr>
                <w:rFonts w:ascii="Arial" w:cs="Arial" w:eastAsia="Arial" w:hAnsi="Arial"/>
                <w:sz w:val="18"/>
                <w:szCs w:val="18"/>
                <w:color w:val="auto"/>
              </w:rPr>
              <w:t>17,173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45.18</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2021</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1,905,961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Unvested Partnership Units</w:t>
      </w:r>
    </w:p>
    <w:p>
      <w:pPr>
        <w:spacing w:after="0" w:line="222" w:lineRule="exact"/>
        <w:rPr>
          <w:sz w:val="20"/>
          <w:szCs w:val="20"/>
          <w:color w:val="auto"/>
        </w:rPr>
      </w:pPr>
    </w:p>
    <w:p>
      <w:pPr>
        <w:ind w:right="200" w:firstLine="648"/>
        <w:spacing w:after="0" w:line="269" w:lineRule="auto"/>
        <w:rPr>
          <w:sz w:val="20"/>
          <w:szCs w:val="20"/>
          <w:color w:val="auto"/>
        </w:rPr>
      </w:pPr>
      <w:r>
        <w:rPr>
          <w:rFonts w:ascii="Arial" w:cs="Arial" w:eastAsia="Arial" w:hAnsi="Arial"/>
          <w:sz w:val="19"/>
          <w:szCs w:val="19"/>
          <w:color w:val="auto"/>
        </w:rPr>
        <w:t>All Class B2 units will automatically convert into Class B units upon final vesting in 2024 and unitholders will be entitled to purchase from the Company one share of Class B common stock for each Class B unit at its par value. Prior to vesting, holders of Class B2 units do not have the right to receive any distributions from the Partnership, other than tax-related distributions.</w:t>
      </w:r>
    </w:p>
    <w:p>
      <w:pPr>
        <w:spacing w:after="0" w:line="170"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As of September 30, 2021, there were 2,566,566 Class B2 units outstanding. During the six months ended September 30, 2021, none of the outstanding Class B2 units were forfeited. As of September 30, 2021, 1,646,879 Class B2 units were unvested and 919,687 Class B2 units were vested.</w:t>
      </w:r>
    </w:p>
    <w:p>
      <w:pPr>
        <w:spacing w:after="0" w:line="186"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As of September 30, 2021, $40.6 million of unrecognized non-cash compensation expense in respect of RSUs and Class B2 units remained to be recognized over a weighted-average period of approximately 3.2 years.</w:t>
      </w:r>
    </w:p>
    <w:p>
      <w:pPr>
        <w:spacing w:after="0" w:line="17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6"/>
          <w:szCs w:val="16"/>
          <w:b w:val="1"/>
          <w:bCs w:val="1"/>
          <w:color w:val="auto"/>
        </w:rPr>
        <w:t>Income Taxes</w:t>
      </w:r>
    </w:p>
    <w:p>
      <w:pPr>
        <w:spacing w:after="0" w:line="22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Prior to the Reorganization and IPO, the Company operated as a partnership for U.S. federal income tax purposes and therefore was not subject to U.S. federal and state income taxes. Subsequent to the Reorganization and IPO, all income attributable to SSG is subject to U.S. corporate income taxes.</w:t>
      </w:r>
    </w:p>
    <w:p>
      <w:pPr>
        <w:spacing w:after="0" w:line="186" w:lineRule="exact"/>
        <w:rPr>
          <w:sz w:val="20"/>
          <w:szCs w:val="20"/>
          <w:color w:val="auto"/>
        </w:rPr>
      </w:pPr>
    </w:p>
    <w:p>
      <w:pPr>
        <w:ind w:right="60" w:firstLine="648"/>
        <w:spacing w:after="0" w:line="243" w:lineRule="auto"/>
        <w:rPr>
          <w:sz w:val="20"/>
          <w:szCs w:val="20"/>
          <w:color w:val="auto"/>
        </w:rPr>
      </w:pPr>
      <w:r>
        <w:rPr>
          <w:rFonts w:ascii="Arial" w:cs="Arial" w:eastAsia="Arial" w:hAnsi="Arial"/>
          <w:sz w:val="20"/>
          <w:szCs w:val="20"/>
          <w:color w:val="auto"/>
        </w:rPr>
        <w:t>In connection with the Greenspring acquisition, exchanges of Class B units of the Partnership for Class A common stock by certain limited partners of the Partnership in June and September 2021, and the vesting of RSUs to certain employees and directors, there was an aggregate net decrease of the deferred tax asset of $103.0 million. This resulted in the Company recording a deferred tax liability and reversing the full valuation allowance of $30.5 million of which $25.3 million resulted in a net tax benefit to the effective tax rate. Additionally, in connection with the exchange transactions, the Company recorded a corresponding Tax Receivable Agreements liability of $36.5 million, representing 85% of the incremental net cash tax savings for the Company due to the exchanging limited partners. See note 13 for more information.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The Company’s effective tax rate was (12.4)% and 0.8% for the three months ended September 30, 2021 and 2020, respectively, and 0.1% and 3.5% for the six months ended September 30, 2021 and 2020, respectively. The Company’s effective tax rate is dependent on many factors, including the jurisdictional mix of income subject to tax. Consequently, the effective tax rate can vary from period to period. The Company’s overall effective tax rate in each of the periods described above is less than the statutory rate primarily because a portion of income is allocated to non-controlling interests, as the tax liability on such income is borne by the holders of such non-controlling interests. Additionally, the Company recorded an income tax benefit of $25.3 million during the current period for the full release of the valuation allowance as a result of the deferred tax liability recorded in connection with the Greenspring acquisition, resulting in a net benefit to the Company’s consolidated effective tax rate of 9.9% for the six months ended September 30, 2021. For the period prior to the Reorganization and IPO, the Company operated as a partnership for U.S. federal income tax purposes and was not subject to U.S. federal and state income taxes.</w:t>
      </w:r>
    </w:p>
    <w:p>
      <w:pPr>
        <w:spacing w:after="0" w:line="190"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The Company evaluates the realizability of its deferred tax assets on a quarterly basis and adjusts the valuation allowance when it is more-likely-than-not that all or a portion of the deferred tax assets may not be realized.</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As of September 30, 2021, the Company has not recorded any unrecognized tax benefits and does not expect there to be any material changes to uncertain tax positions within the next 12 months.</w:t>
      </w:r>
    </w:p>
    <w:p>
      <w:pPr>
        <w:spacing w:after="0" w:line="177"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The Company files income tax returns as required by the tax laws of the jurisdictions in which it operates. In the normal course of business, the Company may be subject to examination by U.S. federal and certain state and local tax authorities. Although the outcome of tax audits is always uncertain, the Company does not believe the outcome of any future audit will have a material adverse effect on the Company’s condensed consolidated financial statements.</w:t>
      </w:r>
    </w:p>
    <w:p>
      <w:pPr>
        <w:spacing w:after="0" w:line="185"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6"/>
          <w:szCs w:val="16"/>
          <w:b w:val="1"/>
          <w:bCs w:val="1"/>
          <w:color w:val="auto"/>
        </w:rPr>
        <w:t>Earnings Per Share</w:t>
      </w:r>
    </w:p>
    <w:p>
      <w:pPr>
        <w:spacing w:after="0" w:line="222" w:lineRule="exact"/>
        <w:rPr>
          <w:sz w:val="20"/>
          <w:szCs w:val="20"/>
          <w:color w:val="auto"/>
        </w:rPr>
      </w:pPr>
    </w:p>
    <w:p>
      <w:pPr>
        <w:ind w:right="100" w:firstLine="648"/>
        <w:spacing w:after="0" w:line="246" w:lineRule="auto"/>
        <w:rPr>
          <w:sz w:val="20"/>
          <w:szCs w:val="20"/>
          <w:color w:val="auto"/>
        </w:rPr>
      </w:pPr>
      <w:r>
        <w:rPr>
          <w:rFonts w:ascii="Arial" w:cs="Arial" w:eastAsia="Arial" w:hAnsi="Arial"/>
          <w:sz w:val="20"/>
          <w:szCs w:val="20"/>
          <w:color w:val="auto"/>
        </w:rPr>
        <w:t>Basic and diluted earnings per share of Class A common stock is presented for the three and six months ended September 30, 2021 and from September 16, 2020 through September 30, 2020, the period following the Reorganization and IPO. There were no shares of Class A common stock outstanding prior to September 16, 2020, therefore no earnings per share information has been presented for any period prior to that date.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The following table sets forth reconciliations of the numerators and denominators used to compute basic and diluted earnings per share of Class A common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7"/>
                <w:szCs w:val="17"/>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Period from IPO date to</w:t>
            </w:r>
          </w:p>
        </w:tc>
        <w:tc>
          <w:tcPr>
            <w:tcW w:w="220" w:type="dxa"/>
            <w:vAlign w:val="bottom"/>
          </w:tcPr>
          <w:p>
            <w:pPr>
              <w:spacing w:after="0"/>
              <w:rPr>
                <w:sz w:val="17"/>
                <w:szCs w:val="17"/>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29"/>
        </w:trPr>
        <w:tc>
          <w:tcPr>
            <w:tcW w:w="4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 2021</w:t>
            </w:r>
          </w:p>
        </w:tc>
        <w:tc>
          <w:tcPr>
            <w:tcW w:w="140" w:type="dxa"/>
            <w:vAlign w:val="bottom"/>
          </w:tcPr>
          <w:p>
            <w:pPr>
              <w:spacing w:after="0"/>
              <w:rPr>
                <w:sz w:val="19"/>
                <w:szCs w:val="19"/>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 2020</w:t>
            </w:r>
          </w:p>
        </w:tc>
        <w:tc>
          <w:tcPr>
            <w:tcW w:w="220" w:type="dxa"/>
            <w:vAlign w:val="bottom"/>
          </w:tcPr>
          <w:p>
            <w:pPr>
              <w:spacing w:after="0"/>
              <w:rPr>
                <w:sz w:val="19"/>
                <w:szCs w:val="19"/>
                <w:color w:val="auto"/>
              </w:rPr>
            </w:pPr>
          </w:p>
        </w:tc>
        <w:tc>
          <w:tcPr>
            <w:tcW w:w="196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September 30, 2021</w:t>
            </w: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 except share and per share amounts)</w:t>
            </w:r>
          </w:p>
        </w:tc>
        <w:tc>
          <w:tcPr>
            <w:tcW w:w="18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Numerator:</w:t>
            </w: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Net income (loss) attributable to StepStone Group Inc. –</w:t>
            </w:r>
          </w:p>
        </w:tc>
        <w:tc>
          <w:tcPr>
            <w:tcW w:w="1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5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103,724</w:t>
            </w:r>
          </w:p>
        </w:tc>
        <w:tc>
          <w:tcPr>
            <w:tcW w:w="0" w:type="dxa"/>
            <w:vAlign w:val="bottom"/>
          </w:tcPr>
          <w:p>
            <w:pPr>
              <w:spacing w:after="0"/>
              <w:rPr>
                <w:sz w:val="1"/>
                <w:szCs w:val="1"/>
                <w:color w:val="auto"/>
              </w:rPr>
            </w:pPr>
          </w:p>
        </w:tc>
      </w:tr>
      <w:tr>
        <w:trPr>
          <w:trHeight w:val="230"/>
        </w:trPr>
        <w:tc>
          <w:tcPr>
            <w:tcW w:w="4520" w:type="dxa"/>
            <w:vAlign w:val="bottom"/>
          </w:tcPr>
          <w:p>
            <w:pPr>
              <w:ind w:left="460"/>
              <w:spacing w:after="0"/>
              <w:rPr>
                <w:sz w:val="20"/>
                <w:szCs w:val="20"/>
                <w:color w:val="auto"/>
              </w:rPr>
            </w:pPr>
            <w:r>
              <w:rPr>
                <w:rFonts w:ascii="Arial" w:cs="Arial" w:eastAsia="Arial" w:hAnsi="Arial"/>
                <w:sz w:val="18"/>
                <w:szCs w:val="18"/>
                <w:color w:val="auto"/>
                <w:w w:val="98"/>
              </w:rPr>
              <w:t>Incremental income from assumed vesting of RSUs</w:t>
            </w: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1,856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Incremental income from assumed vesting and</w:t>
            </w:r>
          </w:p>
        </w:tc>
        <w:tc>
          <w:tcPr>
            <w:tcW w:w="180" w:type="dxa"/>
            <w:vAlign w:val="bottom"/>
            <w:shd w:val="clear" w:color="auto" w:fill="CCEEFF"/>
          </w:tcPr>
          <w:p>
            <w:pPr>
              <w:spacing w:after="0"/>
              <w:rPr>
                <w:sz w:val="15"/>
                <w:szCs w:val="15"/>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exchange of Class B2 units</w:t>
            </w:r>
          </w:p>
        </w:tc>
        <w:tc>
          <w:tcPr>
            <w:tcW w:w="180" w:type="dxa"/>
            <w:vAlign w:val="bottom"/>
            <w:shd w:val="clear" w:color="auto" w:fill="CCEEFF"/>
          </w:tcPr>
          <w:p>
            <w:pPr>
              <w:spacing w:after="0"/>
              <w:rPr>
                <w:sz w:val="19"/>
                <w:szCs w:val="19"/>
                <w:color w:val="auto"/>
              </w:rPr>
            </w:pPr>
          </w:p>
        </w:tc>
        <w:tc>
          <w:tcPr>
            <w:tcW w:w="2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520" w:type="dxa"/>
            <w:vAlign w:val="bottom"/>
          </w:tcPr>
          <w:p>
            <w:pPr>
              <w:ind w:left="240"/>
              <w:spacing w:after="0" w:line="195" w:lineRule="exact"/>
              <w:rPr>
                <w:sz w:val="20"/>
                <w:szCs w:val="20"/>
                <w:color w:val="auto"/>
              </w:rPr>
            </w:pPr>
            <w:r>
              <w:rPr>
                <w:rFonts w:ascii="Arial" w:cs="Arial" w:eastAsia="Arial" w:hAnsi="Arial"/>
                <w:sz w:val="18"/>
                <w:szCs w:val="18"/>
                <w:color w:val="auto"/>
                <w:w w:val="95"/>
              </w:rPr>
              <w:t>Net income (loss) attributable to StepStone Group Inc. –</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66,623</w:t>
            </w:r>
          </w:p>
        </w:tc>
        <w:tc>
          <w:tcPr>
            <w:tcW w:w="8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6"/>
                <w:szCs w:val="16"/>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111,040</w:t>
            </w:r>
          </w:p>
        </w:tc>
        <w:tc>
          <w:tcPr>
            <w:tcW w:w="0" w:type="dxa"/>
            <w:vAlign w:val="bottom"/>
          </w:tcPr>
          <w:p>
            <w:pPr>
              <w:spacing w:after="0"/>
              <w:rPr>
                <w:sz w:val="1"/>
                <w:szCs w:val="1"/>
                <w:color w:val="auto"/>
              </w:rPr>
            </w:pPr>
          </w:p>
        </w:tc>
      </w:tr>
      <w:tr>
        <w:trPr>
          <w:trHeight w:val="222"/>
        </w:trPr>
        <w:tc>
          <w:tcPr>
            <w:tcW w:w="4520" w:type="dxa"/>
            <w:vAlign w:val="bottom"/>
          </w:tcPr>
          <w:p>
            <w:pPr>
              <w:ind w:left="46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vMerge w:val="continue"/>
          </w:tcPr>
          <w:p>
            <w:pPr>
              <w:spacing w:after="0"/>
              <w:rPr>
                <w:sz w:val="18"/>
                <w:szCs w:val="18"/>
                <w:color w:val="auto"/>
              </w:rPr>
            </w:pPr>
          </w:p>
        </w:tc>
        <w:tc>
          <w:tcPr>
            <w:tcW w:w="2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Weighted-average shares of Class A common stock</w:t>
            </w:r>
          </w:p>
        </w:tc>
        <w:tc>
          <w:tcPr>
            <w:tcW w:w="1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5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outstanding – Basic</w:t>
            </w:r>
          </w:p>
        </w:tc>
        <w:tc>
          <w:tcPr>
            <w:tcW w:w="18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41,745,492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29,237,500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40,401,379</w:t>
            </w:r>
          </w:p>
        </w:tc>
        <w:tc>
          <w:tcPr>
            <w:tcW w:w="0" w:type="dxa"/>
            <w:vAlign w:val="bottom"/>
          </w:tcPr>
          <w:p>
            <w:pPr>
              <w:spacing w:after="0"/>
              <w:rPr>
                <w:sz w:val="1"/>
                <w:szCs w:val="1"/>
                <w:color w:val="auto"/>
              </w:rPr>
            </w:pPr>
          </w:p>
        </w:tc>
      </w:tr>
      <w:tr>
        <w:trPr>
          <w:trHeight w:val="229"/>
        </w:trPr>
        <w:tc>
          <w:tcPr>
            <w:tcW w:w="4520" w:type="dxa"/>
            <w:vAlign w:val="bottom"/>
          </w:tcPr>
          <w:p>
            <w:pPr>
              <w:ind w:left="460"/>
              <w:spacing w:after="0"/>
              <w:rPr>
                <w:sz w:val="20"/>
                <w:szCs w:val="20"/>
                <w:color w:val="auto"/>
              </w:rPr>
            </w:pPr>
            <w:r>
              <w:rPr>
                <w:rFonts w:ascii="Arial" w:cs="Arial" w:eastAsia="Arial" w:hAnsi="Arial"/>
                <w:sz w:val="18"/>
                <w:szCs w:val="18"/>
                <w:color w:val="auto"/>
              </w:rPr>
              <w:t>Assumed vesting of RSUs</w:t>
            </w: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1,691,661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1,523,631</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Assumed vesting and exchange of Class B2 units</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2,471,208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2,480,045</w:t>
            </w:r>
          </w:p>
        </w:tc>
        <w:tc>
          <w:tcPr>
            <w:tcW w:w="0" w:type="dxa"/>
            <w:vAlign w:val="bottom"/>
          </w:tcPr>
          <w:p>
            <w:pPr>
              <w:spacing w:after="0"/>
              <w:rPr>
                <w:sz w:val="1"/>
                <w:szCs w:val="1"/>
                <w:color w:val="auto"/>
              </w:rPr>
            </w:pPr>
          </w:p>
        </w:tc>
      </w:tr>
      <w:tr>
        <w:trPr>
          <w:trHeight w:val="195"/>
        </w:trPr>
        <w:tc>
          <w:tcPr>
            <w:tcW w:w="4520" w:type="dxa"/>
            <w:vAlign w:val="bottom"/>
          </w:tcPr>
          <w:p>
            <w:pPr>
              <w:ind w:left="240"/>
              <w:spacing w:after="0" w:line="195" w:lineRule="exact"/>
              <w:rPr>
                <w:sz w:val="20"/>
                <w:szCs w:val="20"/>
                <w:color w:val="auto"/>
              </w:rPr>
            </w:pPr>
            <w:r>
              <w:rPr>
                <w:rFonts w:ascii="Arial" w:cs="Arial" w:eastAsia="Arial" w:hAnsi="Arial"/>
                <w:sz w:val="18"/>
                <w:szCs w:val="18"/>
                <w:color w:val="auto"/>
              </w:rPr>
              <w:t>Weighted-average shares of Class A common stock</w:t>
            </w:r>
          </w:p>
        </w:tc>
        <w:tc>
          <w:tcPr>
            <w:tcW w:w="18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45,908,361</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29,237,500</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44,405,055</w:t>
            </w:r>
          </w:p>
        </w:tc>
        <w:tc>
          <w:tcPr>
            <w:tcW w:w="0" w:type="dxa"/>
            <w:vAlign w:val="bottom"/>
          </w:tcPr>
          <w:p>
            <w:pPr>
              <w:spacing w:after="0"/>
              <w:rPr>
                <w:sz w:val="1"/>
                <w:szCs w:val="1"/>
                <w:color w:val="auto"/>
              </w:rPr>
            </w:pPr>
          </w:p>
        </w:tc>
      </w:tr>
      <w:tr>
        <w:trPr>
          <w:trHeight w:val="217"/>
        </w:trPr>
        <w:tc>
          <w:tcPr>
            <w:tcW w:w="4520" w:type="dxa"/>
            <w:vAlign w:val="bottom"/>
          </w:tcPr>
          <w:p>
            <w:pPr>
              <w:ind w:left="460"/>
              <w:spacing w:after="0"/>
              <w:rPr>
                <w:sz w:val="20"/>
                <w:szCs w:val="20"/>
                <w:color w:val="auto"/>
              </w:rPr>
            </w:pPr>
            <w:r>
              <w:rPr>
                <w:rFonts w:ascii="Arial" w:cs="Arial" w:eastAsia="Arial" w:hAnsi="Arial"/>
                <w:sz w:val="18"/>
                <w:szCs w:val="18"/>
                <w:color w:val="auto"/>
              </w:rPr>
              <w:t>outstanding – Diluted</w:t>
            </w: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Net income (loss) per share of Class A common stock:</w:t>
            </w: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360" w:firstLine="648"/>
        <w:spacing w:after="0" w:line="291" w:lineRule="auto"/>
        <w:rPr>
          <w:sz w:val="20"/>
          <w:szCs w:val="20"/>
          <w:color w:val="auto"/>
        </w:rPr>
      </w:pPr>
      <w:r>
        <w:rPr>
          <w:rFonts w:ascii="Arial" w:cs="Arial" w:eastAsia="Arial" w:hAnsi="Arial"/>
          <w:sz w:val="18"/>
          <w:szCs w:val="18"/>
          <w:color w:val="auto"/>
        </w:rPr>
        <w:t>Diluted earnings per share of Class A common stock is computed by dividing net income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spacing w:after="0" w:line="152" w:lineRule="exact"/>
        <w:rPr>
          <w:sz w:val="20"/>
          <w:szCs w:val="20"/>
          <w:color w:val="auto"/>
        </w:rPr>
      </w:pPr>
    </w:p>
    <w:p>
      <w:pPr>
        <w:ind w:right="280" w:firstLine="648"/>
        <w:spacing w:after="0" w:line="246" w:lineRule="auto"/>
        <w:rPr>
          <w:sz w:val="20"/>
          <w:szCs w:val="20"/>
          <w:color w:val="auto"/>
        </w:rPr>
      </w:pPr>
      <w:r>
        <w:rPr>
          <w:rFonts w:ascii="Arial" w:cs="Arial" w:eastAsia="Arial" w:hAnsi="Arial"/>
          <w:sz w:val="20"/>
          <w:szCs w:val="20"/>
          <w:color w:val="auto"/>
        </w:rPr>
        <w:t>The calculation of diluted earnings per share for the period from the IPO date to September 30, 2020 excludes 2,509,445 shares of Class A common stock, 2,591,352 Class B2 units and 94,574 Class B units issuable pursuant to anti-dilution rights in connection with the vesting of Class B2 units that are convertible into Class A common stock under the if-converted method as the inclusion of such shares would be anti-dilutive.</w:t>
      </w:r>
    </w:p>
    <w:p>
      <w:pPr>
        <w:spacing w:after="0" w:line="191" w:lineRule="exact"/>
        <w:rPr>
          <w:sz w:val="20"/>
          <w:szCs w:val="20"/>
          <w:color w:val="auto"/>
        </w:rPr>
      </w:pPr>
    </w:p>
    <w:p>
      <w:pPr>
        <w:ind w:right="220" w:firstLine="648"/>
        <w:spacing w:after="0" w:line="250" w:lineRule="auto"/>
        <w:rPr>
          <w:sz w:val="20"/>
          <w:szCs w:val="20"/>
          <w:color w:val="auto"/>
        </w:rPr>
      </w:pPr>
      <w:r>
        <w:rPr>
          <w:rFonts w:ascii="Arial" w:cs="Arial" w:eastAsia="Arial" w:hAnsi="Arial"/>
          <w:sz w:val="20"/>
          <w:szCs w:val="20"/>
          <w:color w:val="auto"/>
        </w:rPr>
        <w:t>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w:t>
      </w:r>
    </w:p>
    <w:p>
      <w:pPr>
        <w:spacing w:after="0" w:line="186"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The calculation of diluted earnings per share excludes 52,393,112 Class B units and 3,071,519 Class C units of the Partnership outstanding as of September 30, 2021, and 65,578,831 Class B units of the Partnership outstanding as of September 30, 2020, which are exchangeable into Class A common stock under the if-converted method, as the inclusion of such shares would be anti-dilutive.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b w:val="1"/>
          <w:bCs w:val="1"/>
          <w:color w:val="auto"/>
        </w:rPr>
        <w:t>Related Party Transactions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considers its senior executives, employees and equity method investments to be related parties. A substantial portion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management and advisory fees and carried interest allocations is earned from various StepStone Funds that are considered</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equity method investments. The Company earned net management and advisory fees from the StepStone Funds of $51.0 million and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$47.8 million for the three months ended September 30, 2021 and 2020, respectively, and $96.9 million and $85.1 million for the six months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ended September 30, 2021 and 2020, respectively. Carried interest allocation revenues earned from the StepStone Funds totaled $196.4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million and $166.1 million for the three months ended September 30, 2021 and 2020, respectively, and $422.7 million and $37.6 million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six months ended September 30, 2021 and 2020, respectively. Legacy Greenspring carried interest allocation revenues earned from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certain legacy Greenspring funds for which the Company has no economic interests totaled $0 million for the three and six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September 30, 2021, which reflects the net effect of gross realized carried interest allocations of $3.0 million and the reversal of such</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amounts in unrealized carried interest allocations for the period from September 20, 2021 to September 30, 2021.</w:t>
      </w:r>
    </w:p>
    <w:p>
      <w:pPr>
        <w:spacing w:after="0" w:line="200" w:lineRule="exact"/>
        <w:rPr>
          <w:sz w:val="20"/>
          <w:szCs w:val="20"/>
          <w:color w:val="auto"/>
        </w:rPr>
      </w:pPr>
    </w:p>
    <w:p>
      <w:pPr>
        <w:ind w:right="100" w:firstLine="648"/>
        <w:spacing w:after="0" w:line="269" w:lineRule="auto"/>
        <w:rPr>
          <w:sz w:val="20"/>
          <w:szCs w:val="20"/>
          <w:color w:val="auto"/>
        </w:rPr>
      </w:pPr>
      <w:r>
        <w:rPr>
          <w:rFonts w:ascii="Arial" w:cs="Arial" w:eastAsia="Arial" w:hAnsi="Arial"/>
          <w:sz w:val="19"/>
          <w:szCs w:val="19"/>
          <w:color w:val="auto"/>
        </w:rPr>
        <w:t>Due from affiliates in the condensed consolidated balance sheets consists primarily of fees and accounts receivable from the StepStone Funds, advances made on behalf of the StepStone Funds for the payment of certain organization and operating costs and expenses for which the Company is subsequently reimbursed, and amounts due from employees, as set forth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March 31, 2021</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receivable from StepStone Funds</w:t>
            </w: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9,520</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6,958</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Amounts receivable from employees</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r>
      <w:tr>
        <w:trPr>
          <w:trHeight w:val="248"/>
        </w:trPr>
        <w:tc>
          <w:tcPr>
            <w:tcW w:w="8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due from affiliates</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380" w:firstLine="648"/>
        <w:spacing w:after="0" w:line="250" w:lineRule="auto"/>
        <w:rPr>
          <w:sz w:val="20"/>
          <w:szCs w:val="20"/>
          <w:color w:val="auto"/>
        </w:rPr>
      </w:pPr>
      <w:r>
        <w:rPr>
          <w:rFonts w:ascii="Arial" w:cs="Arial" w:eastAsia="Arial" w:hAnsi="Arial"/>
          <w:sz w:val="20"/>
          <w:szCs w:val="20"/>
          <w:color w:val="auto"/>
        </w:rPr>
        <w:t>Due to affiliates in the condensed consolidated balance sheets consists primarily of amounts payable to certain non-controlling interest holders in connection with the Tax Receivable Agreements, amounts payable to the StepStone Funds and distributions payable to certain employee equity holders of consolidated subsidiaries, as set forth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March 31, 2021</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payable to non-controlling interest holders in connection with Tax Receivable Agreements</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142,819</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107,216</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Amounts payable to StepStone Funds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2,740</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payable to certain employee equity holders of consolidated subsidiaries</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w:t>
            </w:r>
          </w:p>
        </w:tc>
      </w:tr>
      <w:tr>
        <w:trPr>
          <w:trHeight w:val="223"/>
        </w:trPr>
        <w:tc>
          <w:tcPr>
            <w:tcW w:w="8140" w:type="dxa"/>
            <w:vAlign w:val="bottom"/>
          </w:tcPr>
          <w:p>
            <w:pPr>
              <w:ind w:left="400"/>
              <w:spacing w:after="0"/>
              <w:rPr>
                <w:sz w:val="20"/>
                <w:szCs w:val="20"/>
                <w:color w:val="auto"/>
              </w:rPr>
            </w:pPr>
            <w:r>
              <w:rPr>
                <w:rFonts w:ascii="Arial" w:cs="Arial" w:eastAsia="Arial" w:hAnsi="Arial"/>
                <w:sz w:val="18"/>
                <w:szCs w:val="18"/>
                <w:color w:val="auto"/>
              </w:rPr>
              <w:t>Total due to affiliates</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148,234</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113,522</w:t>
            </w:r>
          </w:p>
        </w:tc>
      </w:tr>
      <w:tr>
        <w:trPr>
          <w:trHeight w:val="20"/>
        </w:trPr>
        <w:tc>
          <w:tcPr>
            <w:tcW w:w="8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The Company made no payments under the Tax Receivable Agreements for three months ended September 30, 2021 and payments of $0.6 million during the six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6"/>
          <w:szCs w:val="16"/>
          <w:b w:val="1"/>
          <w:bCs w:val="1"/>
          <w:color w:val="auto"/>
        </w:rPr>
        <w:t>Stockholders’ Equity</w:t>
      </w:r>
    </w:p>
    <w:p>
      <w:pPr>
        <w:spacing w:after="0" w:line="22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w:t>
      </w:r>
    </w:p>
    <w:p>
      <w:pPr>
        <w:spacing w:after="0" w:line="161" w:lineRule="exact"/>
        <w:rPr>
          <w:sz w:val="20"/>
          <w:szCs w:val="20"/>
          <w:color w:val="auto"/>
        </w:rPr>
      </w:pPr>
    </w:p>
    <w:p>
      <w:pPr>
        <w:ind w:right="40" w:firstLine="648"/>
        <w:spacing w:after="0" w:line="313" w:lineRule="auto"/>
        <w:rPr>
          <w:sz w:val="20"/>
          <w:szCs w:val="20"/>
          <w:color w:val="auto"/>
        </w:rPr>
      </w:pPr>
      <w:r>
        <w:rPr>
          <w:rFonts w:ascii="Arial" w:cs="Arial" w:eastAsia="Arial" w:hAnsi="Arial"/>
          <w:sz w:val="16"/>
          <w:szCs w:val="16"/>
          <w:color w:val="auto"/>
        </w:rPr>
        <w:t>In connection with the Greenspring acquisition, the Company amended the limited partnership agreement of the Partnership to create new Class C limited partnership interests and to admit the new limited partners that received Class C units as consideration for the Greenspring acquisition. The Class C limited partnership interests of the Partnership have substantially the same rights and obligations as are applicable to the existing holders of Class B units of the Partnership. The Company has no ownership interest in the Class C units, which are held by certain employees of the Company. The Company also entered into an agreement with the Class C limited partners of the Partnership to allow for the exchange of Class C units to shares of Class A common stock of the Company on a one for one basis, subject to certain restrictions. The Class C limited partners also became parties to the Exchanges Tax Receivable Agreement as a result of the transaction.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shows a rollforward of the Company’s shares of common stock outstanding since March 31, 2021:</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b w:val="1"/>
                <w:bCs w:val="1"/>
                <w:color w:val="auto"/>
              </w:rPr>
              <w:t>Class A Common Stock</w:t>
            </w:r>
          </w:p>
        </w:tc>
        <w:tc>
          <w:tcPr>
            <w:tcW w:w="2420" w:type="dxa"/>
            <w:vAlign w:val="bottom"/>
          </w:tcPr>
          <w:p>
            <w:pPr>
              <w:jc w:val="right"/>
              <w:ind w:right="210"/>
              <w:spacing w:after="0"/>
              <w:rPr>
                <w:sz w:val="20"/>
                <w:szCs w:val="20"/>
                <w:color w:val="auto"/>
              </w:rPr>
            </w:pPr>
            <w:r>
              <w:rPr>
                <w:rFonts w:ascii="Arial" w:cs="Arial" w:eastAsia="Arial" w:hAnsi="Arial"/>
                <w:sz w:val="18"/>
                <w:szCs w:val="18"/>
                <w:b w:val="1"/>
                <w:bCs w:val="1"/>
                <w:color w:val="auto"/>
              </w:rPr>
              <w:t>Class B Common Stock</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38,437,500</w:t>
            </w:r>
          </w:p>
        </w:tc>
        <w:tc>
          <w:tcPr>
            <w:tcW w:w="1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56,378,831</w:t>
            </w:r>
          </w:p>
        </w:tc>
      </w:tr>
      <w:tr>
        <w:trPr>
          <w:trHeight w:val="229"/>
        </w:trPr>
        <w:tc>
          <w:tcPr>
            <w:tcW w:w="6280" w:type="dxa"/>
            <w:vAlign w:val="bottom"/>
          </w:tcPr>
          <w:p>
            <w:pPr>
              <w:ind w:left="240"/>
              <w:spacing w:after="0"/>
              <w:rPr>
                <w:sz w:val="20"/>
                <w:szCs w:val="20"/>
                <w:color w:val="auto"/>
              </w:rPr>
            </w:pPr>
            <w:r>
              <w:rPr>
                <w:rFonts w:ascii="Arial" w:cs="Arial" w:eastAsia="Arial" w:hAnsi="Arial"/>
                <w:sz w:val="18"/>
                <w:szCs w:val="18"/>
                <w:color w:val="auto"/>
              </w:rPr>
              <w:t>Class A common stock issued for Greenspring acquisition</w:t>
            </w:r>
          </w:p>
        </w:tc>
        <w:tc>
          <w:tcPr>
            <w:tcW w:w="2400" w:type="dxa"/>
            <w:vAlign w:val="bottom"/>
          </w:tcPr>
          <w:p>
            <w:pPr>
              <w:jc w:val="right"/>
              <w:spacing w:after="0"/>
              <w:rPr>
                <w:sz w:val="20"/>
                <w:szCs w:val="20"/>
                <w:color w:val="auto"/>
              </w:rPr>
            </w:pPr>
            <w:r>
              <w:rPr>
                <w:rFonts w:ascii="Arial" w:cs="Arial" w:eastAsia="Arial" w:hAnsi="Arial"/>
                <w:sz w:val="18"/>
                <w:szCs w:val="18"/>
                <w:color w:val="auto"/>
              </w:rPr>
              <w:t>12,686,756</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Class A common stock issued in exchange for Class B partnership units</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3,985,719</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(3,985,719)</w:t>
            </w:r>
          </w:p>
        </w:tc>
      </w:tr>
      <w:tr>
        <w:trPr>
          <w:trHeight w:val="230"/>
        </w:trPr>
        <w:tc>
          <w:tcPr>
            <w:tcW w:w="6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Class A common stock issued for vesting of RSUs</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625,281</w:t>
            </w:r>
          </w:p>
        </w:tc>
        <w:tc>
          <w:tcPr>
            <w:tcW w:w="14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2021</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55,735,256</w:t>
            </w:r>
          </w:p>
        </w:tc>
        <w:tc>
          <w:tcPr>
            <w:tcW w:w="1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52,393,112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The Company has 25,000,000 authorized shares of preferred stock, par value of $0.001 per share, and as of September 30, 2021, no shares of preferred stock were issued or outstanding.</w:t>
      </w:r>
    </w:p>
    <w:p>
      <w:pPr>
        <w:spacing w:after="0" w:line="177" w:lineRule="exact"/>
        <w:rPr>
          <w:sz w:val="20"/>
          <w:szCs w:val="20"/>
          <w:color w:val="auto"/>
        </w:rPr>
      </w:pPr>
    </w:p>
    <w:p>
      <w:pPr>
        <w:jc w:val="both"/>
        <w:ind w:right="120" w:firstLine="648"/>
        <w:spacing w:after="0" w:line="269" w:lineRule="auto"/>
        <w:rPr>
          <w:sz w:val="20"/>
          <w:szCs w:val="20"/>
          <w:color w:val="auto"/>
        </w:rPr>
      </w:pPr>
      <w:r>
        <w:rPr>
          <w:rFonts w:ascii="Arial" w:cs="Arial" w:eastAsia="Arial" w:hAnsi="Arial"/>
          <w:sz w:val="19"/>
          <w:szCs w:val="19"/>
          <w:color w:val="auto"/>
        </w:rPr>
        <w:t>In connection with the consummation of the IPO, the Partnership issued new partnership interests to certain StepStone professionals in SRA in exchange for their partnership interests in SRA, which increased the interest of the Partnership in SRA to approximately 49% and decreased the interest of the StepStone professionals in SRA to approximately 51%.</w:t>
      </w:r>
    </w:p>
    <w:p>
      <w:pPr>
        <w:spacing w:after="0" w:line="170"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In September 2021, the Company issued 12,686,756 shares of Class A common stock and 3,071,519 Class C units of the Partnership as partial consideration for the Greenspring acquisition. See note 14 for more information.</w:t>
      </w:r>
    </w:p>
    <w:p>
      <w:pPr>
        <w:spacing w:after="0" w:line="177" w:lineRule="exact"/>
        <w:rPr>
          <w:sz w:val="20"/>
          <w:szCs w:val="20"/>
          <w:color w:val="auto"/>
        </w:rPr>
      </w:pPr>
    </w:p>
    <w:p>
      <w:pPr>
        <w:ind w:right="60" w:firstLine="648"/>
        <w:spacing w:after="0" w:line="243" w:lineRule="auto"/>
        <w:rPr>
          <w:sz w:val="20"/>
          <w:szCs w:val="20"/>
          <w:color w:val="auto"/>
        </w:rPr>
      </w:pPr>
      <w:r>
        <w:rPr>
          <w:rFonts w:ascii="Arial" w:cs="Arial" w:eastAsia="Arial" w:hAnsi="Arial"/>
          <w:sz w:val="20"/>
          <w:szCs w:val="20"/>
          <w:color w:val="auto"/>
        </w:rPr>
        <w:t>In September 2021, the Company issued 2,087,281 shares of Class A common stock to certain limited partners of the Partnership in exchange for 2,087,281 Class B units in accordance with the elective exchange notices submitted pursuant to an agreement with the Class B limited partners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the Company.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40" w:firstLine="648"/>
        <w:spacing w:after="0" w:line="263" w:lineRule="auto"/>
        <w:rPr>
          <w:sz w:val="20"/>
          <w:szCs w:val="20"/>
          <w:color w:val="auto"/>
        </w:rPr>
      </w:pPr>
      <w:r>
        <w:rPr>
          <w:rFonts w:ascii="Arial" w:cs="Arial" w:eastAsia="Arial" w:hAnsi="Arial"/>
          <w:sz w:val="19"/>
          <w:szCs w:val="19"/>
          <w:color w:val="auto"/>
        </w:rPr>
        <w:t>In June 2021, the Company issued 1,898,438 shares of Class A common stock to certain limited partners of the Partnership in exchange for 1,898,438 Class B units in accordance with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the Company.</w:t>
      </w:r>
    </w:p>
    <w:p>
      <w:pPr>
        <w:spacing w:after="0" w:line="17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9"/>
          <w:szCs w:val="19"/>
          <w:color w:val="auto"/>
        </w:rPr>
        <w:t>In March 2021, the Company conducted an underwritten public offering of 9,200,000 shares of Class A common stock, including 1,200,000 shares pursuant to the full exercise of the underwriters’ option to purchase additional shares, (the “March 2021 Offering”) sold by selling stockholders at a public offering price of $29.50 per share. In connection with the offering, the Company issued 9,200,000 shares of Class A common stock to the selling stockholders in exchange for 9,200,000 Class B units. A corresponding number of shares of Class B common stock were automatically redeemed at par value and canceled in connection with such exchange. The Company did not receive any proceeds from the sale of shares by the selling stockholders.</w:t>
      </w:r>
    </w:p>
    <w:p>
      <w:pPr>
        <w:spacing w:after="0" w:line="178" w:lineRule="exact"/>
        <w:rPr>
          <w:sz w:val="20"/>
          <w:szCs w:val="20"/>
          <w:color w:val="auto"/>
        </w:rPr>
      </w:pPr>
    </w:p>
    <w:p>
      <w:pPr>
        <w:jc w:val="both"/>
        <w:ind w:right="480" w:firstLine="648"/>
        <w:spacing w:after="0" w:line="269" w:lineRule="auto"/>
        <w:rPr>
          <w:sz w:val="20"/>
          <w:szCs w:val="20"/>
          <w:color w:val="auto"/>
        </w:rPr>
      </w:pPr>
      <w:r>
        <w:rPr>
          <w:rFonts w:ascii="Arial" w:cs="Arial" w:eastAsia="Arial" w:hAnsi="Arial"/>
          <w:sz w:val="19"/>
          <w:szCs w:val="19"/>
          <w:color w:val="auto"/>
        </w:rPr>
        <w:t>The reallocation adjustment between SSG stockholders’ equity, non-controlling interests in the Partnership and non-controlling interests in subsidiaries relates to the impact of changes in economic ownership percentages during the period and adjusting previously recorded equity transactions to the economic ownership percentage as of the end of each reporting period.</w:t>
      </w:r>
    </w:p>
    <w:p>
      <w:pPr>
        <w:spacing w:after="0" w:line="170" w:lineRule="exact"/>
        <w:rPr>
          <w:sz w:val="20"/>
          <w:szCs w:val="20"/>
          <w:color w:val="auto"/>
        </w:rPr>
      </w:pPr>
    </w:p>
    <w:p>
      <w:pPr>
        <w:ind w:right="300" w:firstLine="648"/>
        <w:spacing w:after="0" w:line="250" w:lineRule="auto"/>
        <w:rPr>
          <w:sz w:val="20"/>
          <w:szCs w:val="20"/>
          <w:color w:val="auto"/>
        </w:rPr>
      </w:pPr>
      <w:r>
        <w:rPr>
          <w:rFonts w:ascii="Arial" w:cs="Arial" w:eastAsia="Arial" w:hAnsi="Arial"/>
          <w:sz w:val="20"/>
          <w:szCs w:val="20"/>
          <w:color w:val="auto"/>
        </w:rPr>
        <w:t>In June 2020, SRA completed a transaction to repurchase partnership interests in SRA from a former partner for approximately $3.3 million, and subsequently sold an equal number of partnership interests to certain employees of SRA for approximately $3.3 million, resulting in no net proceeds to SRA.</w:t>
      </w:r>
    </w:p>
    <w:p>
      <w:pPr>
        <w:spacing w:after="0" w:line="186"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Dividends and distributions are reflected in the condensed consolidated statements of stockholders’ equity when declared by the board of directors. Dividends are made to Class A common stockholders and distributions are made to limited partners of the Partnership and holders of non-controlling interests in subsidiaries.</w:t>
      </w:r>
    </w:p>
    <w:p>
      <w:pPr>
        <w:spacing w:after="0" w:line="186" w:lineRule="exact"/>
        <w:rPr>
          <w:sz w:val="20"/>
          <w:szCs w:val="20"/>
          <w:color w:val="auto"/>
        </w:rPr>
      </w:pPr>
    </w:p>
    <w:p>
      <w:pPr>
        <w:ind w:right="860" w:firstLine="648"/>
        <w:spacing w:after="0" w:line="260" w:lineRule="auto"/>
        <w:rPr>
          <w:sz w:val="20"/>
          <w:szCs w:val="20"/>
          <w:color w:val="auto"/>
        </w:rPr>
      </w:pPr>
      <w:r>
        <w:rPr>
          <w:rFonts w:ascii="Arial" w:cs="Arial" w:eastAsia="Arial" w:hAnsi="Arial"/>
          <w:sz w:val="20"/>
          <w:szCs w:val="20"/>
          <w:color w:val="auto"/>
        </w:rPr>
        <w:t>On August 10, 2021, the Company announced a dividend of $0.07 per share of Class A common stock, which was paid on September 15, 2021 to holders of record at the close of business on August 31, 2021.</w:t>
      </w:r>
    </w:p>
    <w:p>
      <w:pPr>
        <w:spacing w:after="0" w:line="171" w:lineRule="exact"/>
        <w:rPr>
          <w:sz w:val="20"/>
          <w:szCs w:val="20"/>
          <w:color w:val="auto"/>
        </w:rPr>
      </w:pPr>
    </w:p>
    <w:p>
      <w:pPr>
        <w:ind w:left="660" w:right="8480" w:hanging="652"/>
        <w:spacing w:after="0" w:line="585" w:lineRule="auto"/>
        <w:tabs>
          <w:tab w:leader="none" w:pos="457"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Business Combinations Greenspring Acquisition</w:t>
      </w:r>
    </w:p>
    <w:p>
      <w:pPr>
        <w:ind w:firstLine="648"/>
        <w:spacing w:after="0" w:line="272" w:lineRule="auto"/>
        <w:rPr>
          <w:sz w:val="20"/>
          <w:szCs w:val="20"/>
          <w:color w:val="auto"/>
        </w:rPr>
      </w:pPr>
      <w:r>
        <w:rPr>
          <w:rFonts w:ascii="Arial" w:cs="Arial" w:eastAsia="Arial" w:hAnsi="Arial"/>
          <w:sz w:val="18"/>
          <w:szCs w:val="18"/>
          <w:color w:val="auto"/>
        </w:rPr>
        <w:t>On September 20, 2021, the Company completed the acquisition of 100% of the equity of Greenspring Associates, Inc. and certain of its affiliates (collectively, “Greenspring”) in exchange for (i) cash consideration of approximately $185 million, net of an agreed upon adjustment based upon Greenspring’s net working capital balance at the closing date, (ii) 12,686,756 shares of Class A common stock and</w:t>
      </w:r>
    </w:p>
    <w:p>
      <w:pPr>
        <w:spacing w:after="0" w:line="1" w:lineRule="exact"/>
        <w:rPr>
          <w:sz w:val="20"/>
          <w:szCs w:val="20"/>
          <w:color w:val="auto"/>
        </w:rPr>
      </w:pPr>
    </w:p>
    <w:p>
      <w:pPr>
        <w:ind w:right="40" w:firstLine="8"/>
        <w:spacing w:after="0" w:line="299" w:lineRule="auto"/>
        <w:tabs>
          <w:tab w:leader="none" w:pos="346" w:val="left"/>
        </w:tabs>
        <w:numPr>
          <w:ilvl w:val="0"/>
          <w:numId w:val="20"/>
        </w:numPr>
        <w:rPr>
          <w:rFonts w:ascii="Arial" w:cs="Arial" w:eastAsia="Arial" w:hAnsi="Arial"/>
          <w:sz w:val="16"/>
          <w:szCs w:val="16"/>
          <w:color w:val="auto"/>
        </w:rPr>
      </w:pPr>
      <w:r>
        <w:rPr>
          <w:rFonts w:ascii="Arial" w:cs="Arial" w:eastAsia="Arial" w:hAnsi="Arial"/>
          <w:sz w:val="16"/>
          <w:szCs w:val="16"/>
          <w:color w:val="auto"/>
        </w:rPr>
        <w:t>3,071,519 newly issued Class C units of the Partnership (the “Greenspring acquisition”). The transaction agreement also included an earn-out of up to $75 million that is payable in 2025 subject to the achievement of certain management fee revenue targets for calendar year 2024. The results of Greenspring’s operations have been included in the condensed consolidated financial statements effective September 20,</w:t>
      </w:r>
    </w:p>
    <w:p>
      <w:pPr>
        <w:ind w:right="460"/>
        <w:spacing w:after="0" w:line="269" w:lineRule="auto"/>
        <w:rPr>
          <w:rFonts w:ascii="Arial" w:cs="Arial" w:eastAsia="Arial" w:hAnsi="Arial"/>
          <w:sz w:val="16"/>
          <w:szCs w:val="16"/>
          <w:color w:val="auto"/>
        </w:rPr>
      </w:pPr>
      <w:r>
        <w:rPr>
          <w:rFonts w:ascii="Arial" w:cs="Arial" w:eastAsia="Arial" w:hAnsi="Arial"/>
          <w:sz w:val="19"/>
          <w:szCs w:val="19"/>
          <w:color w:val="auto"/>
        </w:rPr>
        <w:t>2021. Greenspring is a leading venture capital and growth equity platform, and the acquisition of Greenspring is expected to expand the Company’s continued growth of its private markets capabilities across asset classes, geographies and sectors.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The aggregate purchase price for the acquisition of Greenspring and the estimated fair values of the assets acquired and liabilities assumed at the acquisition date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Acquisition date fair value of consideration transferred:</w:t>
            </w:r>
          </w:p>
        </w:tc>
        <w:tc>
          <w:tcPr>
            <w:tcW w:w="7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9000" w:type="dxa"/>
            <w:vAlign w:val="bottom"/>
          </w:tcPr>
          <w:p>
            <w:pPr>
              <w:ind w:left="360"/>
              <w:spacing w:after="0"/>
              <w:rPr>
                <w:sz w:val="20"/>
                <w:szCs w:val="20"/>
                <w:color w:val="auto"/>
              </w:rPr>
            </w:pPr>
            <w:r>
              <w:rPr>
                <w:rFonts w:ascii="Arial" w:cs="Arial" w:eastAsia="Arial" w:hAnsi="Arial"/>
                <w:sz w:val="18"/>
                <w:szCs w:val="18"/>
                <w:color w:val="auto"/>
              </w:rPr>
              <w:t>Cash consideration</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186,577</w:t>
            </w:r>
          </w:p>
        </w:tc>
      </w:tr>
      <w:tr>
        <w:trPr>
          <w:trHeight w:val="229"/>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A common stock</w:t>
            </w:r>
          </w:p>
        </w:tc>
        <w:tc>
          <w:tcPr>
            <w:tcW w:w="7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558,598</w:t>
            </w:r>
          </w:p>
        </w:tc>
      </w:tr>
      <w:tr>
        <w:trPr>
          <w:trHeight w:val="230"/>
        </w:trPr>
        <w:tc>
          <w:tcPr>
            <w:tcW w:w="9000" w:type="dxa"/>
            <w:vAlign w:val="bottom"/>
          </w:tcPr>
          <w:p>
            <w:pPr>
              <w:ind w:left="360"/>
              <w:spacing w:after="0"/>
              <w:rPr>
                <w:sz w:val="20"/>
                <w:szCs w:val="20"/>
                <w:color w:val="auto"/>
              </w:rPr>
            </w:pPr>
            <w:r>
              <w:rPr>
                <w:rFonts w:ascii="Arial" w:cs="Arial" w:eastAsia="Arial" w:hAnsi="Arial"/>
                <w:sz w:val="18"/>
                <w:szCs w:val="18"/>
                <w:color w:val="auto"/>
              </w:rPr>
              <w:t>Class C units of the Partnership</w:t>
            </w:r>
          </w:p>
        </w:tc>
        <w:tc>
          <w:tcPr>
            <w:tcW w:w="7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135,239</w:t>
            </w:r>
          </w:p>
        </w:tc>
      </w:tr>
      <w:tr>
        <w:trPr>
          <w:trHeight w:val="229"/>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w:t>
            </w:r>
          </w:p>
        </w:tc>
        <w:tc>
          <w:tcPr>
            <w:tcW w:w="7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w:t>
            </w:r>
          </w:p>
        </w:tc>
      </w:tr>
      <w:tr>
        <w:trPr>
          <w:trHeight w:val="223"/>
        </w:trPr>
        <w:tc>
          <w:tcPr>
            <w:tcW w:w="9000" w:type="dxa"/>
            <w:vAlign w:val="bottom"/>
          </w:tcPr>
          <w:p>
            <w:pPr>
              <w:ind w:left="680"/>
              <w:spacing w:after="0"/>
              <w:rPr>
                <w:sz w:val="20"/>
                <w:szCs w:val="20"/>
                <w:color w:val="auto"/>
              </w:rPr>
            </w:pPr>
            <w:r>
              <w:rPr>
                <w:rFonts w:ascii="Arial" w:cs="Arial" w:eastAsia="Arial" w:hAnsi="Arial"/>
                <w:sz w:val="18"/>
                <w:szCs w:val="18"/>
                <w:color w:val="auto"/>
              </w:rPr>
              <w:t>Total purchase price</w:t>
            </w: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898,183</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7"/>
        </w:trPr>
        <w:tc>
          <w:tcPr>
            <w:tcW w:w="90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b w:val="1"/>
                <w:bCs w:val="1"/>
                <w:color w:val="auto"/>
              </w:rPr>
              <w:t>Estimated fair value of assets acquired and liabilities assumed:</w:t>
            </w:r>
          </w:p>
        </w:tc>
        <w:tc>
          <w:tcPr>
            <w:tcW w:w="7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short-term receivables</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r>
      <w:tr>
        <w:trPr>
          <w:trHeight w:val="229"/>
        </w:trPr>
        <w:tc>
          <w:tcPr>
            <w:tcW w:w="9000" w:type="dxa"/>
            <w:vAlign w:val="bottom"/>
          </w:tcPr>
          <w:p>
            <w:pPr>
              <w:ind w:left="360"/>
              <w:spacing w:after="0" w:line="230" w:lineRule="exact"/>
              <w:rPr>
                <w:sz w:val="20"/>
                <w:szCs w:val="20"/>
                <w:color w:val="auto"/>
              </w:rPr>
            </w:pPr>
            <w:r>
              <w:rPr>
                <w:rFonts w:ascii="Arial" w:cs="Arial" w:eastAsia="Arial" w:hAnsi="Arial"/>
                <w:sz w:val="18"/>
                <w:szCs w:val="18"/>
                <w:color w:val="auto"/>
              </w:rPr>
              <w:t>Legacy Greenspring investments in funds and accrued carried interest allocations</w:t>
            </w:r>
            <w:r>
              <w:rPr>
                <w:rFonts w:ascii="Arial" w:cs="Arial" w:eastAsia="Arial" w:hAnsi="Arial"/>
                <w:sz w:val="23"/>
                <w:szCs w:val="23"/>
                <w:color w:val="auto"/>
                <w:vertAlign w:val="superscript"/>
              </w:rPr>
              <w:t>(1)</w:t>
            </w:r>
          </w:p>
        </w:tc>
        <w:tc>
          <w:tcPr>
            <w:tcW w:w="7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1,213,792</w:t>
            </w:r>
          </w:p>
        </w:tc>
      </w:tr>
      <w:tr>
        <w:trPr>
          <w:trHeight w:val="229"/>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right-of-use assets, net</w:t>
            </w:r>
          </w:p>
        </w:tc>
        <w:tc>
          <w:tcPr>
            <w:tcW w:w="7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r>
      <w:tr>
        <w:trPr>
          <w:trHeight w:val="230"/>
        </w:trPr>
        <w:tc>
          <w:tcPr>
            <w:tcW w:w="9000" w:type="dxa"/>
            <w:vAlign w:val="bottom"/>
          </w:tcPr>
          <w:p>
            <w:pPr>
              <w:ind w:left="360"/>
              <w:spacing w:after="0"/>
              <w:rPr>
                <w:sz w:val="20"/>
                <w:szCs w:val="20"/>
                <w:color w:val="auto"/>
              </w:rPr>
            </w:pPr>
            <w:r>
              <w:rPr>
                <w:rFonts w:ascii="Arial" w:cs="Arial" w:eastAsia="Arial" w:hAnsi="Arial"/>
                <w:sz w:val="18"/>
                <w:szCs w:val="18"/>
                <w:color w:val="auto"/>
              </w:rPr>
              <w:t>Other assets and receivables</w:t>
            </w:r>
          </w:p>
        </w:tc>
        <w:tc>
          <w:tcPr>
            <w:tcW w:w="7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2,146</w:t>
            </w:r>
          </w:p>
        </w:tc>
      </w:tr>
      <w:tr>
        <w:trPr>
          <w:trHeight w:val="229"/>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Finite-lived intangible assets—contractual rights: management contracts</w:t>
            </w:r>
          </w:p>
        </w:tc>
        <w:tc>
          <w:tcPr>
            <w:tcW w:w="7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310,944</w:t>
            </w:r>
          </w:p>
        </w:tc>
      </w:tr>
      <w:tr>
        <w:trPr>
          <w:trHeight w:val="230"/>
        </w:trPr>
        <w:tc>
          <w:tcPr>
            <w:tcW w:w="9000" w:type="dxa"/>
            <w:vAlign w:val="bottom"/>
          </w:tcPr>
          <w:p>
            <w:pPr>
              <w:ind w:left="360"/>
              <w:spacing w:after="0"/>
              <w:rPr>
                <w:sz w:val="20"/>
                <w:szCs w:val="20"/>
                <w:color w:val="auto"/>
              </w:rPr>
            </w:pPr>
            <w:r>
              <w:rPr>
                <w:rFonts w:ascii="Arial" w:cs="Arial" w:eastAsia="Arial" w:hAnsi="Arial"/>
                <w:sz w:val="18"/>
                <w:szCs w:val="18"/>
                <w:color w:val="auto"/>
              </w:rPr>
              <w:t>Finite-lived intangible assets—client relationships</w:t>
            </w:r>
          </w:p>
        </w:tc>
        <w:tc>
          <w:tcPr>
            <w:tcW w:w="7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96,650</w:t>
            </w:r>
          </w:p>
        </w:tc>
      </w:tr>
      <w:tr>
        <w:trPr>
          <w:trHeight w:val="229"/>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Finite-lived intangible assets—contractual rights: service agreements</w:t>
            </w:r>
          </w:p>
        </w:tc>
        <w:tc>
          <w:tcPr>
            <w:tcW w:w="7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r>
      <w:tr>
        <w:trPr>
          <w:trHeight w:val="229"/>
        </w:trPr>
        <w:tc>
          <w:tcPr>
            <w:tcW w:w="9000" w:type="dxa"/>
            <w:vAlign w:val="bottom"/>
          </w:tcPr>
          <w:p>
            <w:pPr>
              <w:ind w:left="360"/>
              <w:spacing w:after="0"/>
              <w:rPr>
                <w:sz w:val="20"/>
                <w:szCs w:val="20"/>
                <w:color w:val="auto"/>
              </w:rPr>
            </w:pPr>
            <w:r>
              <w:rPr>
                <w:rFonts w:ascii="Arial" w:cs="Arial" w:eastAsia="Arial" w:hAnsi="Arial"/>
                <w:sz w:val="18"/>
                <w:szCs w:val="18"/>
                <w:color w:val="auto"/>
              </w:rPr>
              <w:t>Goodwill</w:t>
            </w:r>
          </w:p>
        </w:tc>
        <w:tc>
          <w:tcPr>
            <w:tcW w:w="7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576,181</w:t>
            </w:r>
          </w:p>
        </w:tc>
      </w:tr>
      <w:tr>
        <w:trPr>
          <w:trHeight w:val="230"/>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7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(98,538)</w:t>
            </w:r>
          </w:p>
        </w:tc>
      </w:tr>
      <w:tr>
        <w:trPr>
          <w:trHeight w:val="229"/>
        </w:trPr>
        <w:tc>
          <w:tcPr>
            <w:tcW w:w="9000" w:type="dxa"/>
            <w:vAlign w:val="bottom"/>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7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(4,460)</w:t>
            </w:r>
          </w:p>
        </w:tc>
      </w:tr>
      <w:tr>
        <w:trPr>
          <w:trHeight w:val="230"/>
        </w:trPr>
        <w:tc>
          <w:tcPr>
            <w:tcW w:w="90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Legacy Greenspring accrued carried interest-related compensation</w:t>
            </w:r>
            <w:r>
              <w:rPr>
                <w:rFonts w:ascii="Arial" w:cs="Arial" w:eastAsia="Arial" w:hAnsi="Arial"/>
                <w:sz w:val="23"/>
                <w:szCs w:val="23"/>
                <w:color w:val="auto"/>
                <w:vertAlign w:val="superscript"/>
              </w:rPr>
              <w:t>(1)</w:t>
            </w:r>
          </w:p>
        </w:tc>
        <w:tc>
          <w:tcPr>
            <w:tcW w:w="7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(992,646)</w:t>
            </w:r>
          </w:p>
        </w:tc>
      </w:tr>
      <w:tr>
        <w:trPr>
          <w:trHeight w:val="230"/>
        </w:trPr>
        <w:tc>
          <w:tcPr>
            <w:tcW w:w="900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7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(2,585)</w:t>
            </w:r>
          </w:p>
        </w:tc>
      </w:tr>
      <w:tr>
        <w:trPr>
          <w:trHeight w:val="230"/>
        </w:trPr>
        <w:tc>
          <w:tcPr>
            <w:tcW w:w="90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Non-controlling interests in legacy Greenspring entities</w:t>
            </w:r>
            <w:r>
              <w:rPr>
                <w:rFonts w:ascii="Arial" w:cs="Arial" w:eastAsia="Arial" w:hAnsi="Arial"/>
                <w:sz w:val="23"/>
                <w:szCs w:val="23"/>
                <w:color w:val="auto"/>
                <w:vertAlign w:val="superscript"/>
              </w:rPr>
              <w:t>(1)</w:t>
            </w:r>
          </w:p>
        </w:tc>
        <w:tc>
          <w:tcPr>
            <w:tcW w:w="7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(221,146)</w:t>
            </w:r>
          </w:p>
        </w:tc>
      </w:tr>
      <w:tr>
        <w:trPr>
          <w:trHeight w:val="223"/>
        </w:trPr>
        <w:tc>
          <w:tcPr>
            <w:tcW w:w="9000" w:type="dxa"/>
            <w:vAlign w:val="bottom"/>
          </w:tcPr>
          <w:p>
            <w:pPr>
              <w:ind w:left="68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898,183</w:t>
            </w:r>
          </w:p>
        </w:tc>
      </w:tr>
      <w:tr>
        <w:trPr>
          <w:trHeight w:val="20"/>
        </w:trPr>
        <w:tc>
          <w:tcPr>
            <w:tcW w:w="9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jc w:val="both"/>
        <w:ind w:left="660" w:right="400" w:hanging="652"/>
        <w:spacing w:after="0" w:line="277" w:lineRule="auto"/>
        <w:tabs>
          <w:tab w:leader="none" w:pos="654"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investments in funds and carried interest allocations attributable to consolidated VIEs for which the Company did not acquire any direct economic interests. Such amounts are attributable to employees and therefore have been reflected as non-controlling interests in legacy Greenspring entities and legacy Greenspring accrued carried interest-related compensation, respectively.</w:t>
      </w:r>
    </w:p>
    <w:p>
      <w:pPr>
        <w:spacing w:after="0" w:line="170" w:lineRule="exact"/>
        <w:rPr>
          <w:sz w:val="20"/>
          <w:szCs w:val="20"/>
          <w:color w:val="auto"/>
        </w:rPr>
      </w:pPr>
    </w:p>
    <w:p>
      <w:pPr>
        <w:ind w:right="420" w:firstLine="648"/>
        <w:spacing w:after="0" w:line="250" w:lineRule="auto"/>
        <w:rPr>
          <w:sz w:val="20"/>
          <w:szCs w:val="20"/>
          <w:color w:val="auto"/>
        </w:rPr>
      </w:pPr>
      <w:r>
        <w:rPr>
          <w:rFonts w:ascii="Arial" w:cs="Arial" w:eastAsia="Arial" w:hAnsi="Arial"/>
          <w:sz w:val="20"/>
          <w:szCs w:val="20"/>
          <w:color w:val="auto"/>
        </w:rPr>
        <w:t>For the three and six months ended September 30, 2021, the Company incurred $10.3 million and $13.8 million, respectively, of acquisition-related costs that were expensed as incurred and included in general, administrative and other expenses in the condensed consolidated statements of income.</w:t>
      </w:r>
    </w:p>
    <w:p>
      <w:pPr>
        <w:spacing w:after="0" w:line="186" w:lineRule="exact"/>
        <w:rPr>
          <w:sz w:val="20"/>
          <w:szCs w:val="20"/>
          <w:color w:val="auto"/>
        </w:rPr>
      </w:pPr>
    </w:p>
    <w:p>
      <w:pPr>
        <w:ind w:right="240" w:firstLine="648"/>
        <w:spacing w:after="0" w:line="246" w:lineRule="auto"/>
        <w:rPr>
          <w:sz w:val="20"/>
          <w:szCs w:val="20"/>
          <w:color w:val="auto"/>
        </w:rPr>
      </w:pPr>
      <w:r>
        <w:rPr>
          <w:rFonts w:ascii="Arial" w:cs="Arial" w:eastAsia="Arial" w:hAnsi="Arial"/>
          <w:sz w:val="20"/>
          <w:szCs w:val="20"/>
          <w:color w:val="auto"/>
        </w:rPr>
        <w:t>The Company allocated $320.5 million and $96.7 million of the purchase price to the fair value of contractual rights and client relationships, respectively, which will be amortized over a weighted-average amortization period of 10.0 years. The $576.2 million of goodwill primarily related to Greenspring’s assembled workforce and business synergies expected to be realized from the transaction. This goodwill is not expected to be deductible for tax purposes.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revenues and net income of Greenspring since the acquisition date was $2.3 million and $1.0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supplemental unaudited pro forma information assumes the Greenspring acquisition, as well as the Reorganization and</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IPO, had been consummated as of April 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3960" w:type="dxa"/>
            <w:vAlign w:val="bottom"/>
            <w:gridSpan w:val="6"/>
          </w:tcPr>
          <w:p>
            <w:pPr>
              <w:ind w:left="480"/>
              <w:spacing w:after="0"/>
              <w:rPr>
                <w:sz w:val="20"/>
                <w:szCs w:val="20"/>
                <w:color w:val="auto"/>
              </w:rPr>
            </w:pPr>
            <w:r>
              <w:rPr>
                <w:rFonts w:ascii="Arial" w:cs="Arial" w:eastAsia="Arial" w:hAnsi="Arial"/>
                <w:sz w:val="18"/>
                <w:szCs w:val="18"/>
                <w:b w:val="1"/>
                <w:bCs w:val="1"/>
                <w:color w:val="auto"/>
              </w:rPr>
              <w:t>Three Months Ended September 30,</w:t>
            </w:r>
          </w:p>
        </w:tc>
        <w:tc>
          <w:tcPr>
            <w:tcW w:w="360" w:type="dxa"/>
            <w:vAlign w:val="bottom"/>
          </w:tcPr>
          <w:p>
            <w:pPr>
              <w:spacing w:after="0"/>
              <w:rPr>
                <w:sz w:val="20"/>
                <w:szCs w:val="20"/>
                <w:color w:val="auto"/>
              </w:rPr>
            </w:pPr>
          </w:p>
        </w:tc>
        <w:tc>
          <w:tcPr>
            <w:tcW w:w="340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w w:val="97"/>
              </w:rPr>
              <w:t>Six Months Ended September 30,</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552,671</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338,630</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1,079,820</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303,478</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line="176" w:lineRule="exact"/>
              <w:rPr>
                <w:sz w:val="20"/>
                <w:szCs w:val="20"/>
                <w:color w:val="auto"/>
              </w:rPr>
            </w:pPr>
            <w:r>
              <w:rPr>
                <w:rFonts w:ascii="Arial" w:cs="Arial" w:eastAsia="Arial" w:hAnsi="Arial"/>
                <w:sz w:val="18"/>
                <w:szCs w:val="18"/>
                <w:color w:val="auto"/>
                <w:w w:val="99"/>
              </w:rPr>
              <w:t>Net income attributable to StepStone Group</w:t>
            </w:r>
          </w:p>
        </w:tc>
        <w:tc>
          <w:tcPr>
            <w:tcW w:w="10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40,068</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27,907</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88,179</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30"/>
        </w:trPr>
        <w:tc>
          <w:tcPr>
            <w:tcW w:w="3520" w:type="dxa"/>
            <w:vAlign w:val="bottom"/>
          </w:tcPr>
          <w:p>
            <w:pPr>
              <w:ind w:left="180"/>
              <w:spacing w:after="0"/>
              <w:rPr>
                <w:sz w:val="20"/>
                <w:szCs w:val="20"/>
                <w:color w:val="auto"/>
              </w:rPr>
            </w:pPr>
            <w:r>
              <w:rPr>
                <w:rFonts w:ascii="Arial" w:cs="Arial" w:eastAsia="Arial" w:hAnsi="Arial"/>
                <w:sz w:val="18"/>
                <w:szCs w:val="18"/>
                <w:color w:val="auto"/>
              </w:rPr>
              <w:t>Inc.</w:t>
            </w:r>
          </w:p>
        </w:tc>
        <w:tc>
          <w:tcPr>
            <w:tcW w:w="106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9"/>
          <w:szCs w:val="19"/>
          <w:color w:val="auto"/>
        </w:rPr>
        <w:t>The Company’s fiscal year ends on March 31, and prior to the transaction, Greenspring’s fiscal year ended on December 31. To comply with SEC rules and regulations for companies with different fiscal year ends, the pro forma condensed combined financial information has been prepared utilizing periods that differ by less than 93 days. The unaudited pro forma information for the three and six months ended September 30, 2021 and 2020 combines the Company’s historical unaudited condensed consolidated statements of income for the three and six months ended September 30, 2021 and 2020, and Greenspring’s historical unaudited condensed combined statements of income for the three and six months ended June 30, 2021 and 2020.</w:t>
      </w:r>
    </w:p>
    <w:p>
      <w:pPr>
        <w:spacing w:after="0" w:line="178" w:lineRule="exact"/>
        <w:rPr>
          <w:sz w:val="20"/>
          <w:szCs w:val="20"/>
          <w:color w:val="auto"/>
        </w:rPr>
      </w:pPr>
    </w:p>
    <w:p>
      <w:pPr>
        <w:ind w:right="280" w:firstLine="648"/>
        <w:spacing w:after="0" w:line="278" w:lineRule="auto"/>
        <w:rPr>
          <w:sz w:val="20"/>
          <w:szCs w:val="20"/>
          <w:color w:val="auto"/>
        </w:rPr>
      </w:pPr>
      <w:r>
        <w:rPr>
          <w:rFonts w:ascii="Arial" w:cs="Arial" w:eastAsia="Arial" w:hAnsi="Arial"/>
          <w:sz w:val="18"/>
          <w:szCs w:val="18"/>
          <w:color w:val="auto"/>
        </w:rPr>
        <w:t>The supplemental unaudited pro forma information is based on estimates and assumptions believed reasonable and are not necessarily indicative of the Company’s consolidated results in future periods or the results that actually would have been realized had the Greenspring acquisition been a combined entity during the periods presented. The pro forma amounts have been calculated after reflecting the following adjustments that were directly attributable to the Reorganization, IPO, Greenspring acquisition and the related debt issuance used to fund a portion of the cash consideration, as if the transactions were consummated on April 1, 2020:</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Reorganization and IPO</w:t>
      </w:r>
    </w:p>
    <w:p>
      <w:pPr>
        <w:spacing w:after="0" w:line="216"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adjustments to include compensation expense associated with the 2.5 million RSUs issued in connection with the IPO;</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adjustments on interest expense to reflect the repayment of outstanding debt using a portion of the IPO proceeds;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adjustments to include federal and state income taxes for the Company’s share of taxable income generated by the Partnership; and</w:t>
      </w:r>
    </w:p>
    <w:p>
      <w:pPr>
        <w:spacing w:after="0" w:line="238" w:lineRule="exact"/>
        <w:rPr>
          <w:rFonts w:ascii="Arial" w:cs="Arial" w:eastAsia="Arial" w:hAnsi="Arial"/>
          <w:sz w:val="18"/>
          <w:szCs w:val="18"/>
          <w:color w:val="auto"/>
        </w:rPr>
      </w:pPr>
    </w:p>
    <w:p>
      <w:pPr>
        <w:ind w:left="660" w:right="3940" w:hanging="328"/>
        <w:spacing w:after="0" w:line="464"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adjustments to reflect the pro-rata economic ownership attributable to the Company. </w:t>
      </w:r>
      <w:r>
        <w:rPr>
          <w:rFonts w:ascii="Arial" w:cs="Arial" w:eastAsia="Arial" w:hAnsi="Arial"/>
          <w:sz w:val="20"/>
          <w:szCs w:val="20"/>
          <w:i w:val="1"/>
          <w:iCs w:val="1"/>
          <w:color w:val="auto"/>
        </w:rPr>
        <w:t>Debt Financing</w:t>
      </w:r>
    </w:p>
    <w:p>
      <w:pPr>
        <w:spacing w:after="0" w:line="1" w:lineRule="exact"/>
        <w:rPr>
          <w:rFonts w:ascii="Arial" w:cs="Arial" w:eastAsia="Arial" w:hAnsi="Arial"/>
          <w:sz w:val="20"/>
          <w:szCs w:val="20"/>
          <w:color w:val="auto"/>
        </w:rPr>
      </w:pPr>
    </w:p>
    <w:p>
      <w:pPr>
        <w:ind w:left="660" w:right="1780" w:hanging="328"/>
        <w:spacing w:after="0" w:line="464"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adjustments to include interest expense related to the Revolver used to fund a portion of the cash consideration. </w:t>
      </w:r>
      <w:r>
        <w:rPr>
          <w:rFonts w:ascii="Arial" w:cs="Arial" w:eastAsia="Arial" w:hAnsi="Arial"/>
          <w:sz w:val="20"/>
          <w:szCs w:val="20"/>
          <w:i w:val="1"/>
          <w:iCs w:val="1"/>
          <w:color w:val="auto"/>
        </w:rPr>
        <w:t>Greenspring Acquisition</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adjustments to include the impact of additional amortization of acquired intangible assets that would have been charged;</w:t>
      </w:r>
    </w:p>
    <w:p>
      <w:pPr>
        <w:spacing w:after="0" w:line="227" w:lineRule="exact"/>
        <w:rPr>
          <w:rFonts w:ascii="Arial" w:cs="Arial" w:eastAsia="Arial" w:hAnsi="Arial"/>
          <w:sz w:val="19"/>
          <w:szCs w:val="19"/>
          <w:color w:val="auto"/>
        </w:rPr>
      </w:pPr>
    </w:p>
    <w:p>
      <w:pPr>
        <w:ind w:left="660" w:right="180" w:hanging="328"/>
        <w:spacing w:after="0" w:line="260"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adjustments to include the issuance of Class A common stock of the Company and Class C units of the Partnership as consideration for the transaction;</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adjustments to reflect the pro-rata economic ownership attributable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40" w:hanging="308"/>
        <w:spacing w:after="0"/>
        <w:tabs>
          <w:tab w:leader="none" w:pos="640" w:val="left"/>
        </w:tabs>
        <w:numPr>
          <w:ilvl w:val="1"/>
          <w:numId w:val="23"/>
        </w:numPr>
        <w:rPr>
          <w:rFonts w:ascii="Arial" w:cs="Arial" w:eastAsia="Arial" w:hAnsi="Arial"/>
          <w:sz w:val="19"/>
          <w:szCs w:val="19"/>
          <w:color w:val="auto"/>
        </w:rPr>
      </w:pPr>
      <w:r>
        <w:rPr>
          <w:rFonts w:ascii="Arial" w:cs="Arial" w:eastAsia="Arial" w:hAnsi="Arial"/>
          <w:sz w:val="19"/>
          <w:szCs w:val="19"/>
          <w:color w:val="auto"/>
        </w:rPr>
        <w:t>adjustments to reflect the tax effects of the Greenspring acquisition and including Greenspring in the Company’s results; and</w:t>
      </w:r>
    </w:p>
    <w:p>
      <w:pPr>
        <w:spacing w:after="0" w:line="227" w:lineRule="exact"/>
        <w:rPr>
          <w:rFonts w:ascii="Arial" w:cs="Arial" w:eastAsia="Arial" w:hAnsi="Arial"/>
          <w:sz w:val="19"/>
          <w:szCs w:val="19"/>
          <w:color w:val="auto"/>
        </w:rPr>
      </w:pPr>
    </w:p>
    <w:p>
      <w:pPr>
        <w:ind w:left="640" w:hanging="308"/>
        <w:spacing w:after="0"/>
        <w:tabs>
          <w:tab w:leader="none" w:pos="64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adjustments to include acquisition-related transaction costs in earnings for the six months ended September 30, 2020.</w:t>
      </w:r>
    </w:p>
    <w:p>
      <w:pPr>
        <w:spacing w:after="0" w:line="209" w:lineRule="exact"/>
        <w:rPr>
          <w:rFonts w:ascii="Arial" w:cs="Arial" w:eastAsia="Arial" w:hAnsi="Arial"/>
          <w:sz w:val="20"/>
          <w:szCs w:val="20"/>
          <w:color w:val="auto"/>
        </w:rPr>
      </w:pPr>
    </w:p>
    <w:p>
      <w:pPr>
        <w:ind w:left="460" w:hanging="452"/>
        <w:spacing w:after="0"/>
        <w:tabs>
          <w:tab w:leader="none" w:pos="46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Litigation</w:t>
      </w:r>
    </w:p>
    <w:p>
      <w:pPr>
        <w:spacing w:after="0" w:line="222" w:lineRule="exact"/>
        <w:rPr>
          <w:sz w:val="20"/>
          <w:szCs w:val="20"/>
          <w:color w:val="auto"/>
        </w:rPr>
      </w:pPr>
    </w:p>
    <w:p>
      <w:pPr>
        <w:ind w:right="20" w:firstLine="648"/>
        <w:spacing w:after="0" w:line="259" w:lineRule="auto"/>
        <w:rPr>
          <w:sz w:val="20"/>
          <w:szCs w:val="20"/>
          <w:color w:val="auto"/>
        </w:rPr>
      </w:pPr>
      <w:r>
        <w:rPr>
          <w:rFonts w:ascii="Arial" w:cs="Arial" w:eastAsia="Arial" w:hAnsi="Arial"/>
          <w:sz w:val="19"/>
          <w:szCs w:val="19"/>
          <w:color w:val="auto"/>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expect a potential liability related to any current legal proceedings or claims that would individually or in the aggregate materially affect its condensed consolidated financial statements as of September 30, 2021.</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Lease Commitments</w:t>
      </w:r>
    </w:p>
    <w:p>
      <w:pPr>
        <w:spacing w:after="0" w:line="222"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The Company leases offices in 21 cities in the United States, Canada, South America, Europe, Asia and Australia, and certain equipment subject to operating lease agreements expiring through 2031, some of which may include options to extend or terminate the lease. As of September 30, 2021, there were no finance leases outstanding.</w:t>
      </w:r>
    </w:p>
    <w:p>
      <w:pPr>
        <w:spacing w:after="0" w:line="18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9"/>
          <w:szCs w:val="19"/>
          <w:color w:val="auto"/>
        </w:rPr>
        <w:t>In June 2021, the Company executed an agreement to lease additional office space for its La Jolla office. The lessor is currently undergoing the build out for the additional office space and the Company expects to gain access to the additional space in January 2022. At that time, the Company will establish a ROU asset and lease liability for the new lease. Upon lease commencement, total future lease payments are expected to be approximately $3.5 million over approximately 9 years.</w:t>
      </w:r>
    </w:p>
    <w:p>
      <w:pPr>
        <w:spacing w:after="0" w:line="176"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The components of lease expense included in general, administrative and other expenses in the condensed consolidated statements of income were as follows:</w:t>
      </w: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Operating lease cost</w:t>
      </w:r>
      <w:r>
        <w:rPr>
          <w:rFonts w:ascii="Arial" w:cs="Arial" w:eastAsia="Arial" w:hAnsi="Arial"/>
          <w:sz w:val="19"/>
          <w:szCs w:val="19"/>
          <w:color w:val="auto"/>
          <w:vertAlign w:val="superscript"/>
        </w:rPr>
        <w:t>(1)</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Variable lease cost</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Sublease income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204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Three Months Ended</w:t>
            </w:r>
          </w:p>
        </w:tc>
      </w:tr>
      <w:tr>
        <w:trPr>
          <w:trHeight w:val="230"/>
        </w:trPr>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7"/>
              </w:rPr>
              <w:t>September 30, 2021</w:t>
            </w:r>
          </w:p>
        </w:tc>
      </w:tr>
      <w:tr>
        <w:trPr>
          <w:trHeight w:val="222"/>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2,686</w:t>
            </w:r>
          </w:p>
        </w:tc>
      </w:tr>
      <w:tr>
        <w:trPr>
          <w:trHeight w:val="230"/>
        </w:trPr>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r>
      <w:tr>
        <w:trPr>
          <w:trHeight w:val="223"/>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-633730</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-333375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8"/>
                <w:szCs w:val="18"/>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Six Months Ended</w:t>
            </w:r>
          </w:p>
        </w:tc>
      </w:tr>
      <w:tr>
        <w:trPr>
          <w:trHeight w:val="230"/>
        </w:trPr>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September 30, 2021</w:t>
            </w:r>
          </w:p>
        </w:tc>
      </w:tr>
      <w:tr>
        <w:trPr>
          <w:trHeight w:val="222"/>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5,360</w:t>
            </w:r>
          </w:p>
        </w:tc>
      </w:tr>
      <w:tr>
        <w:trPr>
          <w:trHeight w:val="230"/>
        </w:trPr>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30"/>
        </w:trPr>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ectPr>
          <w:pgSz w:w="11900" w:h="16838" w:orient="portrait"/>
          <w:cols w:equalWidth="0" w:num="3">
            <w:col w:w="5800" w:space="720"/>
            <w:col w:w="2240" w:space="240"/>
            <w:col w:w="2240"/>
          </w:cols>
          <w:pgMar w:left="320" w:top="454"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lease cost includes an immaterial amount of short-term leases.</w:t>
      </w:r>
    </w:p>
    <w:p>
      <w:pPr>
        <w:spacing w:after="0" w:line="208"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Occupancy expense related to office facility operating leases totaled $2.3 million and $4.6 million for the three and six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Supplemental cash flow information related to leases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tcPr>
          <w:p>
            <w:pPr>
              <w:spacing w:after="0"/>
              <w:rPr>
                <w:sz w:val="17"/>
                <w:szCs w:val="17"/>
                <w:color w:val="auto"/>
              </w:rPr>
            </w:pPr>
          </w:p>
        </w:tc>
        <w:tc>
          <w:tcPr>
            <w:tcW w:w="2380" w:type="dxa"/>
            <w:vAlign w:val="bottom"/>
            <w:gridSpan w:val="3"/>
          </w:tcPr>
          <w:p>
            <w:pPr>
              <w:ind w:left="40"/>
              <w:spacing w:after="0"/>
              <w:rPr>
                <w:sz w:val="20"/>
                <w:szCs w:val="20"/>
                <w:color w:val="auto"/>
              </w:rPr>
            </w:pPr>
            <w:r>
              <w:rPr>
                <w:rFonts w:ascii="Arial" w:cs="Arial" w:eastAsia="Arial" w:hAnsi="Arial"/>
                <w:sz w:val="18"/>
                <w:szCs w:val="18"/>
                <w:b w:val="1"/>
                <w:bCs w:val="1"/>
                <w:color w:val="auto"/>
                <w:w w:val="91"/>
              </w:rPr>
              <w:t>Six Months Ended September</w:t>
            </w:r>
          </w:p>
        </w:tc>
      </w:tr>
      <w:tr>
        <w:trPr>
          <w:trHeight w:val="230"/>
        </w:trPr>
        <w:tc>
          <w:tcPr>
            <w:tcW w:w="886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30, 2021</w:t>
            </w:r>
          </w:p>
        </w:tc>
        <w:tc>
          <w:tcPr>
            <w:tcW w:w="720" w:type="dxa"/>
            <w:vAlign w:val="bottom"/>
            <w:tcBorders>
              <w:bottom w:val="single" w:sz="8" w:color="auto"/>
            </w:tcBorders>
          </w:tcPr>
          <w:p>
            <w:pPr>
              <w:spacing w:after="0"/>
              <w:rPr>
                <w:sz w:val="19"/>
                <w:szCs w:val="19"/>
                <w:color w:val="auto"/>
              </w:rPr>
            </w:pPr>
          </w:p>
        </w:tc>
      </w:tr>
      <w:tr>
        <w:trPr>
          <w:trHeight w:val="209"/>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8860" w:type="dxa"/>
            <w:vAlign w:val="bottom"/>
          </w:tcPr>
          <w:p>
            <w:pPr>
              <w:ind w:left="240"/>
              <w:spacing w:after="0"/>
              <w:rPr>
                <w:sz w:val="20"/>
                <w:szCs w:val="20"/>
                <w:color w:val="auto"/>
              </w:rPr>
            </w:pPr>
            <w:r>
              <w:rPr>
                <w:rFonts w:ascii="Arial" w:cs="Arial" w:eastAsia="Arial" w:hAnsi="Arial"/>
                <w:sz w:val="18"/>
                <w:szCs w:val="18"/>
                <w:color w:val="auto"/>
              </w:rPr>
              <w:t>Operating cash flows used for operating leases</w:t>
            </w:r>
          </w:p>
        </w:tc>
        <w:tc>
          <w:tcPr>
            <w:tcW w:w="98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4,342</w:t>
            </w:r>
          </w:p>
        </w:tc>
      </w:tr>
      <w:tr>
        <w:trPr>
          <w:trHeight w:val="229"/>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for operating leases (in years)</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Weighted-average discount rate for operating leases</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543"/>
        </w:trPr>
        <w:tc>
          <w:tcPr>
            <w:tcW w:w="8860" w:type="dxa"/>
            <w:vAlign w:val="bottom"/>
          </w:tcPr>
          <w:p>
            <w:pPr>
              <w:ind w:left="660"/>
              <w:spacing w:after="0"/>
              <w:rPr>
                <w:sz w:val="20"/>
                <w:szCs w:val="20"/>
                <w:color w:val="auto"/>
              </w:rPr>
            </w:pPr>
            <w:r>
              <w:rPr>
                <w:rFonts w:ascii="Arial" w:cs="Arial" w:eastAsia="Arial" w:hAnsi="Arial"/>
                <w:sz w:val="20"/>
                <w:szCs w:val="20"/>
                <w:color w:val="auto"/>
              </w:rPr>
              <w:t>As of September 30, 2021, maturities of operating lease liabilities were as follows:</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96"/>
        </w:trPr>
        <w:tc>
          <w:tcPr>
            <w:tcW w:w="8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9"/>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FY2022</w:t>
            </w:r>
          </w:p>
        </w:tc>
        <w:tc>
          <w:tcPr>
            <w:tcW w:w="16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w:t>
            </w:r>
          </w:p>
        </w:tc>
      </w:tr>
      <w:tr>
        <w:trPr>
          <w:trHeight w:val="229"/>
        </w:trPr>
        <w:tc>
          <w:tcPr>
            <w:tcW w:w="8860" w:type="dxa"/>
            <w:vAlign w:val="bottom"/>
          </w:tcPr>
          <w:p>
            <w:pPr>
              <w:ind w:left="20"/>
              <w:spacing w:after="0"/>
              <w:rPr>
                <w:sz w:val="20"/>
                <w:szCs w:val="20"/>
                <w:color w:val="auto"/>
              </w:rPr>
            </w:pPr>
            <w:r>
              <w:rPr>
                <w:rFonts w:ascii="Arial" w:cs="Arial" w:eastAsia="Arial" w:hAnsi="Arial"/>
                <w:sz w:val="18"/>
                <w:szCs w:val="18"/>
                <w:color w:val="auto"/>
              </w:rPr>
              <w:t>FY2023</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10,577</w:t>
            </w:r>
          </w:p>
        </w:tc>
      </w:tr>
      <w:tr>
        <w:trPr>
          <w:trHeight w:val="230"/>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FY2024</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11,136</w:t>
            </w:r>
          </w:p>
        </w:tc>
      </w:tr>
      <w:tr>
        <w:trPr>
          <w:trHeight w:val="229"/>
        </w:trPr>
        <w:tc>
          <w:tcPr>
            <w:tcW w:w="8860" w:type="dxa"/>
            <w:vAlign w:val="bottom"/>
          </w:tcPr>
          <w:p>
            <w:pPr>
              <w:ind w:left="20"/>
              <w:spacing w:after="0"/>
              <w:rPr>
                <w:sz w:val="20"/>
                <w:szCs w:val="20"/>
                <w:color w:val="auto"/>
              </w:rPr>
            </w:pPr>
            <w:r>
              <w:rPr>
                <w:rFonts w:ascii="Arial" w:cs="Arial" w:eastAsia="Arial" w:hAnsi="Arial"/>
                <w:sz w:val="18"/>
                <w:szCs w:val="18"/>
                <w:color w:val="auto"/>
              </w:rPr>
              <w:t>FY2025</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10,172</w:t>
            </w:r>
          </w:p>
        </w:tc>
      </w:tr>
      <w:tr>
        <w:trPr>
          <w:trHeight w:val="230"/>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FY2026</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9,857</w:t>
            </w:r>
          </w:p>
        </w:tc>
      </w:tr>
      <w:tr>
        <w:trPr>
          <w:trHeight w:val="229"/>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9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36,546</w:t>
            </w:r>
          </w:p>
        </w:tc>
      </w:tr>
      <w:tr>
        <w:trPr>
          <w:trHeight w:val="223"/>
        </w:trPr>
        <w:tc>
          <w:tcPr>
            <w:tcW w:w="8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lease liabilities</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84,231</w:t>
            </w:r>
          </w:p>
        </w:tc>
      </w:tr>
      <w:tr>
        <w:trPr>
          <w:trHeight w:val="230"/>
        </w:trPr>
        <w:tc>
          <w:tcPr>
            <w:tcW w:w="8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Imputed interest</w:t>
            </w:r>
          </w:p>
        </w:tc>
        <w:tc>
          <w:tcPr>
            <w:tcW w:w="9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(8,425)</w:t>
            </w:r>
          </w:p>
        </w:tc>
      </w:tr>
      <w:tr>
        <w:trPr>
          <w:trHeight w:val="248"/>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75,806</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Unfunded Capital Commitments</w:t>
      </w:r>
    </w:p>
    <w:p>
      <w:pPr>
        <w:spacing w:after="0" w:line="249" w:lineRule="exact"/>
        <w:rPr>
          <w:sz w:val="20"/>
          <w:szCs w:val="20"/>
          <w:color w:val="auto"/>
        </w:rPr>
      </w:pPr>
    </w:p>
    <w:p>
      <w:pPr>
        <w:ind w:right="40" w:firstLine="648"/>
        <w:spacing w:after="0" w:line="288" w:lineRule="auto"/>
        <w:rPr>
          <w:sz w:val="20"/>
          <w:szCs w:val="20"/>
          <w:color w:val="auto"/>
        </w:rPr>
      </w:pPr>
      <w:r>
        <w:rPr>
          <w:rFonts w:ascii="Arial" w:cs="Arial" w:eastAsia="Arial" w:hAnsi="Arial"/>
          <w:sz w:val="20"/>
          <w:szCs w:val="20"/>
          <w:color w:val="auto"/>
        </w:rPr>
        <w:t>As of September 30, 2021 and March 31, 2021, the Company, generally in its capacity as general partner or managing member of the StepStone Funds, had unfunded commitments totaling $72.3 million and $60.5 million, respectively. The $72.3 million of unfunded commitments as of September 30, 2021 excludes $39.2 million related to commitments held by the legacy Greenspring general partner entities in legacy Greenspring funds for which the Company does not hold an economic interest.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Carried Interest Allocations</w:t>
      </w:r>
    </w:p>
    <w:p>
      <w:pPr>
        <w:spacing w:after="0" w:line="222"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September 30, 2021 and March 31, 2021, no material amounts for potential clawback obligations had been accrued. This contingent obligation is normally reduced by income taxes that the Company has paid related to the carried interest allocations. As of September 30, 2021, the maximum amount of carried interest allocations (excluding legacy Greenspring carried interest allocations) attributable to the Company subject to contingent repayment was an estimated $156.0 million, net of tax, assuming the fair value of all investments was zero, a possibility that the Company views as remote.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Indemnification Arrangements</w:t>
      </w:r>
    </w:p>
    <w:p>
      <w:pPr>
        <w:spacing w:after="0" w:line="222"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In the normal course of business and consistent with standard business practices, the Company has provided general indemnifications to its limited partners, officers and directors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condensed consolidated balance sheets as of September 30, 2021 and March 31, 2021. Based on past experience, management believes that the risk of loss related to these indemnities is remote.</w:t>
      </w:r>
    </w:p>
    <w:p>
      <w:pPr>
        <w:spacing w:after="0" w:line="15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6"/>
          <w:szCs w:val="16"/>
          <w:b w:val="1"/>
          <w:bCs w:val="1"/>
          <w:color w:val="auto"/>
        </w:rPr>
        <w:t>Subsequent Events</w:t>
      </w:r>
    </w:p>
    <w:p>
      <w:pPr>
        <w:spacing w:after="0" w:line="222"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On November 9, 2021, the Company announced a quarterly cash dividend of $0.15 per share of Class A common stock, payable on December 15, 2021 to holders of record as of the close of business on November 30, 2021.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44" w:name="page45"/>
    <w:bookmarkEnd w:id="44"/>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condensed consolidated financial statements and the related notes included within this quarterly report on Form 10-Q and our audited financial statements, the related notes, and Management’s Discussion and Analysis of Financial Condition and Results of Operations included in our annual report on Form 10-K for the fiscal year ended March 31, 2021 filed with the SEC. This quarterly report reflects the historical results of operations and financial position of StepStone Group LP, our predecessor for accounting purposes, prior to the Reorganization and IPO. In this quarterly report, references to “we,” “us,” “our,” “StepStone” and similar terms refer to SSG and its consolidated subsidiaries, including the Partnership, following the Reorganization and IPO and to the Partnership and its consolidated subsidiaries prior to the Reorganization and IPO.</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Business Overview</w:t>
      </w:r>
    </w:p>
    <w:p>
      <w:pPr>
        <w:spacing w:after="0" w:line="222" w:lineRule="exact"/>
        <w:rPr>
          <w:sz w:val="20"/>
          <w:szCs w:val="20"/>
          <w:color w:val="auto"/>
        </w:rPr>
      </w:pPr>
    </w:p>
    <w:p>
      <w:pPr>
        <w:ind w:right="160" w:firstLine="648"/>
        <w:spacing w:after="0" w:line="256" w:lineRule="auto"/>
        <w:rPr>
          <w:sz w:val="20"/>
          <w:szCs w:val="20"/>
          <w:color w:val="auto"/>
        </w:rPr>
      </w:pPr>
      <w:r>
        <w:rPr>
          <w:rFonts w:ascii="Arial" w:cs="Arial" w:eastAsia="Arial" w:hAnsi="Arial"/>
          <w:sz w:val="19"/>
          <w:szCs w:val="19"/>
          <w:color w:val="auto"/>
        </w:rPr>
        <w:t>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September 30, 2021, we oversaw approximately $519 billion of private markets allocations, including $121 billion of AUM and $397 billion of AUA.</w:t>
      </w:r>
    </w:p>
    <w:p>
      <w:pPr>
        <w:spacing w:after="0" w:line="184"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We are a global firm and believe that our multi-asset class expertise, local knowledge, business relationships, proprietary data and technology, and presence are all critical to securing a competitive edge in the private markets. We deploy a local staffing model, operating from 21 cities across 12 countries on five continents. Our offices are staffed by investment professionals who bring valuable regional insights and language proficiency to enhance existing client relationships and build new client relationships. Since our inception in 2007, we have invested heavily in our platforms to drive growth and expand our investment solutions capabilities and service offerings, including through opportunistic transactions that have helped accelerate the growth of our team and capabilities. As of September 30, 2021, we had 731 total employees, including over 260 investment professionals and 470 employees across our operating team and implementation teams dedicated to sourcing, executing, analyzing and monitoring private markets opportunities. More than 130 of our employees joined us as part of the Greenspring acquisition.</w:t>
      </w:r>
    </w:p>
    <w:p>
      <w:pPr>
        <w:spacing w:after="0" w:line="184"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We have a flexible business model whereby many of our clients engage us for solutions across multiple asset classes and investment strategies. Our solutions are typically offered in the following commercial structures:</w:t>
      </w:r>
    </w:p>
    <w:p>
      <w:pPr>
        <w:spacing w:after="0" w:line="177" w:lineRule="exact"/>
        <w:rPr>
          <w:sz w:val="20"/>
          <w:szCs w:val="20"/>
          <w:color w:val="auto"/>
        </w:rPr>
      </w:pPr>
    </w:p>
    <w:p>
      <w:pPr>
        <w:ind w:left="660" w:right="60" w:hanging="328"/>
        <w:spacing w:after="0" w:line="246"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231F20"/>
        </w:rPr>
        <w:t>Separately managed accounts (“SMAs”)</w:t>
      </w:r>
      <w:r>
        <w:rPr>
          <w:rFonts w:ascii="Arial" w:cs="Arial" w:eastAsia="Arial" w:hAnsi="Arial"/>
          <w:sz w:val="20"/>
          <w:szCs w:val="20"/>
          <w:color w:val="000000"/>
        </w:rPr>
        <w:t>. Owned by one client and managed according to their specific preferences, SMAs integrate</w:t>
      </w:r>
      <w:r>
        <w:rPr>
          <w:rFonts w:ascii="Arial" w:cs="Arial" w:eastAsia="Arial" w:hAnsi="Arial"/>
          <w:sz w:val="20"/>
          <w:szCs w:val="20"/>
          <w:i w:val="1"/>
          <w:iCs w:val="1"/>
          <w:color w:val="231F20"/>
        </w:rPr>
        <w:t xml:space="preserve"> </w:t>
      </w:r>
      <w:r>
        <w:rPr>
          <w:rFonts w:ascii="Arial" w:cs="Arial" w:eastAsia="Arial" w:hAnsi="Arial"/>
          <w:sz w:val="20"/>
          <w:szCs w:val="20"/>
          <w:color w:val="000000"/>
        </w:rPr>
        <w:t>a combination of primaries, secondaries and co-investments across one or more asset classes. SMAs are meant to address clients’ specific portfolio objectives with respect to return, risk tolerance, diversification and liquidity. SMAs, including directly managed assets, comprised $74 billion of our AUM as of September 30, 2021</w:t>
      </w:r>
      <w:r>
        <w:rPr>
          <w:rFonts w:ascii="Arial" w:cs="Arial" w:eastAsia="Arial" w:hAnsi="Arial"/>
          <w:sz w:val="20"/>
          <w:szCs w:val="20"/>
          <w:color w:val="231F20"/>
        </w:rPr>
        <w:t>.</w:t>
      </w:r>
    </w:p>
    <w:p>
      <w:pPr>
        <w:spacing w:after="0" w:line="191" w:lineRule="exact"/>
        <w:rPr>
          <w:rFonts w:ascii="Arial" w:cs="Arial" w:eastAsia="Arial" w:hAnsi="Arial"/>
          <w:sz w:val="20"/>
          <w:szCs w:val="20"/>
          <w:color w:val="auto"/>
        </w:rPr>
      </w:pPr>
    </w:p>
    <w:p>
      <w:pPr>
        <w:ind w:left="660" w:right="180" w:hanging="328"/>
        <w:spacing w:after="0" w:line="316"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231F20"/>
        </w:rPr>
        <w:t xml:space="preserve">Focused commingled funds. </w:t>
      </w:r>
      <w:r>
        <w:rPr>
          <w:rFonts w:ascii="Arial" w:cs="Arial" w:eastAsia="Arial" w:hAnsi="Arial"/>
          <w:sz w:val="18"/>
          <w:szCs w:val="18"/>
          <w:color w:val="231F20"/>
        </w:rPr>
        <w:t>Owned by multiple clients, our focused commingled funds deploy capital in specific asset classes with</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defined investment strategies. Focused commingled funds comprised $39 billion of our AUM as of </w:t>
      </w:r>
      <w:r>
        <w:rPr>
          <w:rFonts w:ascii="Arial" w:cs="Arial" w:eastAsia="Arial" w:hAnsi="Arial"/>
          <w:sz w:val="18"/>
          <w:szCs w:val="18"/>
          <w:color w:val="000000"/>
        </w:rPr>
        <w:t>September 30, 2021</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141" w:lineRule="exact"/>
        <w:rPr>
          <w:sz w:val="20"/>
          <w:szCs w:val="20"/>
          <w:color w:val="auto"/>
        </w:rPr>
      </w:pPr>
    </w:p>
    <w:p>
      <w:pPr>
        <w:ind w:left="660" w:right="40" w:hanging="328"/>
        <w:spacing w:after="0" w:line="257" w:lineRule="auto"/>
        <w:tabs>
          <w:tab w:leader="none" w:pos="648" w:val="left"/>
        </w:tabs>
        <w:numPr>
          <w:ilvl w:val="0"/>
          <w:numId w:val="26"/>
        </w:numPr>
        <w:rPr>
          <w:rFonts w:ascii="Arial" w:cs="Arial" w:eastAsia="Arial" w:hAnsi="Arial"/>
          <w:sz w:val="19"/>
          <w:szCs w:val="19"/>
          <w:color w:val="auto"/>
        </w:rPr>
      </w:pPr>
      <w:r>
        <w:rPr>
          <w:rFonts w:ascii="Arial" w:cs="Arial" w:eastAsia="Arial" w:hAnsi="Arial"/>
          <w:sz w:val="19"/>
          <w:szCs w:val="19"/>
          <w:i w:val="1"/>
          <w:iCs w:val="1"/>
          <w:color w:val="231F20"/>
        </w:rPr>
        <w:t xml:space="preserve">Advisory and data services. </w:t>
      </w:r>
      <w:r>
        <w:rPr>
          <w:rFonts w:ascii="Arial" w:cs="Arial" w:eastAsia="Arial" w:hAnsi="Arial"/>
          <w:sz w:val="19"/>
          <w:szCs w:val="19"/>
          <w:color w:val="231F20"/>
        </w:rPr>
        <w:t>These services include one or more of the following for our clients: (i) recurring support of portfolio</w:t>
      </w:r>
      <w:r>
        <w:rPr>
          <w:rFonts w:ascii="Arial" w:cs="Arial" w:eastAsia="Arial" w:hAnsi="Arial"/>
          <w:sz w:val="19"/>
          <w:szCs w:val="19"/>
          <w:i w:val="1"/>
          <w:iCs w:val="1"/>
          <w:color w:val="231F20"/>
        </w:rPr>
        <w:t xml:space="preserve"> </w:t>
      </w:r>
      <w:r>
        <w:rPr>
          <w:rFonts w:ascii="Arial" w:cs="Arial" w:eastAsia="Arial" w:hAnsi="Arial"/>
          <w:sz w:val="19"/>
          <w:szCs w:val="19"/>
          <w:color w:val="231F20"/>
        </w:rPr>
        <w:t xml:space="preserve">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(v) licensed access to our proprietary data and technology platforms, including StepStone Private Markets Intelligence (“SPI”) and our other proprietary tool, and (vi) administrative services to unaffiliated investment advisors. Advisory relationships comprised </w:t>
      </w:r>
      <w:r>
        <w:rPr>
          <w:rFonts w:ascii="Arial" w:cs="Arial" w:eastAsia="Arial" w:hAnsi="Arial"/>
          <w:sz w:val="19"/>
          <w:szCs w:val="19"/>
          <w:color w:val="000000"/>
        </w:rPr>
        <w:t>$397 billion</w:t>
      </w:r>
      <w:r>
        <w:rPr>
          <w:rFonts w:ascii="Arial" w:cs="Arial" w:eastAsia="Arial" w:hAnsi="Arial"/>
          <w:sz w:val="19"/>
          <w:szCs w:val="19"/>
          <w:color w:val="231F20"/>
        </w:rPr>
        <w:t xml:space="preserve"> of our AUA and $9 billion of our AUM as of </w:t>
      </w:r>
      <w:r>
        <w:rPr>
          <w:rFonts w:ascii="Arial" w:cs="Arial" w:eastAsia="Arial" w:hAnsi="Arial"/>
          <w:sz w:val="19"/>
          <w:szCs w:val="19"/>
          <w:color w:val="000000"/>
        </w:rPr>
        <w:t>September 30, 2021</w:t>
      </w:r>
      <w:r>
        <w:rPr>
          <w:rFonts w:ascii="Arial" w:cs="Arial" w:eastAsia="Arial" w:hAnsi="Arial"/>
          <w:sz w:val="19"/>
          <w:szCs w:val="19"/>
          <w:color w:val="231F20"/>
        </w:rPr>
        <w:t>.</w:t>
      </w:r>
    </w:p>
    <w:p>
      <w:pPr>
        <w:spacing w:after="0" w:line="184" w:lineRule="exact"/>
        <w:rPr>
          <w:rFonts w:ascii="Arial" w:cs="Arial" w:eastAsia="Arial" w:hAnsi="Arial"/>
          <w:sz w:val="19"/>
          <w:szCs w:val="19"/>
          <w:color w:val="auto"/>
        </w:rPr>
      </w:pPr>
    </w:p>
    <w:p>
      <w:pPr>
        <w:ind w:left="660" w:right="400" w:hanging="328"/>
        <w:spacing w:after="0" w:line="260" w:lineRule="auto"/>
        <w:tabs>
          <w:tab w:leader="none" w:pos="648" w:val="left"/>
        </w:tabs>
        <w:numPr>
          <w:ilvl w:val="0"/>
          <w:numId w:val="26"/>
        </w:numPr>
        <w:rPr>
          <w:rFonts w:ascii="Arial" w:cs="Arial" w:eastAsia="Arial" w:hAnsi="Arial"/>
          <w:sz w:val="19"/>
          <w:szCs w:val="19"/>
          <w:color w:val="auto"/>
        </w:rPr>
      </w:pPr>
      <w:r>
        <w:rPr>
          <w:rFonts w:ascii="Arial" w:cs="Arial" w:eastAsia="Arial" w:hAnsi="Arial"/>
          <w:sz w:val="19"/>
          <w:szCs w:val="19"/>
          <w:i w:val="1"/>
          <w:iCs w:val="1"/>
          <w:color w:val="231F20"/>
        </w:rPr>
        <w:t xml:space="preserve">Portfolio analytics and reporting. </w:t>
      </w:r>
      <w:r>
        <w:rPr>
          <w:rFonts w:ascii="Arial" w:cs="Arial" w:eastAsia="Arial" w:hAnsi="Arial"/>
          <w:sz w:val="19"/>
          <w:szCs w:val="19"/>
          <w:color w:val="231F20"/>
        </w:rPr>
        <w:t>We provide clients with tailored reporting packages, including customized performance</w:t>
      </w:r>
      <w:r>
        <w:rPr>
          <w:rFonts w:ascii="Arial" w:cs="Arial" w:eastAsia="Arial" w:hAnsi="Arial"/>
          <w:sz w:val="19"/>
          <w:szCs w:val="19"/>
          <w:i w:val="1"/>
          <w:iCs w:val="1"/>
          <w:color w:val="231F20"/>
        </w:rPr>
        <w:t xml:space="preserve"> </w:t>
      </w:r>
      <w:r>
        <w:rPr>
          <w:rFonts w:ascii="Arial" w:cs="Arial" w:eastAsia="Arial" w:hAnsi="Arial"/>
          <w:sz w:val="19"/>
          <w:szCs w:val="19"/>
          <w:color w:val="231F20"/>
        </w:rPr>
        <w:t xml:space="preserve">benchmarks as well as associated compliance, administrative and tax capabilities. Mandates for portfolio analytics and reporting services typically include licensed access to our proprietary performance monitoring software, Omni. Omni tracked detailed information on over $725 billion of client commitments as of </w:t>
      </w:r>
      <w:r>
        <w:rPr>
          <w:rFonts w:ascii="Arial" w:cs="Arial" w:eastAsia="Arial" w:hAnsi="Arial"/>
          <w:sz w:val="19"/>
          <w:szCs w:val="19"/>
          <w:color w:val="000000"/>
        </w:rPr>
        <w:t>September 30, 2021</w:t>
      </w:r>
      <w:r>
        <w:rPr>
          <w:rFonts w:ascii="Arial" w:cs="Arial" w:eastAsia="Arial" w:hAnsi="Arial"/>
          <w:sz w:val="19"/>
          <w:szCs w:val="19"/>
          <w:color w:val="231F20"/>
        </w:rPr>
        <w:t>, inclusive of our combined AUM/AUA, previously exited investments and investments of former clients.</w:t>
      </w:r>
    </w:p>
    <w:p>
      <w:pPr>
        <w:spacing w:after="0" w:line="180"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We generate revenues from management and advisory fees and performance fees earned pursuant to contractual arrangements with our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Trends Affecting Our Business</w:t>
      </w:r>
    </w:p>
    <w:p>
      <w:pPr>
        <w:spacing w:after="0" w:line="222" w:lineRule="exact"/>
        <w:rPr>
          <w:sz w:val="20"/>
          <w:szCs w:val="20"/>
          <w:color w:val="auto"/>
        </w:rPr>
      </w:pPr>
    </w:p>
    <w:p>
      <w:pPr>
        <w:ind w:right="140" w:firstLine="648"/>
        <w:spacing w:after="0" w:line="244" w:lineRule="auto"/>
        <w:rPr>
          <w:sz w:val="20"/>
          <w:szCs w:val="20"/>
          <w:color w:val="auto"/>
        </w:rPr>
      </w:pPr>
      <w:r>
        <w:rPr>
          <w:rFonts w:ascii="Arial" w:cs="Arial" w:eastAsia="Arial" w:hAnsi="Arial"/>
          <w:sz w:val="20"/>
          <w:szCs w:val="20"/>
          <w:color w:val="231F20"/>
        </w:rPr>
        <w:t>Our business is affected by a variety of factors, including conditions in the financial markets and economic and political conditions. Changes in global economic conditions and regulatory or other governmental policies or actions can materially affect the values of the StepStone Funds’ holdings and the ability to source attractive investments and completely utilize the capital that we have raised. However, we believe our disciplined investment philosophy across our diversified investment strategies has historically contributed to the stability of our performance throughout market cycles.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In addition to these macroeconomic trends and market factors, we believe our future performance will be influenced by the following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231F20"/>
        </w:rPr>
        <w:t>factors:</w:t>
      </w:r>
    </w:p>
    <w:p>
      <w:pPr>
        <w:spacing w:after="0" w:line="200" w:lineRule="exact"/>
        <w:rPr>
          <w:sz w:val="20"/>
          <w:szCs w:val="20"/>
          <w:color w:val="auto"/>
        </w:rPr>
      </w:pPr>
    </w:p>
    <w:p>
      <w:pPr>
        <w:ind w:left="660" w:right="140" w:hanging="328"/>
        <w:spacing w:after="0" w:line="243"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i w:val="1"/>
          <w:iCs w:val="1"/>
          <w:color w:val="231F20"/>
        </w:rPr>
        <w:t xml:space="preserve">The extent to which clients favor private markets investments. </w:t>
      </w:r>
      <w:r>
        <w:rPr>
          <w:rFonts w:ascii="Arial" w:cs="Arial" w:eastAsia="Arial" w:hAnsi="Arial"/>
          <w:sz w:val="20"/>
          <w:szCs w:val="20"/>
          <w:color w:val="231F20"/>
        </w:rPr>
        <w:t>Our ability to attract new capital is partially dependent on clients’</w:t>
      </w:r>
      <w:r>
        <w:rPr>
          <w:rFonts w:ascii="Arial" w:cs="Arial" w:eastAsia="Arial" w:hAnsi="Arial"/>
          <w:sz w:val="20"/>
          <w:szCs w:val="20"/>
          <w:i w:val="1"/>
          <w:iCs w:val="1"/>
          <w:color w:val="231F20"/>
        </w:rPr>
        <w:t xml:space="preserve"> </w:t>
      </w:r>
      <w:r>
        <w:rPr>
          <w:rFonts w:ascii="Arial" w:cs="Arial" w:eastAsia="Arial" w:hAnsi="Arial"/>
          <w:sz w:val="20"/>
          <w:szCs w:val="20"/>
          <w:color w:val="231F20"/>
        </w:rPr>
        <w:t>views of 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from private wealth clients, (3) shifting asset allocation policies of institutional clients and (4) increasing barriers to entry and growth for potential competitors.</w:t>
      </w:r>
    </w:p>
    <w:p>
      <w:pPr>
        <w:spacing w:after="0" w:line="195" w:lineRule="exact"/>
        <w:rPr>
          <w:rFonts w:ascii="Arial" w:cs="Arial" w:eastAsia="Arial" w:hAnsi="Arial"/>
          <w:sz w:val="20"/>
          <w:szCs w:val="20"/>
          <w:color w:val="auto"/>
        </w:rPr>
      </w:pPr>
    </w:p>
    <w:p>
      <w:pPr>
        <w:ind w:left="660" w:hanging="328"/>
        <w:spacing w:after="0" w:line="27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231F20"/>
        </w:rPr>
        <w:t xml:space="preserve">Our ability to generate strong, stable returns. </w:t>
      </w:r>
      <w:r>
        <w:rPr>
          <w:rFonts w:ascii="Arial" w:cs="Arial" w:eastAsia="Arial" w:hAnsi="Arial"/>
          <w:sz w:val="18"/>
          <w:szCs w:val="18"/>
          <w:color w:val="231F20"/>
        </w:rPr>
        <w:t>Our ability to raise and retain capital is partially dependent on the investment returns</w:t>
      </w:r>
      <w:r>
        <w:rPr>
          <w:rFonts w:ascii="Arial" w:cs="Arial" w:eastAsia="Arial" w:hAnsi="Arial"/>
          <w:sz w:val="18"/>
          <w:szCs w:val="18"/>
          <w:i w:val="1"/>
          <w:iCs w:val="1"/>
          <w:color w:val="231F20"/>
        </w:rPr>
        <w:t xml:space="preserve"> </w:t>
      </w:r>
      <w:r>
        <w:rPr>
          <w:rFonts w:ascii="Arial" w:cs="Arial" w:eastAsia="Arial" w:hAnsi="Arial"/>
          <w:sz w:val="18"/>
          <w:szCs w:val="18"/>
          <w:color w:val="231F20"/>
        </w:rPr>
        <w:t>we are able to generate for our clients 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41" w:lineRule="exact"/>
        <w:rPr>
          <w:sz w:val="20"/>
          <w:szCs w:val="20"/>
          <w:color w:val="auto"/>
        </w:rPr>
      </w:pPr>
    </w:p>
    <w:p>
      <w:pPr>
        <w:ind w:left="660" w:right="80" w:hanging="328"/>
        <w:spacing w:after="0" w:line="27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231F20"/>
        </w:rPr>
        <w:t xml:space="preserve">Our ability to maintain our data advantage relative to competitors. </w:t>
      </w:r>
      <w:r>
        <w:rPr>
          <w:rFonts w:ascii="Arial" w:cs="Arial" w:eastAsia="Arial" w:hAnsi="Arial"/>
          <w:sz w:val="18"/>
          <w:szCs w:val="18"/>
          <w:color w:val="231F20"/>
        </w:rPr>
        <w:t>Our proprietary data and technology platforms, analytical tools</w:t>
      </w:r>
      <w:r>
        <w:rPr>
          <w:rFonts w:ascii="Arial" w:cs="Arial" w:eastAsia="Arial" w:hAnsi="Arial"/>
          <w:sz w:val="18"/>
          <w:szCs w:val="18"/>
          <w:i w:val="1"/>
          <w:iCs w:val="1"/>
          <w:color w:val="231F20"/>
        </w:rPr>
        <w:t xml:space="preserve"> </w:t>
      </w:r>
      <w:r>
        <w:rPr>
          <w:rFonts w:ascii="Arial" w:cs="Arial" w:eastAsia="Arial" w:hAnsi="Arial"/>
          <w:sz w:val="18"/>
          <w:szCs w:val="18"/>
          <w:color w:val="231F20"/>
        </w:rPr>
        <w:t>and 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spacing w:after="0" w:line="164" w:lineRule="exact"/>
        <w:rPr>
          <w:rFonts w:ascii="Arial" w:cs="Arial" w:eastAsia="Arial" w:hAnsi="Arial"/>
          <w:sz w:val="18"/>
          <w:szCs w:val="18"/>
          <w:color w:val="auto"/>
        </w:rPr>
      </w:pPr>
    </w:p>
    <w:p>
      <w:pPr>
        <w:ind w:left="660" w:right="80" w:hanging="328"/>
        <w:spacing w:after="0" w:line="243"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i w:val="1"/>
          <w:iCs w:val="1"/>
          <w:color w:val="231F20"/>
        </w:rPr>
        <w:t xml:space="preserve">Our ability to source investments with attractive risk-adjusted returns. </w:t>
      </w:r>
      <w:r>
        <w:rPr>
          <w:rFonts w:ascii="Arial" w:cs="Arial" w:eastAsia="Arial" w:hAnsi="Arial"/>
          <w:sz w:val="20"/>
          <w:szCs w:val="20"/>
          <w:color w:val="231F20"/>
        </w:rPr>
        <w:t>The continued growth in our revenues is dependent on our</w:t>
      </w:r>
      <w:r>
        <w:rPr>
          <w:rFonts w:ascii="Arial" w:cs="Arial" w:eastAsia="Arial" w:hAnsi="Arial"/>
          <w:sz w:val="20"/>
          <w:szCs w:val="20"/>
          <w:i w:val="1"/>
          <w:iCs w:val="1"/>
          <w:color w:val="231F20"/>
        </w:rPr>
        <w:t xml:space="preserve"> </w:t>
      </w:r>
      <w:r>
        <w:rPr>
          <w:rFonts w:ascii="Arial" w:cs="Arial" w:eastAsia="Arial" w:hAnsi="Arial"/>
          <w:sz w:val="20"/>
          <w:szCs w:val="20"/>
          <w:color w:val="231F20"/>
        </w:rPr>
        <w:t>ability to 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such investment opportunity. A significant decrease in the quality or quantity of potential opportunities could adversely affect our ability to source investments with attractive risk-adjusted returns.</w:t>
      </w:r>
    </w:p>
    <w:p>
      <w:pPr>
        <w:spacing w:after="0" w:line="192" w:lineRule="exact"/>
        <w:rPr>
          <w:rFonts w:ascii="Arial" w:cs="Arial" w:eastAsia="Arial" w:hAnsi="Arial"/>
          <w:sz w:val="20"/>
          <w:szCs w:val="20"/>
          <w:color w:val="auto"/>
        </w:rPr>
      </w:pPr>
    </w:p>
    <w:p>
      <w:pPr>
        <w:ind w:left="660" w:right="60" w:hanging="328"/>
        <w:spacing w:after="0" w:line="244"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i w:val="1"/>
          <w:iCs w:val="1"/>
          <w:color w:val="231F20"/>
        </w:rPr>
        <w:t xml:space="preserve">Increased competition and clients’ desire to work with fewer managers. </w:t>
      </w:r>
      <w:r>
        <w:rPr>
          <w:rFonts w:ascii="Arial" w:cs="Arial" w:eastAsia="Arial" w:hAnsi="Arial"/>
          <w:sz w:val="20"/>
          <w:szCs w:val="20"/>
          <w:color w:val="231F20"/>
        </w:rPr>
        <w:t>There has been an increasing desire on the part of larger</w:t>
      </w:r>
      <w:r>
        <w:rPr>
          <w:rFonts w:ascii="Arial" w:cs="Arial" w:eastAsia="Arial" w:hAnsi="Arial"/>
          <w:sz w:val="20"/>
          <w:szCs w:val="20"/>
          <w:i w:val="1"/>
          <w:iCs w:val="1"/>
          <w:color w:val="231F20"/>
        </w:rPr>
        <w:t xml:space="preserve"> </w:t>
      </w:r>
      <w:r>
        <w:rPr>
          <w:rFonts w:ascii="Arial" w:cs="Arial" w:eastAsia="Arial" w:hAnsi="Arial"/>
          <w:sz w:val="20"/>
          <w:szCs w:val="20"/>
          <w:color w:val="231F20"/>
        </w:rPr>
        <w:t>institutional investors to 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Continuing Impact of COVID-19</w:t>
      </w:r>
    </w:p>
    <w:p>
      <w:pPr>
        <w:spacing w:after="0" w:line="222" w:lineRule="exact"/>
        <w:rPr>
          <w:sz w:val="20"/>
          <w:szCs w:val="20"/>
          <w:color w:val="auto"/>
        </w:rPr>
      </w:pPr>
    </w:p>
    <w:p>
      <w:pPr>
        <w:ind w:right="240" w:firstLine="648"/>
        <w:spacing w:after="0" w:line="260" w:lineRule="auto"/>
        <w:rPr>
          <w:sz w:val="20"/>
          <w:szCs w:val="20"/>
          <w:color w:val="auto"/>
        </w:rPr>
      </w:pPr>
      <w:r>
        <w:rPr>
          <w:rFonts w:ascii="Arial" w:cs="Arial" w:eastAsia="Arial" w:hAnsi="Arial"/>
          <w:sz w:val="19"/>
          <w:szCs w:val="19"/>
          <w:color w:val="auto"/>
        </w:rPr>
        <w:t>The COVID-19 pandemic has continued to impact the global economy and financial markets. With the spread of the Delta variant, restrictions have been and may continue to be reimposed to mitigate risks to public health in jurisdictions where additional outbreaks have been detected. Moreover, even where restrictions are and remain lifted, and as vaccinations have become available and more accessible, certain groups of people may continue to self-isolate and not participate in the economy at pre-pandemic levels for a prolonged period of time, potentially further delaying global economic recovery.</w:t>
      </w:r>
    </w:p>
    <w:p>
      <w:pPr>
        <w:spacing w:after="0" w:line="180"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231F20"/>
        </w:rPr>
        <w:t xml:space="preserve">We are continuing to closely monitor developments related to COVID-19 and assessing any negative impacts to our business. The COVID-19 pandemic has affected, and may further affect, our business in various ways. In particular, it is possible that our future results may be adversely affected by slowdowns in fundraising activity and the pace of capital deployment, which could result in delayed or decreased management fees. Further, if fund managers are unable or less able to profitably exit existing investments, such conditions could result in delayed or decreased performance fee revenues. </w:t>
      </w:r>
      <w:r>
        <w:rPr>
          <w:rFonts w:ascii="Arial" w:cs="Arial" w:eastAsia="Arial" w:hAnsi="Arial"/>
          <w:sz w:val="19"/>
          <w:szCs w:val="19"/>
          <w:color w:val="000000"/>
        </w:rPr>
        <w:t>As the global response and ongoing nature of COVID-19 evolves, it is currently not possible</w:t>
      </w:r>
      <w:r>
        <w:rPr>
          <w:rFonts w:ascii="Arial" w:cs="Arial" w:eastAsia="Arial" w:hAnsi="Arial"/>
          <w:sz w:val="19"/>
          <w:szCs w:val="19"/>
          <w:color w:val="231F20"/>
        </w:rPr>
        <w:t xml:space="preserve"> </w:t>
      </w:r>
      <w:r>
        <w:rPr>
          <w:rFonts w:ascii="Arial" w:cs="Arial" w:eastAsia="Arial" w:hAnsi="Arial"/>
          <w:sz w:val="19"/>
          <w:szCs w:val="19"/>
          <w:color w:val="000000"/>
        </w:rPr>
        <w:t>to predict the potential scale and scope of the outbreak and its ultimate effects on the financial markets, overall economy and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Recent Transactions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Reorganization and Initial Public Offering</w:t>
      </w:r>
    </w:p>
    <w:p>
      <w:pPr>
        <w:spacing w:after="0" w:line="222" w:lineRule="exact"/>
        <w:rPr>
          <w:sz w:val="20"/>
          <w:szCs w:val="20"/>
          <w:color w:val="auto"/>
        </w:rPr>
      </w:pPr>
    </w:p>
    <w:p>
      <w:pPr>
        <w:ind w:right="20" w:firstLine="648"/>
        <w:spacing w:after="0" w:line="278" w:lineRule="auto"/>
        <w:rPr>
          <w:sz w:val="20"/>
          <w:szCs w:val="20"/>
          <w:color w:val="auto"/>
        </w:rPr>
      </w:pPr>
      <w:r>
        <w:rPr>
          <w:rFonts w:ascii="Arial" w:cs="Arial" w:eastAsia="Arial" w:hAnsi="Arial"/>
          <w:sz w:val="18"/>
          <w:szCs w:val="18"/>
          <w:color w:val="auto"/>
        </w:rPr>
        <w:t>On September 18, 2020, we completed an IPO pursuant to which we issued 20,125,000 shares of Class A common stock at a price of $18.00 per share. We received net proceeds from the offering of $337.8 million, net of underwriting discounts of $24.5 million and before offering costs of $9.7 million that were incurred by the Partnership. We used approximately $209.8 million of the net proceeds from the offering to acquire 12,500,000 newly issued Class A units of the Partnership and approximately $128.0 million to purchase 7,625,000 Class B units from certain of the Partnership’s existing unitholders, including certain members of senior management.</w:t>
      </w:r>
    </w:p>
    <w:p>
      <w:pPr>
        <w:spacing w:after="0" w:line="165"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In connection with the IPO, we completed certain transactions as part of the Reorganization to, among other things, provide for Class A common stock and Class B common stock; appoint SSG as the sole managing member of StepStone Group Holdings LLC, the General Partner; complete a series of merger transactions such that certain blocker entities in which certain pre-IPO institutional investors held their interests in the Partnership merged with and into SSG, with SSG surviving, resulting in the pre-IPO institutional investors acquiring 9,112,500 shares of newly issued Class A common stock of SSG; and classify the Partnership’s interests acquired by SSG as Class A units and reclassify the Partnership’s interests held by the continuing partners as Class B units.</w:t>
      </w:r>
    </w:p>
    <w:p>
      <w:pPr>
        <w:spacing w:after="0" w:line="165"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231F20"/>
        </w:rPr>
        <w:t>See note 1 to our condensed consolidated financial statements included elsewhere in this quarterly report for more information about the Reorganization and IPO.</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Greenspring Acquisition</w:t>
      </w:r>
    </w:p>
    <w:p>
      <w:pPr>
        <w:spacing w:after="0" w:line="222" w:lineRule="exact"/>
        <w:rPr>
          <w:sz w:val="20"/>
          <w:szCs w:val="20"/>
          <w:color w:val="auto"/>
        </w:rPr>
      </w:pPr>
    </w:p>
    <w:p>
      <w:pPr>
        <w:ind w:right="40" w:firstLine="648"/>
        <w:spacing w:after="0" w:line="256" w:lineRule="auto"/>
        <w:rPr>
          <w:sz w:val="20"/>
          <w:szCs w:val="20"/>
          <w:color w:val="auto"/>
        </w:rPr>
      </w:pPr>
      <w:r>
        <w:rPr>
          <w:rFonts w:ascii="Arial" w:cs="Arial" w:eastAsia="Arial" w:hAnsi="Arial"/>
          <w:sz w:val="19"/>
          <w:szCs w:val="19"/>
          <w:color w:val="auto"/>
        </w:rPr>
        <w:t>On September 20, 2021, we completed the acquisition of 100% of Greenspring Associates, Inc. and certain of its affiliates (collectively, “Greenspring”) in exchange for (i) cash consideration of approximately $185 million, net of an agreed upon adjustment based upon Greenspring’s net working capital balance at the closing date, (ii) 12,686,756 shares of Class A common stock and (iii) 3,071,519 newly issued Class C units of the Partnership. The transaction agreement also included an earn-out of up to $75 million that is payable in 2025 subject to the achievement of certain management fee revenue targets for calendar year 2024. The acquisition of Greenspring, a leading venture and growth equity platform, is expected to expand our continued growth of our private markets capabilities across asset classes, geographies and sectors. The results of Greenspring’s operations have been included in the condensed consolidated financial statements effective September 20, 2021, and for the three and six months ended September 30, 2021 Greenspring contributed revenues and net income of $2.3 million and $1.0 million,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Revolving Credit Facility</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September 2021, we entered into a credit agreement with various lenders (the “Credit Agreement”) in connection with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Greenspring acquisition. The Credit Agreement was arranged by JPMorgan Chase Bank, N.A., as administrative agent, and provides for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$225.0 million multicurrency revolving credit facility (the “Revolver”) with a five year maturity. As of September 30, 2021, there was $112.6</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million outstanding on the Revolver.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 Transactions</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In March 2021, we conducted an underwritten public offering of 9,200,000 shares of Class A common stock, including 1,200,000 shares pursuant to the full exercise of the underwriters’ option to purchase additional shares, sold by selling stockholders at a public offering price of $29.50 per share. In connection with the offering, we issued 9,200,000 shares of Class A common stock to the selling stockholders in exchange for 9,200,000 Class B units. A corresponding number of shares of Class B common stock were automatically redeemed at par value and canceled in connection with such exchange. We did not receive any proceeds from the sale of shares by the selling stockholders.</w:t>
      </w:r>
    </w:p>
    <w:p>
      <w:pPr>
        <w:spacing w:after="0" w:line="165" w:lineRule="exact"/>
        <w:rPr>
          <w:sz w:val="20"/>
          <w:szCs w:val="20"/>
          <w:color w:val="auto"/>
        </w:rPr>
      </w:pPr>
    </w:p>
    <w:p>
      <w:pPr>
        <w:ind w:right="200" w:firstLine="648"/>
        <w:spacing w:after="0" w:line="243" w:lineRule="auto"/>
        <w:rPr>
          <w:sz w:val="20"/>
          <w:szCs w:val="20"/>
          <w:color w:val="auto"/>
        </w:rPr>
      </w:pPr>
      <w:r>
        <w:rPr>
          <w:rFonts w:ascii="Arial" w:cs="Arial" w:eastAsia="Arial" w:hAnsi="Arial"/>
          <w:sz w:val="20"/>
          <w:szCs w:val="20"/>
          <w:color w:val="auto"/>
        </w:rPr>
        <w:t>In June 2021, we issued 1,898,438 shares of Class A common stock to certain limited partners of the Partnership in exchange for 1,898,438 Class B units in accordance with the elective exchange notices submitted pursuant to an agreement with the Class B limited partners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us.</w:t>
      </w:r>
    </w:p>
    <w:p>
      <w:pPr>
        <w:spacing w:after="0" w:line="196" w:lineRule="exact"/>
        <w:rPr>
          <w:sz w:val="20"/>
          <w:szCs w:val="20"/>
          <w:color w:val="auto"/>
        </w:rPr>
      </w:pPr>
    </w:p>
    <w:p>
      <w:pPr>
        <w:jc w:val="both"/>
        <w:ind w:right="100" w:firstLine="648"/>
        <w:spacing w:after="0" w:line="276" w:lineRule="auto"/>
        <w:rPr>
          <w:sz w:val="20"/>
          <w:szCs w:val="20"/>
          <w:color w:val="auto"/>
        </w:rPr>
      </w:pPr>
      <w:r>
        <w:rPr>
          <w:rFonts w:ascii="Arial" w:cs="Arial" w:eastAsia="Arial" w:hAnsi="Arial"/>
          <w:sz w:val="18"/>
          <w:szCs w:val="18"/>
          <w:color w:val="auto"/>
        </w:rPr>
        <w:t>In September 2021, we issued 12,686,756 shares of Class A common stock and 3,071,519 Class C units of the Partnership as partial consideration for the Greenspring acquisition. In connection with the transaction, we amended the limited partnership agreement to create a new Class C limited partnership interest and admit the new limited partners that received Class C units as consideration for the Greenspring acquisition. We also entered into an agreement with the Class C limited partners (the “Class C Exchange Agreement”) to allow for exchange of Class C units of the Partnership to shares of Class A common stock of the Company on a one for one basis, subject to certain restrictions. The Class C limited partners became parties to the Exchanges Tax Receivable Agreement as a result of the transaction.</w:t>
      </w:r>
    </w:p>
    <w:p>
      <w:pPr>
        <w:spacing w:after="0" w:line="16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9"/>
          <w:szCs w:val="19"/>
          <w:color w:val="auto"/>
        </w:rPr>
        <w:t>In September 2021, we issued 2,087,281 shares of Class A common stock to certain limited partners of the Partnership in exchange for 2,087,281 Class B units in accordance with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Organizational Structure</w:t>
      </w:r>
    </w:p>
    <w:p>
      <w:pPr>
        <w:spacing w:after="0" w:line="222" w:lineRule="exact"/>
        <w:rPr>
          <w:sz w:val="20"/>
          <w:szCs w:val="20"/>
          <w:color w:val="auto"/>
        </w:rPr>
      </w:pPr>
    </w:p>
    <w:p>
      <w:pPr>
        <w:ind w:right="60" w:firstLine="648"/>
        <w:spacing w:after="0" w:line="260" w:lineRule="auto"/>
        <w:rPr>
          <w:sz w:val="20"/>
          <w:szCs w:val="20"/>
          <w:color w:val="auto"/>
        </w:rPr>
      </w:pPr>
      <w:r>
        <w:rPr>
          <w:rFonts w:ascii="Arial" w:cs="Arial" w:eastAsia="Arial" w:hAnsi="Arial"/>
          <w:sz w:val="19"/>
          <w:szCs w:val="19"/>
          <w:color w:val="auto"/>
        </w:rPr>
        <w:t>In connection with the Reorganization and IPO, SSG became a holding company and its only business is to act as the managing member of the General Partner, and its only material assets are Class A units in the Partnership and 100% of the interests in the General Partner. In its capacity as the sole managing member of the General Partner, SSG indirectly operates and controls all of the Partnership’s business and affairs. Therefore, we consolidate the financial results of the Partnership and report non-controlling interests related to the Class B units and Class C units held by partners of the Partnership in our consolidated financial statements.</w:t>
      </w:r>
    </w:p>
    <w:p>
      <w:pPr>
        <w:spacing w:after="0" w:line="180" w:lineRule="exact"/>
        <w:rPr>
          <w:sz w:val="20"/>
          <w:szCs w:val="20"/>
          <w:color w:val="auto"/>
        </w:rPr>
      </w:pPr>
    </w:p>
    <w:p>
      <w:pPr>
        <w:ind w:right="60" w:firstLine="648"/>
        <w:spacing w:after="0" w:line="243" w:lineRule="auto"/>
        <w:rPr>
          <w:sz w:val="20"/>
          <w:szCs w:val="20"/>
          <w:color w:val="auto"/>
        </w:rPr>
      </w:pPr>
      <w:r>
        <w:rPr>
          <w:rFonts w:ascii="Arial" w:cs="Arial" w:eastAsia="Arial" w:hAnsi="Arial"/>
          <w:sz w:val="20"/>
          <w:szCs w:val="20"/>
          <w:color w:val="auto"/>
        </w:rPr>
        <w:t>Pursuant to the StepStone Limited Partnership Agreement, the Class B Exchange Agreement and Class C Exchange Agreement that SSG and the Partnership entered into with partners holding Class B units and Class C units of the Partnership, respectively, each Class B unit or Class C unit is exchangeable for one share of SSG’s Class A common stock or, at SSG’s election, for cash, subject to certain restrictions specified in the relevant exchange agreement. When a Class B unit or Class C unit is surrendered for exchange, it will not be available for reissuance. When a Class B unit is exchanged for a share of SSG’s Class A common stock, a corresponding share of SSG’s Class B common stock will automatically be redeemed by SSG at par value and canceled. There are no corresponding shares of common stock for the Class C units.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diagram below illustrates our organizational structure as of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147320</wp:posOffset>
            </wp:positionV>
            <wp:extent cx="5863590" cy="31457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6359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Amounts may not sum to total due to rounding.</w:t>
      </w:r>
    </w:p>
    <w:p>
      <w:pPr>
        <w:spacing w:after="0" w:line="225"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partners of the Partnership other than StepStone Group Inc. are:</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General Partner, which holds a 100% general partner interest and no economic interests;</w:t>
      </w:r>
    </w:p>
    <w:p>
      <w:pPr>
        <w:spacing w:after="0" w:line="9" w:lineRule="exact"/>
        <w:rPr>
          <w:rFonts w:ascii="Arial" w:cs="Arial" w:eastAsia="Arial" w:hAnsi="Arial"/>
          <w:sz w:val="18"/>
          <w:szCs w:val="18"/>
          <w:color w:val="auto"/>
        </w:rPr>
      </w:pPr>
    </w:p>
    <w:p>
      <w:pPr>
        <w:ind w:left="1300" w:right="40" w:hanging="644"/>
        <w:spacing w:after="0" w:line="250" w:lineRule="auto"/>
        <w:tabs>
          <w:tab w:leader="none" w:pos="12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members of management, employee owners and outside investors, all of whom own Class B units and an equivalent number of shares of Class B common stock; and</w:t>
      </w:r>
    </w:p>
    <w:p>
      <w:pPr>
        <w:ind w:left="1300" w:hanging="644"/>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certain members of management and employees who own Class B2 units;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certain employee owners who own Class C units.</w:t>
      </w:r>
    </w:p>
    <w:p>
      <w:pPr>
        <w:spacing w:after="0" w:line="9" w:lineRule="exact"/>
        <w:rPr>
          <w:rFonts w:ascii="Arial" w:cs="Arial" w:eastAsia="Arial" w:hAnsi="Arial"/>
          <w:sz w:val="18"/>
          <w:szCs w:val="18"/>
          <w:color w:val="auto"/>
        </w:rPr>
      </w:pPr>
    </w:p>
    <w:p>
      <w:pPr>
        <w:ind w:left="660" w:right="40" w:hanging="652"/>
        <w:spacing w:after="0" w:line="250" w:lineRule="auto"/>
        <w:tabs>
          <w:tab w:leader="none" w:pos="6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share of Class A common stock is entitled to one vote and vote together with the Class B common stock as a single class, except as set forth in SSG’s amended and restated certificate of incorporation or as required by law.</w:t>
      </w:r>
    </w:p>
    <w:p>
      <w:pPr>
        <w:jc w:val="both"/>
        <w:ind w:left="660" w:right="40" w:hanging="652"/>
        <w:spacing w:after="0" w:line="255" w:lineRule="auto"/>
        <w:tabs>
          <w:tab w:leader="none" w:pos="6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share of Class B common stock is entitled to five votes prior to a Sunset (as defined below). After a Sunset becomes effective, each share of our Class B common stock will then entitle its holder to one vote. The economic rights of our Class B common stock are limited to the right to be redeemed at par value.</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 As of September 30, 2021 the Sunset Holders collectively maintained direct or indirect beneficial ownership of approximately 34.8% of the Class A common stock (determined assuming all outstanding Class B units have been exchanged for Class A common stock) and approximately 57.1% of the aggregate voting power of our outstanding Class A common stock and Class B common stock.</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50" w:name="page51"/>
    <w:bookmarkEnd w:id="50"/>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Key Financial Measures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Our key financial measures are discussed below. Additional information regarding our significant accounting policies can be found in note 2 to our condensed consolidated financial statements included elsewhere in this quarterly report.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generate revenues primarily from management and advisory fees, incentive fees and allocations of carried interest.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Management and Advisory Fees, Net</w:t>
      </w:r>
    </w:p>
    <w:p>
      <w:pPr>
        <w:spacing w:after="0" w:line="216"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231F20"/>
        </w:rPr>
        <w:t>Management and advisory fees, net, consist of fees received from managing SMAs and focused commingled funds, advisory and data services, and portfolio analytics and reporting.</w:t>
      </w:r>
    </w:p>
    <w:p>
      <w:pPr>
        <w:spacing w:after="0" w:line="177" w:lineRule="exact"/>
        <w:rPr>
          <w:sz w:val="20"/>
          <w:szCs w:val="20"/>
          <w:color w:val="auto"/>
        </w:rPr>
      </w:pPr>
    </w:p>
    <w:p>
      <w:pPr>
        <w:ind w:left="660" w:right="320" w:hanging="328"/>
        <w:spacing w:after="0" w:line="244"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231F20"/>
        </w:rPr>
        <w:t>Management fees from SMAs are generally based on a contractual rate applied to committed capital or net invested capital under management.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0.39% and 0.40% of average FEAUM for the twelve months ended September 30, 2020 and 2021, respectively.</w:t>
      </w:r>
    </w:p>
    <w:p>
      <w:pPr>
        <w:spacing w:after="0" w:line="194" w:lineRule="exact"/>
        <w:rPr>
          <w:rFonts w:ascii="Arial" w:cs="Arial" w:eastAsia="Arial" w:hAnsi="Arial"/>
          <w:sz w:val="20"/>
          <w:szCs w:val="20"/>
          <w:color w:val="auto"/>
        </w:rPr>
      </w:pPr>
    </w:p>
    <w:p>
      <w:pPr>
        <w:ind w:left="660" w:hanging="328"/>
        <w:spacing w:after="0" w:line="243"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231F20"/>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0.98% and 0.85% of average FEAUM for the twelve months ended September 30, 2020 and 2021, respectively, and primarily reflected the timing of new funds, shifts in asset class mix.</w:t>
      </w:r>
    </w:p>
    <w:p>
      <w:pPr>
        <w:spacing w:after="0" w:line="195" w:lineRule="exact"/>
        <w:rPr>
          <w:rFonts w:ascii="Arial" w:cs="Arial" w:eastAsia="Arial" w:hAnsi="Arial"/>
          <w:sz w:val="20"/>
          <w:szCs w:val="20"/>
          <w:color w:val="auto"/>
        </w:rPr>
      </w:pPr>
    </w:p>
    <w:p>
      <w:pPr>
        <w:ind w:left="660" w:right="280" w:hanging="328"/>
        <w:spacing w:after="0" w:line="260"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231F20"/>
        </w:rPr>
        <w:t>The weighted-average management fee rate across SMAs and focused commingled funds was approximately 0.53% and 0.51% of average FEAUM for the twelve months ended September 30, 2020 and 2021.</w:t>
      </w:r>
    </w:p>
    <w:p>
      <w:pPr>
        <w:spacing w:after="0" w:line="176" w:lineRule="exact"/>
        <w:rPr>
          <w:rFonts w:ascii="Arial" w:cs="Arial" w:eastAsia="Arial" w:hAnsi="Arial"/>
          <w:sz w:val="20"/>
          <w:szCs w:val="20"/>
          <w:color w:val="auto"/>
        </w:rPr>
      </w:pPr>
    </w:p>
    <w:p>
      <w:pPr>
        <w:ind w:left="660" w:hanging="328"/>
        <w:spacing w:after="0" w:line="278" w:lineRule="auto"/>
        <w:tabs>
          <w:tab w:leader="none" w:pos="648"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Fee revenues from advisory, StepStone Portfolio Analytics &amp; Reporting (“SPAR”) or SPI services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spacing w:after="0" w:line="164" w:lineRule="exact"/>
        <w:rPr>
          <w:rFonts w:ascii="Arial" w:cs="Arial" w:eastAsia="Arial" w:hAnsi="Arial"/>
          <w:sz w:val="18"/>
          <w:szCs w:val="18"/>
          <w:color w:val="231F20"/>
        </w:rPr>
      </w:pPr>
    </w:p>
    <w:p>
      <w:pPr>
        <w:jc w:val="both"/>
        <w:ind w:left="660" w:hanging="328"/>
        <w:spacing w:after="0" w:line="246"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231F20"/>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Performance Fees</w:t>
      </w:r>
    </w:p>
    <w:p>
      <w:pPr>
        <w:spacing w:after="0" w:line="216" w:lineRule="exact"/>
        <w:rPr>
          <w:sz w:val="20"/>
          <w:szCs w:val="20"/>
          <w:color w:val="auto"/>
        </w:rPr>
      </w:pPr>
    </w:p>
    <w:p>
      <w:pPr>
        <w:ind w:right="140" w:firstLine="648"/>
        <w:spacing w:after="0" w:line="272" w:lineRule="auto"/>
        <w:rPr>
          <w:sz w:val="20"/>
          <w:szCs w:val="20"/>
          <w:color w:val="auto"/>
        </w:rPr>
      </w:pPr>
      <w:r>
        <w:rPr>
          <w:rFonts w:ascii="Arial" w:cs="Arial" w:eastAsia="Arial" w:hAnsi="Arial"/>
          <w:sz w:val="18"/>
          <w:szCs w:val="18"/>
          <w:color w:val="auto"/>
        </w:rPr>
        <w:t xml:space="preserve">We earn two types of performance fee revenues: incentive fees and carried interest allocations, as described below. Incentive fees comprise fees earned from certain client investment mandates for which we do not have a general partnership interest in a StepStone Fund. Carried interest allocations include the allocation of performance-based fees, commonly referred to as carried interest, from limited partners in the StepStone Funds to us. In connection with the Greenspring acquisition, we did not acquire any direct economic interests in the carried interest allocations of certain legacy Greenspring funds. As a result, carried interest allocations in respect of such legacy Greenspring funds have been reflected as </w:t>
      </w:r>
      <w:r>
        <w:rPr>
          <w:rFonts w:ascii="Arial" w:cs="Arial" w:eastAsia="Arial" w:hAnsi="Arial"/>
          <w:sz w:val="18"/>
          <w:szCs w:val="18"/>
          <w:color w:val="231F20"/>
        </w:rPr>
        <w:t>legacy Greenspring carried interest allocations in the condensed consolidated statements of income, with a</w:t>
      </w:r>
      <w:r>
        <w:rPr>
          <w:rFonts w:ascii="Arial" w:cs="Arial" w:eastAsia="Arial" w:hAnsi="Arial"/>
          <w:sz w:val="18"/>
          <w:szCs w:val="18"/>
          <w:color w:val="auto"/>
        </w:rPr>
        <w:t xml:space="preserve"> </w:t>
      </w:r>
      <w:r>
        <w:rPr>
          <w:rFonts w:ascii="Arial" w:cs="Arial" w:eastAsia="Arial" w:hAnsi="Arial"/>
          <w:sz w:val="18"/>
          <w:szCs w:val="18"/>
          <w:color w:val="231F20"/>
        </w:rPr>
        <w:t>corresponding amount reflected as legacy Greenspring performance fee-related compensation as these amounts are payable to certain employees</w:t>
      </w:r>
      <w:r>
        <w:rPr>
          <w:rFonts w:ascii="Arial" w:cs="Arial" w:eastAsia="Arial" w:hAnsi="Arial"/>
          <w:sz w:val="18"/>
          <w:szCs w:val="18"/>
          <w:color w:val="000000"/>
        </w:rPr>
        <w:t>. As of September 30, 2021, we had over $48 billion of performance fee-eligible capital (excluding certain legacy Greenspring</w:t>
      </w:r>
      <w:r>
        <w:rPr>
          <w:rFonts w:ascii="Arial" w:cs="Arial" w:eastAsia="Arial" w:hAnsi="Arial"/>
          <w:sz w:val="18"/>
          <w:szCs w:val="18"/>
          <w:color w:val="231F20"/>
        </w:rPr>
        <w:t xml:space="preserve"> </w:t>
      </w:r>
      <w:r>
        <w:rPr>
          <w:rFonts w:ascii="Arial" w:cs="Arial" w:eastAsia="Arial" w:hAnsi="Arial"/>
          <w:sz w:val="18"/>
          <w:szCs w:val="18"/>
          <w:color w:val="000000"/>
        </w:rPr>
        <w:t>funds) across approximately 140 programs.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9"/>
          <w:szCs w:val="19"/>
          <w:i w:val="1"/>
          <w:iCs w:val="1"/>
          <w:color w:val="231F20"/>
        </w:rPr>
        <w:t xml:space="preserve">Incentive fees </w:t>
      </w:r>
      <w:r>
        <w:rPr>
          <w:rFonts w:ascii="Arial" w:cs="Arial" w:eastAsia="Arial" w:hAnsi="Arial"/>
          <w:sz w:val="19"/>
          <w:szCs w:val="19"/>
          <w:color w:val="231F20"/>
        </w:rPr>
        <w:t>are generally calculated as a percentage of the profits (up to 10%) earned in respect of certain accounts for which we</w:t>
      </w:r>
      <w:r>
        <w:rPr>
          <w:rFonts w:ascii="Arial" w:cs="Arial" w:eastAsia="Arial" w:hAnsi="Arial"/>
          <w:sz w:val="19"/>
          <w:szCs w:val="19"/>
          <w:i w:val="1"/>
          <w:iCs w:val="1"/>
          <w:color w:val="231F20"/>
        </w:rPr>
        <w:t xml:space="preserve"> </w:t>
      </w:r>
      <w:r>
        <w:rPr>
          <w:rFonts w:ascii="Arial" w:cs="Arial" w:eastAsia="Arial" w:hAnsi="Arial"/>
          <w:sz w:val="19"/>
          <w:szCs w:val="19"/>
          <w:color w:val="231F20"/>
        </w:rPr>
        <w:t>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8" w:lineRule="exact"/>
        <w:rPr>
          <w:sz w:val="20"/>
          <w:szCs w:val="20"/>
          <w:color w:val="auto"/>
        </w:rPr>
      </w:pPr>
    </w:p>
    <w:p>
      <w:pPr>
        <w:ind w:right="40" w:firstLine="648"/>
        <w:spacing w:after="0" w:line="316" w:lineRule="auto"/>
        <w:rPr>
          <w:sz w:val="20"/>
          <w:szCs w:val="20"/>
          <w:color w:val="auto"/>
        </w:rPr>
      </w:pPr>
      <w:r>
        <w:rPr>
          <w:rFonts w:ascii="Arial" w:cs="Arial" w:eastAsia="Arial" w:hAnsi="Arial"/>
          <w:sz w:val="16"/>
          <w:szCs w:val="16"/>
          <w:color w:val="231F20"/>
        </w:rPr>
        <w:t>We recognize incentive fee revenue only when these amounts are realized and no longer subject to significant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40"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i w:val="1"/>
          <w:iCs w:val="1"/>
          <w:color w:val="231F20"/>
        </w:rPr>
        <w:t xml:space="preserve">Carried interest allocations </w:t>
      </w:r>
      <w:r>
        <w:rPr>
          <w:rFonts w:ascii="Arial" w:cs="Arial" w:eastAsia="Arial" w:hAnsi="Arial"/>
          <w:sz w:val="20"/>
          <w:szCs w:val="20"/>
          <w:color w:val="231F20"/>
        </w:rPr>
        <w:t>include the allocation of performance-based fees to us from limited partners in the StepStone Funds in</w:t>
      </w:r>
      <w:r>
        <w:rPr>
          <w:rFonts w:ascii="Arial" w:cs="Arial" w:eastAsia="Arial" w:hAnsi="Arial"/>
          <w:sz w:val="20"/>
          <w:szCs w:val="20"/>
          <w:i w:val="1"/>
          <w:iCs w:val="1"/>
          <w:color w:val="231F20"/>
        </w:rPr>
        <w:t xml:space="preserve"> </w:t>
      </w:r>
      <w:r>
        <w:rPr>
          <w:rFonts w:ascii="Arial" w:cs="Arial" w:eastAsia="Arial" w:hAnsi="Arial"/>
          <w:sz w:val="20"/>
          <w:szCs w:val="20"/>
          <w:color w:val="231F20"/>
        </w:rPr>
        <w:t xml:space="preserve">which we hold an equity interest. We are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Arial" w:cs="Arial" w:eastAsia="Arial" w:hAnsi="Arial"/>
          <w:sz w:val="20"/>
          <w:szCs w:val="20"/>
          <w:i w:val="1"/>
          <w:iCs w:val="1"/>
          <w:color w:val="231F20"/>
        </w:rPr>
        <w:t>Revenue from Contracts</w:t>
      </w:r>
      <w:r>
        <w:rPr>
          <w:rFonts w:ascii="Arial" w:cs="Arial" w:eastAsia="Arial" w:hAnsi="Arial"/>
          <w:sz w:val="20"/>
          <w:szCs w:val="20"/>
          <w:color w:val="231F20"/>
        </w:rPr>
        <w:t xml:space="preserve"> </w:t>
      </w:r>
      <w:r>
        <w:rPr>
          <w:rFonts w:ascii="Arial" w:cs="Arial" w:eastAsia="Arial" w:hAnsi="Arial"/>
          <w:sz w:val="20"/>
          <w:szCs w:val="20"/>
          <w:i w:val="1"/>
          <w:iCs w:val="1"/>
          <w:color w:val="231F20"/>
        </w:rPr>
        <w:t>with Customers</w:t>
      </w:r>
      <w:r>
        <w:rPr>
          <w:rFonts w:ascii="Arial" w:cs="Arial" w:eastAsia="Arial" w:hAnsi="Arial"/>
          <w:sz w:val="20"/>
          <w:szCs w:val="20"/>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8"/>
          <w:szCs w:val="18"/>
          <w:i w:val="1"/>
          <w:iCs w:val="1"/>
          <w:color w:val="231F20"/>
        </w:rPr>
        <w:t xml:space="preserve">Legacy Greenspring carried interest allocations </w:t>
      </w:r>
      <w:r>
        <w:rPr>
          <w:rFonts w:ascii="Arial" w:cs="Arial" w:eastAsia="Arial" w:hAnsi="Arial"/>
          <w:sz w:val="18"/>
          <w:szCs w:val="18"/>
          <w:color w:val="231F20"/>
        </w:rPr>
        <w:t>reflects the allocation of carried interest to legacy Greenspring general partner</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investments and carried interest allocations under the equity method of accounting. We do not have any direct economic interests in the legacy Greenspring general partner entities and thus are not entitled to any carried interest allocation from certain legacy Greenspring funds. All of the carried interest allocations in respect of such legacy Greenspring funds are payable to employees who are considered affiliates of the Company and are therefore reflected as legacy Greenspring performance fee-related compensation in the condensed consolidated statements of income. Accordingly, legacy Greenspring carried interest allocations are not deemed to be within the scope of Accounting Standards Codification Topic 606 (“ASC 606”), </w:t>
      </w:r>
      <w:r>
        <w:rPr>
          <w:rFonts w:ascii="Arial" w:cs="Arial" w:eastAsia="Arial" w:hAnsi="Arial"/>
          <w:sz w:val="18"/>
          <w:szCs w:val="18"/>
          <w:i w:val="1"/>
          <w:iCs w:val="1"/>
          <w:color w:val="231F20"/>
        </w:rPr>
        <w:t>Revenue from Contracts with Customers</w:t>
      </w:r>
      <w:r>
        <w:rPr>
          <w:rFonts w:ascii="Arial" w:cs="Arial" w:eastAsia="Arial" w:hAnsi="Arial"/>
          <w:sz w:val="18"/>
          <w:szCs w:val="18"/>
          <w:color w:val="231F20"/>
        </w:rPr>
        <w:t>.</w:t>
      </w:r>
    </w:p>
    <w:p>
      <w:pPr>
        <w:spacing w:after="0" w:line="174" w:lineRule="exact"/>
        <w:rPr>
          <w:sz w:val="20"/>
          <w:szCs w:val="20"/>
          <w:color w:val="auto"/>
        </w:rPr>
      </w:pPr>
    </w:p>
    <w:p>
      <w:pPr>
        <w:ind w:right="60" w:firstLine="648"/>
        <w:spacing w:after="0" w:line="259" w:lineRule="auto"/>
        <w:rPr>
          <w:sz w:val="20"/>
          <w:szCs w:val="20"/>
          <w:color w:val="auto"/>
        </w:rPr>
      </w:pPr>
      <w:r>
        <w:rPr>
          <w:rFonts w:ascii="Arial" w:cs="Arial" w:eastAsia="Arial" w:hAnsi="Arial"/>
          <w:sz w:val="19"/>
          <w:szCs w:val="19"/>
          <w:color w:val="auto"/>
        </w:rPr>
        <w:t>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condensed consolidated balance sheets.</w:t>
      </w:r>
    </w:p>
    <w:p>
      <w:pPr>
        <w:spacing w:after="0" w:line="178"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September 30, 2021 and March 31, 2021, no material amounts for potential clawback obligations had been accrued.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Expenses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Cash-based compensation </w:t>
      </w:r>
      <w:r>
        <w:rPr>
          <w:rFonts w:ascii="Arial" w:cs="Arial" w:eastAsia="Arial" w:hAnsi="Arial"/>
          <w:sz w:val="20"/>
          <w:szCs w:val="20"/>
          <w:color w:val="auto"/>
        </w:rPr>
        <w:t>primarily includes salaries, bonuses, employee benefits and employer-related payroll taxes.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Equity-based compensation </w:t>
      </w:r>
      <w:r>
        <w:rPr>
          <w:rFonts w:ascii="Arial" w:cs="Arial" w:eastAsia="Arial" w:hAnsi="Arial"/>
          <w:sz w:val="19"/>
          <w:szCs w:val="19"/>
          <w:color w:val="auto"/>
        </w:rPr>
        <w:t>represents grants of equity related awards or arrangements to certain employees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141"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i w:val="1"/>
          <w:iCs w:val="1"/>
          <w:color w:val="auto"/>
        </w:rPr>
        <w:t xml:space="preserve">Performance fee-related compensation </w:t>
      </w:r>
      <w:r>
        <w:rPr>
          <w:rFonts w:ascii="Arial" w:cs="Arial" w:eastAsia="Arial" w:hAnsi="Arial"/>
          <w:sz w:val="18"/>
          <w:szCs w:val="18"/>
          <w:color w:val="auto"/>
        </w:rPr>
        <w:t>represents the portion of carried interest allocation revenue and incentive fees that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awarded to employees as a form of long-term incentive compensation. Performance fee-related compensation is generally tied to the investment performance of the StepStone Funds. </w:t>
      </w:r>
      <w:r>
        <w:rPr>
          <w:rFonts w:ascii="Arial" w:cs="Arial" w:eastAsia="Arial" w:hAnsi="Arial"/>
          <w:sz w:val="18"/>
          <w:szCs w:val="18"/>
          <w:color w:val="231F20"/>
        </w:rPr>
        <w:t>Approximately 50% of carried interest allocation revenue is awarded to employees as part</w:t>
      </w:r>
      <w:r>
        <w:rPr>
          <w:rFonts w:ascii="Arial" w:cs="Arial" w:eastAsia="Arial" w:hAnsi="Arial"/>
          <w:sz w:val="18"/>
          <w:szCs w:val="18"/>
          <w:color w:val="auto"/>
        </w:rPr>
        <w:t xml:space="preserve"> </w:t>
      </w:r>
      <w:r>
        <w:rPr>
          <w:rFonts w:ascii="Arial" w:cs="Arial" w:eastAsia="Arial" w:hAnsi="Arial"/>
          <w:sz w:val="18"/>
          <w:szCs w:val="18"/>
          <w:color w:val="231F20"/>
        </w:rPr>
        <w:t>of our long-term incentive compensation 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condensed consolidated balance sheets. Carried interest-related compensation expense also includes the portion of net carried interest allocation revenue attributable to equity holders of our consolidated subsidiaries that are not 100% owned by us.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w:t>
      </w:r>
    </w:p>
    <w:p>
      <w:pPr>
        <w:spacing w:after="0" w:line="172"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i w:val="1"/>
          <w:iCs w:val="1"/>
          <w:color w:val="auto"/>
        </w:rPr>
        <w:t xml:space="preserve">Legacy Greenspring performance fee-related compensation </w:t>
      </w:r>
      <w:r>
        <w:rPr>
          <w:rFonts w:ascii="Arial" w:cs="Arial" w:eastAsia="Arial" w:hAnsi="Arial"/>
          <w:sz w:val="18"/>
          <w:szCs w:val="18"/>
          <w:color w:val="auto"/>
        </w:rPr>
        <w:t>represents the legacy Greenspring carried interest allocations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entirely payable to certain employees. Legacy Greenspring </w:t>
      </w:r>
      <w:r>
        <w:rPr>
          <w:rFonts w:ascii="Arial" w:cs="Arial" w:eastAsia="Arial" w:hAnsi="Arial"/>
          <w:sz w:val="18"/>
          <w:szCs w:val="18"/>
          <w:color w:val="231F20"/>
        </w:rPr>
        <w:t>carried interest-related compensation is accounted for as compensation expense in</w:t>
      </w:r>
      <w:r>
        <w:rPr>
          <w:rFonts w:ascii="Arial" w:cs="Arial" w:eastAsia="Arial" w:hAnsi="Arial"/>
          <w:sz w:val="18"/>
          <w:szCs w:val="18"/>
          <w:color w:val="auto"/>
        </w:rPr>
        <w:t xml:space="preserve"> </w:t>
      </w:r>
      <w:r>
        <w:rPr>
          <w:rFonts w:ascii="Arial" w:cs="Arial" w:eastAsia="Arial" w:hAnsi="Arial"/>
          <w:sz w:val="18"/>
          <w:szCs w:val="18"/>
          <w:color w:val="231F20"/>
        </w:rPr>
        <w:t>conjunction with the related legacy Greenspring carried interest allocation revenue and, until paid, is recorded as a component of legacy Greenspring accrued carried interest-related compensation in the condensed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spacing w:after="0" w:line="165" w:lineRule="exact"/>
        <w:rPr>
          <w:sz w:val="20"/>
          <w:szCs w:val="20"/>
          <w:color w:val="auto"/>
        </w:rPr>
      </w:pPr>
    </w:p>
    <w:p>
      <w:pPr>
        <w:jc w:val="both"/>
        <w:ind w:right="780" w:firstLine="648"/>
        <w:spacing w:after="0" w:line="385" w:lineRule="auto"/>
        <w:rPr>
          <w:sz w:val="20"/>
          <w:szCs w:val="20"/>
          <w:color w:val="auto"/>
        </w:rPr>
      </w:pPr>
      <w:r>
        <w:rPr>
          <w:rFonts w:ascii="Arial" w:cs="Arial" w:eastAsia="Arial" w:hAnsi="Arial"/>
          <w:sz w:val="16"/>
          <w:szCs w:val="16"/>
          <w:i w:val="1"/>
          <w:iCs w:val="1"/>
          <w:color w:val="auto"/>
        </w:rPr>
        <w:t xml:space="preserve">General, administrative and other </w:t>
      </w:r>
      <w:r>
        <w:rPr>
          <w:rFonts w:ascii="Arial" w:cs="Arial" w:eastAsia="Arial" w:hAnsi="Arial"/>
          <w:sz w:val="16"/>
          <w:szCs w:val="16"/>
          <w:color w:val="auto"/>
        </w:rPr>
        <w:t>includes occupancy, travel and related costs, insurance, legal and other professional fees,</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amortization of intangible assets, system-related costs, and other general costs associated with operating our business.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Other Income (Expense)</w:t>
      </w:r>
    </w:p>
    <w:p>
      <w:pPr>
        <w:spacing w:after="0" w:line="222" w:lineRule="exact"/>
        <w:rPr>
          <w:sz w:val="20"/>
          <w:szCs w:val="20"/>
          <w:color w:val="auto"/>
        </w:rPr>
      </w:pPr>
    </w:p>
    <w:p>
      <w:pPr>
        <w:ind w:right="20" w:firstLine="648"/>
        <w:spacing w:after="0" w:line="242" w:lineRule="auto"/>
        <w:rPr>
          <w:sz w:val="20"/>
          <w:szCs w:val="20"/>
          <w:color w:val="auto"/>
        </w:rPr>
      </w:pPr>
      <w:r>
        <w:rPr>
          <w:rFonts w:ascii="Arial" w:cs="Arial" w:eastAsia="Arial" w:hAnsi="Arial"/>
          <w:sz w:val="20"/>
          <w:szCs w:val="20"/>
          <w:i w:val="1"/>
          <w:iCs w:val="1"/>
          <w:color w:val="231F20"/>
        </w:rPr>
        <w:t xml:space="preserve">Investment income </w:t>
      </w:r>
      <w:r>
        <w:rPr>
          <w:rFonts w:ascii="Arial" w:cs="Arial" w:eastAsia="Arial" w:hAnsi="Arial"/>
          <w:sz w:val="20"/>
          <w:szCs w:val="20"/>
          <w:color w:val="231F20"/>
        </w:rPr>
        <w:t>primarily represents our share of earnings from the investments we make in our SMAs and focused commingled</w:t>
      </w:r>
      <w:r>
        <w:rPr>
          <w:rFonts w:ascii="Arial" w:cs="Arial" w:eastAsia="Arial" w:hAnsi="Arial"/>
          <w:sz w:val="20"/>
          <w:szCs w:val="20"/>
          <w:i w:val="1"/>
          <w:iCs w:val="1"/>
          <w:color w:val="231F20"/>
        </w:rPr>
        <w:t xml:space="preserve"> </w:t>
      </w:r>
      <w:r>
        <w:rPr>
          <w:rFonts w:ascii="Arial" w:cs="Arial" w:eastAsia="Arial" w:hAnsi="Arial"/>
          <w:sz w:val="20"/>
          <w:szCs w:val="20"/>
          <w:color w:val="231F20"/>
        </w:rPr>
        <w:t>funds. We, either directly or through our subsidiaries, generally have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spacing w:after="0" w:line="197"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231F20"/>
        </w:rPr>
        <w:t>Consequently, our general partner investments do not include any significant concentrations in a specific sector or geography outside the United States. Investment income and legacy Greenspring investment income exclude carried interest allocations, which are presented as revenues as described above.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41" w:lineRule="exact"/>
        <w:rPr>
          <w:sz w:val="20"/>
          <w:szCs w:val="20"/>
          <w:color w:val="auto"/>
        </w:rPr>
      </w:pPr>
    </w:p>
    <w:p>
      <w:pPr>
        <w:ind w:right="20" w:firstLine="648"/>
        <w:spacing w:after="0" w:line="260" w:lineRule="auto"/>
        <w:rPr>
          <w:sz w:val="20"/>
          <w:szCs w:val="20"/>
          <w:color w:val="auto"/>
        </w:rPr>
      </w:pPr>
      <w:r>
        <w:rPr>
          <w:rFonts w:ascii="Arial" w:cs="Arial" w:eastAsia="Arial" w:hAnsi="Arial"/>
          <w:sz w:val="19"/>
          <w:szCs w:val="19"/>
          <w:i w:val="1"/>
          <w:iCs w:val="1"/>
          <w:color w:val="231F20"/>
        </w:rPr>
        <w:t xml:space="preserve">Legacy Greenspring investment income </w:t>
      </w:r>
      <w:r>
        <w:rPr>
          <w:rFonts w:ascii="Arial" w:cs="Arial" w:eastAsia="Arial" w:hAnsi="Arial"/>
          <w:sz w:val="19"/>
          <w:szCs w:val="19"/>
          <w:color w:val="231F20"/>
        </w:rPr>
        <w:t>represents our share of earnings from the investments we make in certain legacy Greenspring</w:t>
      </w:r>
      <w:r>
        <w:rPr>
          <w:rFonts w:ascii="Arial" w:cs="Arial" w:eastAsia="Arial" w:hAnsi="Arial"/>
          <w:sz w:val="19"/>
          <w:szCs w:val="19"/>
          <w:i w:val="1"/>
          <w:iCs w:val="1"/>
          <w:color w:val="231F20"/>
        </w:rPr>
        <w:t xml:space="preserve"> </w:t>
      </w:r>
      <w:r>
        <w:rPr>
          <w:rFonts w:ascii="Arial" w:cs="Arial" w:eastAsia="Arial" w:hAnsi="Arial"/>
          <w:sz w:val="19"/>
          <w:szCs w:val="19"/>
          <w:color w:val="231F20"/>
        </w:rPr>
        <w:t>funds through the legacy Greenspring general partner entities. We have no economic interest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Interest income </w:t>
      </w:r>
      <w:r>
        <w:rPr>
          <w:rFonts w:ascii="Arial" w:cs="Arial" w:eastAsia="Arial" w:hAnsi="Arial"/>
          <w:sz w:val="20"/>
          <w:szCs w:val="20"/>
          <w:color w:val="auto"/>
        </w:rPr>
        <w:t>consists of income earned on cash and cash equivalents, restricted cash and certificates of deposit.</w:t>
      </w:r>
    </w:p>
    <w:p>
      <w:pPr>
        <w:spacing w:after="0" w:line="216"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i w:val="1"/>
          <w:iCs w:val="1"/>
          <w:color w:val="auto"/>
        </w:rPr>
        <w:t xml:space="preserve">Interest expense </w:t>
      </w:r>
      <w:r>
        <w:rPr>
          <w:rFonts w:ascii="Arial" w:cs="Arial" w:eastAsia="Arial" w:hAnsi="Arial"/>
          <w:sz w:val="20"/>
          <w:szCs w:val="20"/>
          <w:color w:val="auto"/>
        </w:rPr>
        <w:t>primarily consists of the interest expense on the Revolver and our previously outstanding term loan, as well as the</w:t>
      </w:r>
      <w:r>
        <w:rPr>
          <w:rFonts w:ascii="Arial" w:cs="Arial" w:eastAsia="Arial" w:hAnsi="Arial"/>
          <w:sz w:val="20"/>
          <w:szCs w:val="20"/>
          <w:i w:val="1"/>
          <w:iCs w:val="1"/>
          <w:color w:val="auto"/>
        </w:rPr>
        <w:t xml:space="preserve"> </w:t>
      </w:r>
      <w:r>
        <w:rPr>
          <w:rFonts w:ascii="Arial" w:cs="Arial" w:eastAsia="Arial" w:hAnsi="Arial"/>
          <w:sz w:val="20"/>
          <w:szCs w:val="20"/>
          <w:color w:val="auto"/>
        </w:rPr>
        <w:t>related amortization of deferred financing costs and amortization of original issue discount. The quarter ended September 30, 2020 includes a $3.5 million charge related to the write-off of unamortized debt issuance costs and discount in connection with the full repayment of our outstanding debt balance.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Other income (loss) </w:t>
      </w:r>
      <w:r>
        <w:rPr>
          <w:rFonts w:ascii="Arial" w:cs="Arial" w:eastAsia="Arial" w:hAnsi="Arial"/>
          <w:sz w:val="20"/>
          <w:szCs w:val="20"/>
          <w:color w:val="auto"/>
        </w:rPr>
        <w:t>includes foreign currency transaction gains and losses and non-operating activities.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 Expense</w:t>
      </w:r>
    </w:p>
    <w:p>
      <w:pPr>
        <w:spacing w:after="0" w:line="222" w:lineRule="exact"/>
        <w:rPr>
          <w:sz w:val="20"/>
          <w:szCs w:val="20"/>
          <w:color w:val="auto"/>
        </w:rPr>
      </w:pPr>
    </w:p>
    <w:p>
      <w:pPr>
        <w:ind w:right="320" w:firstLine="648"/>
        <w:spacing w:after="0" w:line="294" w:lineRule="auto"/>
        <w:rPr>
          <w:sz w:val="20"/>
          <w:szCs w:val="20"/>
          <w:color w:val="auto"/>
        </w:rPr>
      </w:pPr>
      <w:r>
        <w:rPr>
          <w:rFonts w:ascii="Arial" w:cs="Arial" w:eastAsia="Arial" w:hAnsi="Arial"/>
          <w:sz w:val="16"/>
          <w:szCs w:val="16"/>
          <w:color w:val="231F20"/>
        </w:rPr>
        <w:t>We are a corporation for U.S. federal income tax purposes and therefore are subject to U.S. federal and state income taxes on our share of taxable income generated by the Partnership. Prior to the Reorganization and IPO, we operated as a partnership for U.S. federal income tax purposes and therefore were generally not subject to U.S. federal and state income taxes.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local or non-U.S. income taxes. Additionally, certain of our subsidiaries are subject to local jurisdiction income taxes at the entity level. Accordingly, the tax liability with respect to income attributable to non-controlling interests in the Partnership is borne by the holders of such non-controlling interests.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Non-Controlling Interests</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Non-controlling interests (“NCI”) reflect the portion of income or loss and the corresponding equity attributable to third-party equity holders and employees in certain consolidated subsidiaries that are not 100% owned by us. Non-controlling interests are presented as separate components in our condensed consolidated statements of income to clearly distinguish between our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w:t>
      </w:r>
    </w:p>
    <w:p>
      <w:pPr>
        <w:spacing w:after="0" w:line="165"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i w:val="1"/>
          <w:iCs w:val="1"/>
          <w:color w:val="auto"/>
        </w:rPr>
        <w:t xml:space="preserve">Non-controlling interests in subsidiaries </w:t>
      </w:r>
      <w:r>
        <w:rPr>
          <w:rFonts w:ascii="Arial" w:cs="Arial" w:eastAsia="Arial" w:hAnsi="Arial"/>
          <w:sz w:val="20"/>
          <w:szCs w:val="20"/>
          <w:color w:val="auto"/>
        </w:rPr>
        <w:t>represent the economic interests in the consolidated subsidiaries of the Partnership held by</w:t>
      </w:r>
      <w:r>
        <w:rPr>
          <w:rFonts w:ascii="Arial" w:cs="Arial" w:eastAsia="Arial" w:hAnsi="Arial"/>
          <w:sz w:val="20"/>
          <w:szCs w:val="20"/>
          <w:i w:val="1"/>
          <w:iCs w:val="1"/>
          <w:color w:val="auto"/>
        </w:rPr>
        <w:t xml:space="preserve"> </w:t>
      </w:r>
      <w:r>
        <w:rPr>
          <w:rFonts w:ascii="Arial" w:cs="Arial" w:eastAsia="Arial" w:hAnsi="Arial"/>
          <w:sz w:val="20"/>
          <w:szCs w:val="20"/>
          <w:color w:val="auto"/>
        </w:rPr>
        <w:t>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91" w:lineRule="exact"/>
        <w:rPr>
          <w:sz w:val="20"/>
          <w:szCs w:val="20"/>
          <w:color w:val="auto"/>
        </w:rPr>
      </w:pPr>
    </w:p>
    <w:p>
      <w:pPr>
        <w:ind w:right="80" w:firstLine="648"/>
        <w:spacing w:after="0" w:line="291" w:lineRule="auto"/>
        <w:rPr>
          <w:sz w:val="20"/>
          <w:szCs w:val="20"/>
          <w:color w:val="auto"/>
        </w:rPr>
      </w:pPr>
      <w:r>
        <w:rPr>
          <w:rFonts w:ascii="Arial" w:cs="Arial" w:eastAsia="Arial" w:hAnsi="Arial"/>
          <w:sz w:val="18"/>
          <w:szCs w:val="18"/>
          <w:i w:val="1"/>
          <w:iCs w:val="1"/>
          <w:color w:val="auto"/>
        </w:rPr>
        <w:t xml:space="preserve">Non-controlling interests in legacy Greenspring entities </w:t>
      </w:r>
      <w:r>
        <w:rPr>
          <w:rFonts w:ascii="Arial" w:cs="Arial" w:eastAsia="Arial" w:hAnsi="Arial"/>
          <w:sz w:val="18"/>
          <w:szCs w:val="18"/>
          <w:color w:val="auto"/>
        </w:rPr>
        <w:t>represent the economic interests in the legacy Greenspring general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We did not acquire any direct economic interests in the legacy Greenspring general partner entities. As a result, all of the net income related to the legacy Greenspring general partner entities is allocated to non-controlling interests in legacy Greenspring entities.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1" w:lineRule="exact"/>
        <w:rPr>
          <w:sz w:val="20"/>
          <w:szCs w:val="20"/>
          <w:color w:val="auto"/>
        </w:rPr>
      </w:pPr>
    </w:p>
    <w:p>
      <w:pPr>
        <w:ind w:firstLine="648"/>
        <w:spacing w:after="0" w:line="291" w:lineRule="auto"/>
        <w:rPr>
          <w:sz w:val="20"/>
          <w:szCs w:val="20"/>
          <w:color w:val="auto"/>
        </w:rPr>
      </w:pPr>
      <w:r>
        <w:rPr>
          <w:rFonts w:ascii="Arial" w:cs="Arial" w:eastAsia="Arial" w:hAnsi="Arial"/>
          <w:sz w:val="18"/>
          <w:szCs w:val="18"/>
          <w:i w:val="1"/>
          <w:iCs w:val="1"/>
          <w:color w:val="auto"/>
        </w:rPr>
        <w:t xml:space="preserve">Non-controlling interests in the Partnership </w:t>
      </w:r>
      <w:r>
        <w:rPr>
          <w:rFonts w:ascii="Arial" w:cs="Arial" w:eastAsia="Arial" w:hAnsi="Arial"/>
          <w:sz w:val="18"/>
          <w:szCs w:val="18"/>
          <w:color w:val="auto"/>
        </w:rPr>
        <w:t>represent the economic interests in the Partnership held by the Class B unitholders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Key Operating Metrics</w:t>
      </w:r>
    </w:p>
    <w:p>
      <w:pPr>
        <w:spacing w:after="0" w:line="222"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We monitor certain operating metrics that are either common to the asset management industry or that we believe provide important data regarding our business.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Management</w:t>
      </w:r>
    </w:p>
    <w:p>
      <w:pPr>
        <w:spacing w:after="0" w:line="222" w:lineRule="exact"/>
        <w:rPr>
          <w:sz w:val="20"/>
          <w:szCs w:val="20"/>
          <w:color w:val="auto"/>
        </w:rPr>
      </w:pPr>
    </w:p>
    <w:p>
      <w:pPr>
        <w:jc w:val="both"/>
        <w:ind w:right="60" w:firstLine="648"/>
        <w:spacing w:after="0" w:line="246" w:lineRule="auto"/>
        <w:rPr>
          <w:sz w:val="20"/>
          <w:szCs w:val="20"/>
          <w:color w:val="auto"/>
        </w:rPr>
      </w:pPr>
      <w:r>
        <w:rPr>
          <w:rFonts w:ascii="Arial" w:cs="Arial" w:eastAsia="Arial" w:hAnsi="Arial"/>
          <w:sz w:val="20"/>
          <w:szCs w:val="20"/>
          <w:color w:val="231F20"/>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spacing w:after="0" w:line="191"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231F20"/>
        </w:rPr>
        <w:t>Our AUM is calculated as the sum of (i) the net asset value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September 30, 2021 reflects final data for the prior period (June 30, 2021), adjusted for net new client account activity through September 30, 2021. NAV data for underlying investments is as of June 30, 2021, as reported by underlying managers up to 100 days following June 30, 2021. When NAV data is not available by 100 days following June 30, 2021, such NAVs are adjusted for cash activity following the last available reported NAV.</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Advisement</w:t>
      </w:r>
    </w:p>
    <w:p>
      <w:pPr>
        <w:spacing w:after="0" w:line="222" w:lineRule="exact"/>
        <w:rPr>
          <w:sz w:val="20"/>
          <w:szCs w:val="20"/>
          <w:color w:val="auto"/>
        </w:rPr>
      </w:pPr>
    </w:p>
    <w:p>
      <w:pPr>
        <w:ind w:right="20" w:firstLine="648"/>
        <w:spacing w:after="0" w:line="259" w:lineRule="auto"/>
        <w:rPr>
          <w:sz w:val="20"/>
          <w:szCs w:val="20"/>
          <w:color w:val="auto"/>
        </w:rPr>
      </w:pPr>
      <w:r>
        <w:rPr>
          <w:rFonts w:ascii="Arial" w:cs="Arial" w:eastAsia="Arial" w:hAnsi="Arial"/>
          <w:sz w:val="19"/>
          <w:szCs w:val="19"/>
          <w:color w:val="231F20"/>
        </w:rPr>
        <w:t>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w:t>
      </w:r>
    </w:p>
    <w:p>
      <w:pPr>
        <w:spacing w:after="0" w:line="178"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231F20"/>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 Our AUA does not include post-period investment valuation or cash activity. AUA as of September 30, 2021 reflects final data for the prior period (June 30, 2021), adjusted for net new client account activity through September 30, 2021. NAV data for underlying investments is as of June 30, 2021, as reported by underlying managers up to 100 days following June 30, 2021. When NAV data is not available by 100 days following June 30, 2021, such NAVs are adjusted for cash activity following the last available reported NAV.</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6" w:name="page57"/>
    <w:bookmarkEnd w:id="56"/>
    <w:p>
      <w:pPr>
        <w:spacing w:after="0" w:line="14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231F20"/>
        </w:rPr>
        <w:t>Beginning in the quarter ended March 31, 2021, we modified our AUA computation to include, with respect to our advisory clients, the portion of their portfolio assets for which we do not directly provide recommendations, monitoring and/or reporting services. Prior period amounts have not been recast for this change because comparable historical data does not exist. The change resulted in an increase to AUA of approximately $70 billion for the quarter ended March 31, 2021.</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Fee-Earning AUM</w:t>
      </w:r>
    </w:p>
    <w:p>
      <w:pPr>
        <w:spacing w:after="0" w:line="22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8"/>
          <w:szCs w:val="18"/>
          <w:color w:val="231F20"/>
        </w:rPr>
        <w:t>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w:t>
      </w:r>
    </w:p>
    <w:p>
      <w:pPr>
        <w:spacing w:after="0" w:line="165" w:lineRule="exact"/>
        <w:rPr>
          <w:sz w:val="20"/>
          <w:szCs w:val="20"/>
          <w:color w:val="auto"/>
        </w:rPr>
      </w:pPr>
    </w:p>
    <w:p>
      <w:pPr>
        <w:ind w:right="520" w:firstLine="648"/>
        <w:spacing w:after="0" w:line="260" w:lineRule="auto"/>
        <w:rPr>
          <w:sz w:val="20"/>
          <w:szCs w:val="20"/>
          <w:color w:val="auto"/>
        </w:rPr>
      </w:pPr>
      <w:r>
        <w:rPr>
          <w:rFonts w:ascii="Arial" w:cs="Arial" w:eastAsia="Arial" w:hAnsi="Arial"/>
          <w:sz w:val="20"/>
          <w:szCs w:val="20"/>
          <w:color w:val="231F20"/>
        </w:rPr>
        <w:t>Our calculation of FEAUM may differ from the calculations of other asset managers and, as a result, may not be comparable to similar measures presented by other asset managers.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Undeployed Fee-Earning Capital</w:t>
      </w:r>
    </w:p>
    <w:p>
      <w:pPr>
        <w:spacing w:after="0" w:line="222"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Undeployed fee-earning capital represents the amount of capital commitments to StepStone Funds that has not yet been invested or considered active but will generate management fee revenue once this capital is invested or active.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Key Non-GAAP Financial Measures</w:t>
      </w:r>
    </w:p>
    <w:p>
      <w:pPr>
        <w:spacing w:after="0" w:line="222" w:lineRule="exact"/>
        <w:rPr>
          <w:sz w:val="20"/>
          <w:szCs w:val="20"/>
          <w:color w:val="auto"/>
        </w:rPr>
      </w:pPr>
    </w:p>
    <w:p>
      <w:pPr>
        <w:ind w:right="180" w:firstLine="648"/>
        <w:spacing w:after="0" w:line="316" w:lineRule="auto"/>
        <w:rPr>
          <w:sz w:val="20"/>
          <w:szCs w:val="20"/>
          <w:color w:val="auto"/>
        </w:rPr>
      </w:pPr>
      <w:r>
        <w:rPr>
          <w:rFonts w:ascii="Arial" w:cs="Arial" w:eastAsia="Arial" w:hAnsi="Arial"/>
          <w:sz w:val="18"/>
          <w:szCs w:val="18"/>
          <w:color w:val="auto"/>
        </w:rPr>
        <w:t>Below is a description of our non-GAAP financial measures. These measures are presented on a basis other than GAAP and should be considered in addition to, and not as a substitute for or superior to, financial measures calculated in accordance with GAAP.</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Revenues and Adjusted Net Income</w:t>
      </w:r>
    </w:p>
    <w:p>
      <w:pPr>
        <w:spacing w:after="0" w:line="222"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231F20"/>
        </w:rPr>
        <w:t>Adjusted net income (“ANI”) is a non-GAAP performance measure that we present on a pre-tax and after-tax basis used to evaluate profitability. ANI represents the after-tax net realized income attributable to us. The components of revenues used in the determination of ANI (“adjusted revenues”) comprise net management and advisory fees, incentive fees (including the deferred portion) and realized carried interest allocations. In addition, ANI excludes: (a) unrealized carried interest allocation revenues and related compensation, (b) unrealized investment income, (c) equity-based compensation for awards granted prior to and in connection with our IPO, (d) amortization of intangibles and (e) certain other items that we believe are not indicative of our core operating performance, including charges associated with acquisitions and corporate transactions, contract terminations and employee severance. ANI does not reflect legacy Greenspring carried interest allocation revenues, legacy Greenspring carried interest-related compensation and legacy Greenspring investment income as none of the economics are attributable to us. ANI is income before taxes fully taxed at our blended statutory rate. We believe ANI and adjusted revenues are useful to investors because they enable investors to evaluate the performance of our business across reporting periods.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Fee-Related Earnings</w:t>
      </w:r>
    </w:p>
    <w:p>
      <w:pPr>
        <w:spacing w:after="0" w:line="222"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231F20"/>
        </w:rPr>
        <w:t>Fee-related earnings (“FRE”) is a non-GAAP performance measure used to monitor our baseline earnings from recurring management and advisory fees. FRE is a component of ANI and comprises net management and advisory fees, less operating expenses other than performance fee-related compensation, equity-based compensation for awards granted prior to and in connection with our IPO, amortization of intangibles and other non-core operating items. FRE is presented before income taxes. We believe FRE is useful to investors because it provides additional insight into the operating profitability of our business and our ability to cover direct base compensation and operating expenses from total fee revenues.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Net Income Per Share</w:t>
      </w:r>
    </w:p>
    <w:p>
      <w:pPr>
        <w:spacing w:after="0" w:line="222" w:lineRule="exact"/>
        <w:rPr>
          <w:sz w:val="20"/>
          <w:szCs w:val="20"/>
          <w:color w:val="auto"/>
        </w:rPr>
      </w:pPr>
    </w:p>
    <w:p>
      <w:pPr>
        <w:ind w:right="320" w:firstLine="648"/>
        <w:spacing w:after="0" w:line="246" w:lineRule="auto"/>
        <w:rPr>
          <w:sz w:val="20"/>
          <w:szCs w:val="20"/>
          <w:color w:val="auto"/>
        </w:rPr>
      </w:pPr>
      <w:r>
        <w:rPr>
          <w:rFonts w:ascii="Arial" w:cs="Arial" w:eastAsia="Arial" w:hAnsi="Arial"/>
          <w:sz w:val="20"/>
          <w:szCs w:val="20"/>
          <w:color w:val="auto"/>
        </w:rPr>
        <w:t>ANI per share measures our per-share earnings assuming all Class B units in the Partnership are exchanged for Class A common stock in SSG, including the dilutive impact of outstanding equity-based awards. ANI per share is calculated as ANI divided by adjusted shares outstanding. We believe ANI per share is useful to investors because it enables them to better evaluate per-share operating performance across reporting periods.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8" w:name="page59"/>
    <w:bookmarkEnd w:id="58"/>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Results of Operations</w:t>
      </w:r>
    </w:p>
    <w:p>
      <w:pPr>
        <w:spacing w:after="0" w:line="222" w:lineRule="exact"/>
        <w:rPr>
          <w:sz w:val="20"/>
          <w:szCs w:val="20"/>
          <w:color w:val="auto"/>
        </w:rPr>
      </w:pPr>
    </w:p>
    <w:p>
      <w:pPr>
        <w:ind w:right="580" w:firstLine="648"/>
        <w:spacing w:after="0" w:line="316" w:lineRule="auto"/>
        <w:rPr>
          <w:sz w:val="20"/>
          <w:szCs w:val="20"/>
          <w:color w:val="auto"/>
        </w:rPr>
      </w:pPr>
      <w:r>
        <w:rPr>
          <w:rFonts w:ascii="Arial" w:cs="Arial" w:eastAsia="Arial" w:hAnsi="Arial"/>
          <w:sz w:val="18"/>
          <w:szCs w:val="18"/>
          <w:color w:val="auto"/>
        </w:rPr>
        <w:t>The following is a discussion of our unaudited consolidated results of operations for the periods presented. This information is derived from our accompanying condensed consolidated financial statements prepared in accordance with GAAP.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w w:val="96"/>
              </w:rPr>
              <w:t>Six Months Ended September 30,</w:t>
            </w:r>
          </w:p>
        </w:tc>
        <w:tc>
          <w:tcPr>
            <w:tcW w:w="0" w:type="dxa"/>
            <w:vAlign w:val="bottom"/>
          </w:tcPr>
          <w:p>
            <w:pPr>
              <w:spacing w:after="0"/>
              <w:rPr>
                <w:sz w:val="1"/>
                <w:szCs w:val="1"/>
                <w:color w:val="auto"/>
              </w:rPr>
            </w:pPr>
          </w:p>
        </w:tc>
      </w:tr>
      <w:tr>
        <w:trPr>
          <w:trHeight w:val="188"/>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Management and advisory fees, net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83,583</w:t>
            </w:r>
          </w:p>
        </w:tc>
        <w:tc>
          <w:tcPr>
            <w:tcW w:w="24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75,652</w:t>
            </w:r>
          </w:p>
        </w:tc>
        <w:tc>
          <w:tcPr>
            <w:tcW w:w="24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161,644</w:t>
            </w:r>
          </w:p>
        </w:tc>
        <w:tc>
          <w:tcPr>
            <w:tcW w:w="24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139,152</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fees:</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360"/>
              <w:spacing w:after="0"/>
              <w:rPr>
                <w:sz w:val="20"/>
                <w:szCs w:val="20"/>
                <w:color w:val="auto"/>
              </w:rPr>
            </w:pPr>
            <w:r>
              <w:rPr>
                <w:rFonts w:ascii="Arial" w:cs="Arial" w:eastAsia="Arial" w:hAnsi="Arial"/>
                <w:sz w:val="14"/>
                <w:szCs w:val="14"/>
                <w:color w:val="auto"/>
              </w:rPr>
              <w:t>Incentive fees</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1,796</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1,196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5,978</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4,785</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Carried interest allocations:</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720"/>
              <w:spacing w:after="0"/>
              <w:rPr>
                <w:sz w:val="20"/>
                <w:szCs w:val="20"/>
                <w:color w:val="auto"/>
              </w:rPr>
            </w:pPr>
            <w:r>
              <w:rPr>
                <w:rFonts w:ascii="Arial" w:cs="Arial" w:eastAsia="Arial" w:hAnsi="Arial"/>
                <w:sz w:val="14"/>
                <w:szCs w:val="14"/>
                <w:color w:val="auto"/>
              </w:rPr>
              <w:t>Realized</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52,531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8,556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102,494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12,194</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Unrealized</w:t>
            </w: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143,855</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157,509</w:t>
            </w:r>
          </w:p>
        </w:tc>
        <w:tc>
          <w:tcPr>
            <w:tcW w:w="2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320,254</w:t>
            </w:r>
          </w:p>
        </w:tc>
        <w:tc>
          <w:tcPr>
            <w:tcW w:w="2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25,369</w:t>
            </w:r>
          </w:p>
        </w:tc>
        <w:tc>
          <w:tcPr>
            <w:tcW w:w="0" w:type="dxa"/>
            <w:vAlign w:val="bottom"/>
          </w:tcPr>
          <w:p>
            <w:pPr>
              <w:spacing w:after="0"/>
              <w:rPr>
                <w:sz w:val="1"/>
                <w:szCs w:val="1"/>
                <w:color w:val="auto"/>
              </w:rPr>
            </w:pPr>
          </w:p>
        </w:tc>
      </w:tr>
      <w:tr>
        <w:trPr>
          <w:trHeight w:val="179"/>
        </w:trPr>
        <w:tc>
          <w:tcPr>
            <w:tcW w:w="5520" w:type="dxa"/>
            <w:vAlign w:val="bottom"/>
          </w:tcPr>
          <w:p>
            <w:pPr>
              <w:ind w:left="360"/>
              <w:spacing w:after="0"/>
              <w:rPr>
                <w:sz w:val="20"/>
                <w:szCs w:val="20"/>
                <w:color w:val="auto"/>
              </w:rPr>
            </w:pPr>
            <w:r>
              <w:rPr>
                <w:rFonts w:ascii="Arial" w:cs="Arial" w:eastAsia="Arial" w:hAnsi="Arial"/>
                <w:sz w:val="14"/>
                <w:szCs w:val="14"/>
                <w:color w:val="auto"/>
              </w:rPr>
              <w:t>Total carried interest allocations</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196,386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166,065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422,748</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37,563</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360"/>
              <w:spacing w:after="0" w:line="193" w:lineRule="exact"/>
              <w:rPr>
                <w:sz w:val="20"/>
                <w:szCs w:val="20"/>
                <w:color w:val="auto"/>
              </w:rPr>
            </w:pPr>
            <w:r>
              <w:rPr>
                <w:rFonts w:ascii="Arial" w:cs="Arial" w:eastAsia="Arial" w:hAnsi="Arial"/>
                <w:sz w:val="14"/>
                <w:szCs w:val="14"/>
                <w:color w:val="auto"/>
              </w:rPr>
              <w:t>Legacy Greenspring carried interest allocations</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55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revenues</w:t>
            </w:r>
          </w:p>
        </w:tc>
        <w:tc>
          <w:tcPr>
            <w:tcW w:w="2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281,765</w:t>
            </w:r>
          </w:p>
        </w:tc>
        <w:tc>
          <w:tcPr>
            <w:tcW w:w="2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242,913</w:t>
            </w:r>
          </w:p>
        </w:tc>
        <w:tc>
          <w:tcPr>
            <w:tcW w:w="2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590,370</w:t>
            </w:r>
          </w:p>
        </w:tc>
        <w:tc>
          <w:tcPr>
            <w:tcW w:w="24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181,500</w:t>
            </w:r>
          </w:p>
        </w:tc>
        <w:tc>
          <w:tcPr>
            <w:tcW w:w="0" w:type="dxa"/>
            <w:vAlign w:val="bottom"/>
          </w:tcPr>
          <w:p>
            <w:pPr>
              <w:spacing w:after="0"/>
              <w:rPr>
                <w:sz w:val="1"/>
                <w:szCs w:val="1"/>
                <w:color w:val="auto"/>
              </w:rPr>
            </w:pPr>
          </w:p>
        </w:tc>
      </w:tr>
      <w:tr>
        <w:trPr>
          <w:trHeight w:val="17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Compensation and benefits: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Cash-based compensation</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43,881</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37,473</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86,552</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77,126</w:t>
            </w:r>
          </w:p>
        </w:tc>
        <w:tc>
          <w:tcPr>
            <w:tcW w:w="0" w:type="dxa"/>
            <w:vAlign w:val="bottom"/>
          </w:tcPr>
          <w:p>
            <w:pPr>
              <w:spacing w:after="0"/>
              <w:rPr>
                <w:sz w:val="1"/>
                <w:szCs w:val="1"/>
                <w:color w:val="auto"/>
              </w:rPr>
            </w:pPr>
          </w:p>
        </w:tc>
      </w:tr>
      <w:tr>
        <w:trPr>
          <w:trHeight w:val="186"/>
        </w:trPr>
        <w:tc>
          <w:tcPr>
            <w:tcW w:w="5520" w:type="dxa"/>
            <w:vAlign w:val="bottom"/>
          </w:tcPr>
          <w:p>
            <w:pPr>
              <w:ind w:left="400"/>
              <w:spacing w:after="0"/>
              <w:rPr>
                <w:sz w:val="20"/>
                <w:szCs w:val="20"/>
                <w:color w:val="auto"/>
              </w:rPr>
            </w:pPr>
            <w:r>
              <w:rPr>
                <w:rFonts w:ascii="Arial" w:cs="Arial" w:eastAsia="Arial" w:hAnsi="Arial"/>
                <w:sz w:val="14"/>
                <w:szCs w:val="14"/>
                <w:color w:val="auto"/>
              </w:rPr>
              <w:t>Equity-based compensation</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3,213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952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6,956</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1,435</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Performance fee-related compensation:</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780"/>
              <w:spacing w:after="0"/>
              <w:rPr>
                <w:sz w:val="20"/>
                <w:szCs w:val="20"/>
                <w:color w:val="auto"/>
              </w:rPr>
            </w:pPr>
            <w:r>
              <w:rPr>
                <w:rFonts w:ascii="Arial" w:cs="Arial" w:eastAsia="Arial" w:hAnsi="Arial"/>
                <w:sz w:val="14"/>
                <w:szCs w:val="14"/>
                <w:color w:val="auto"/>
              </w:rPr>
              <w:t>Realized</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26,781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4,811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52,089</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7,711</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780"/>
              <w:spacing w:after="0"/>
              <w:rPr>
                <w:sz w:val="20"/>
                <w:szCs w:val="20"/>
                <w:color w:val="auto"/>
              </w:rPr>
            </w:pPr>
            <w:r>
              <w:rPr>
                <w:rFonts w:ascii="Arial" w:cs="Arial" w:eastAsia="Arial" w:hAnsi="Arial"/>
                <w:sz w:val="14"/>
                <w:szCs w:val="14"/>
                <w:color w:val="auto"/>
              </w:rPr>
              <w:t>Unrealized</w:t>
            </w: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74,206</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78,533</w:t>
            </w:r>
          </w:p>
        </w:tc>
        <w:tc>
          <w:tcPr>
            <w:tcW w:w="2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159,778</w:t>
            </w:r>
          </w:p>
        </w:tc>
        <w:tc>
          <w:tcPr>
            <w:tcW w:w="2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9,858</w:t>
            </w:r>
          </w:p>
        </w:tc>
        <w:tc>
          <w:tcPr>
            <w:tcW w:w="0" w:type="dxa"/>
            <w:vAlign w:val="bottom"/>
          </w:tcPr>
          <w:p>
            <w:pPr>
              <w:spacing w:after="0"/>
              <w:rPr>
                <w:sz w:val="1"/>
                <w:szCs w:val="1"/>
                <w:color w:val="auto"/>
              </w:rPr>
            </w:pPr>
          </w:p>
        </w:tc>
      </w:tr>
      <w:tr>
        <w:trPr>
          <w:trHeight w:val="179"/>
        </w:trPr>
        <w:tc>
          <w:tcPr>
            <w:tcW w:w="5520" w:type="dxa"/>
            <w:vAlign w:val="bottom"/>
          </w:tcPr>
          <w:p>
            <w:pPr>
              <w:ind w:left="400"/>
              <w:spacing w:after="0"/>
              <w:rPr>
                <w:sz w:val="20"/>
                <w:szCs w:val="20"/>
                <w:color w:val="auto"/>
              </w:rPr>
            </w:pPr>
            <w:r>
              <w:rPr>
                <w:rFonts w:ascii="Arial" w:cs="Arial" w:eastAsia="Arial" w:hAnsi="Arial"/>
                <w:sz w:val="14"/>
                <w:szCs w:val="14"/>
                <w:color w:val="auto"/>
              </w:rPr>
              <w:t>Total performance fee-related compensation</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100,987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83,344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211,867</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17,569</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400"/>
              <w:spacing w:after="0" w:line="193" w:lineRule="exact"/>
              <w:rPr>
                <w:sz w:val="20"/>
                <w:szCs w:val="20"/>
                <w:color w:val="auto"/>
              </w:rPr>
            </w:pPr>
            <w:r>
              <w:rPr>
                <w:rFonts w:ascii="Arial" w:cs="Arial" w:eastAsia="Arial" w:hAnsi="Arial"/>
                <w:sz w:val="14"/>
                <w:szCs w:val="14"/>
                <w:color w:val="auto"/>
              </w:rPr>
              <w:t>Legacy Greenspring performance fee-related compensation</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5520" w:type="dxa"/>
            <w:vAlign w:val="bottom"/>
          </w:tcPr>
          <w:p>
            <w:pPr>
              <w:ind w:left="20"/>
              <w:spacing w:after="0"/>
              <w:rPr>
                <w:sz w:val="20"/>
                <w:szCs w:val="20"/>
                <w:color w:val="auto"/>
              </w:rPr>
            </w:pPr>
            <w:r>
              <w:rPr>
                <w:rFonts w:ascii="Arial" w:cs="Arial" w:eastAsia="Arial" w:hAnsi="Arial"/>
                <w:sz w:val="14"/>
                <w:szCs w:val="14"/>
                <w:color w:val="auto"/>
              </w:rPr>
              <w:t>Total compensation and benefits</w:t>
            </w: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148,081</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121,769</w:t>
            </w: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305,375</w:t>
            </w:r>
          </w:p>
        </w:tc>
        <w:tc>
          <w:tcPr>
            <w:tcW w:w="2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96,130</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w:t>
            </w: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25,320</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11,356</w:t>
            </w:r>
          </w:p>
        </w:tc>
        <w:tc>
          <w:tcPr>
            <w:tcW w:w="2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41,750</w:t>
            </w:r>
          </w:p>
        </w:tc>
        <w:tc>
          <w:tcPr>
            <w:tcW w:w="2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21,863</w:t>
            </w:r>
          </w:p>
        </w:tc>
        <w:tc>
          <w:tcPr>
            <w:tcW w:w="0" w:type="dxa"/>
            <w:vAlign w:val="bottom"/>
          </w:tcPr>
          <w:p>
            <w:pPr>
              <w:spacing w:after="0"/>
              <w:rPr>
                <w:sz w:val="1"/>
                <w:szCs w:val="1"/>
                <w:color w:val="auto"/>
              </w:rPr>
            </w:pPr>
          </w:p>
        </w:tc>
      </w:tr>
      <w:tr>
        <w:trPr>
          <w:trHeight w:val="179"/>
        </w:trPr>
        <w:tc>
          <w:tcPr>
            <w:tcW w:w="552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Total expenses</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173,401</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133,125</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347,125</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117,993</w:t>
            </w:r>
          </w:p>
        </w:tc>
        <w:tc>
          <w:tcPr>
            <w:tcW w:w="0" w:type="dxa"/>
            <w:vAlign w:val="bottom"/>
          </w:tcPr>
          <w:p>
            <w:pPr>
              <w:spacing w:after="0"/>
              <w:rPr>
                <w:sz w:val="1"/>
                <w:szCs w:val="1"/>
                <w:color w:val="auto"/>
              </w:rPr>
            </w:pPr>
          </w:p>
        </w:tc>
      </w:tr>
      <w:tr>
        <w:trPr>
          <w:trHeight w:val="17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Investment income</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7,187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4,325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13,611</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1,147</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Legacy Greenspring investment income</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206</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286</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(5,270)</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(7,327)</w:t>
            </w:r>
          </w:p>
        </w:tc>
        <w:tc>
          <w:tcPr>
            <w:tcW w:w="0" w:type="dxa"/>
            <w:vAlign w:val="bottom"/>
          </w:tcPr>
          <w:p>
            <w:pPr>
              <w:spacing w:after="0"/>
              <w:rPr>
                <w:sz w:val="1"/>
                <w:szCs w:val="1"/>
                <w:color w:val="auto"/>
              </w:rPr>
            </w:pPr>
          </w:p>
        </w:tc>
      </w:tr>
      <w:tr>
        <w:trPr>
          <w:trHeight w:val="186"/>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(1,952)</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242</w:t>
            </w: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(2,389)</w:t>
            </w: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86"/>
        </w:trPr>
        <w:tc>
          <w:tcPr>
            <w:tcW w:w="55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Total other income (expense)</w:t>
            </w: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5,353</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2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11,414</w:t>
            </w:r>
          </w:p>
        </w:tc>
        <w:tc>
          <w:tcPr>
            <w:tcW w:w="2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(5,459)</w:t>
            </w:r>
          </w:p>
        </w:tc>
        <w:tc>
          <w:tcPr>
            <w:tcW w:w="0" w:type="dxa"/>
            <w:vAlign w:val="bottom"/>
          </w:tcPr>
          <w:p>
            <w:pPr>
              <w:spacing w:after="0"/>
              <w:rPr>
                <w:sz w:val="1"/>
                <w:szCs w:val="1"/>
                <w:color w:val="auto"/>
              </w:rPr>
            </w:pPr>
          </w:p>
        </w:tc>
      </w:tr>
      <w:tr>
        <w:trPr>
          <w:trHeight w:val="179"/>
        </w:trPr>
        <w:tc>
          <w:tcPr>
            <w:tcW w:w="5520" w:type="dxa"/>
            <w:vAlign w:val="bottom"/>
          </w:tcPr>
          <w:p>
            <w:pPr>
              <w:ind w:left="20"/>
              <w:spacing w:after="0"/>
              <w:rPr>
                <w:sz w:val="20"/>
                <w:szCs w:val="20"/>
                <w:color w:val="auto"/>
              </w:rPr>
            </w:pPr>
            <w:r>
              <w:rPr>
                <w:rFonts w:ascii="Arial" w:cs="Arial" w:eastAsia="Arial" w:hAnsi="Arial"/>
                <w:sz w:val="14"/>
                <w:szCs w:val="14"/>
                <w:color w:val="auto"/>
              </w:rPr>
              <w:t>Income before income tax</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113,717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109,250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254,659</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58,048</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(14,145)</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881</w:t>
            </w:r>
          </w:p>
        </w:tc>
        <w:tc>
          <w:tcPr>
            <w:tcW w:w="2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2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179"/>
        </w:trPr>
        <w:tc>
          <w:tcPr>
            <w:tcW w:w="55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127,862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108,369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254,381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56,009</w:t>
            </w:r>
          </w:p>
        </w:tc>
        <w:tc>
          <w:tcPr>
            <w:tcW w:w="0" w:type="dxa"/>
            <w:vAlign w:val="bottom"/>
          </w:tcPr>
          <w:p>
            <w:pPr>
              <w:spacing w:after="0"/>
              <w:rPr>
                <w:sz w:val="1"/>
                <w:szCs w:val="1"/>
                <w:color w:val="auto"/>
              </w:rPr>
            </w:pPr>
          </w:p>
        </w:tc>
      </w:tr>
      <w:tr>
        <w:trPr>
          <w:trHeight w:val="192"/>
        </w:trPr>
        <w:tc>
          <w:tcPr>
            <w:tcW w:w="55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Less: Net income attributable to non-controlling interests in subsidiaries</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6,032</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9,045</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11,646</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13,138</w:t>
            </w:r>
          </w:p>
        </w:tc>
        <w:tc>
          <w:tcPr>
            <w:tcW w:w="0" w:type="dxa"/>
            <w:vAlign w:val="bottom"/>
          </w:tcPr>
          <w:p>
            <w:pPr>
              <w:spacing w:after="0"/>
              <w:rPr>
                <w:sz w:val="1"/>
                <w:szCs w:val="1"/>
                <w:color w:val="auto"/>
              </w:rPr>
            </w:pPr>
          </w:p>
        </w:tc>
      </w:tr>
      <w:tr>
        <w:trPr>
          <w:trHeight w:val="135"/>
        </w:trPr>
        <w:tc>
          <w:tcPr>
            <w:tcW w:w="5520" w:type="dxa"/>
            <w:vAlign w:val="bottom"/>
          </w:tcPr>
          <w:p>
            <w:pPr>
              <w:ind w:left="400"/>
              <w:spacing w:after="0" w:line="135" w:lineRule="exact"/>
              <w:rPr>
                <w:sz w:val="20"/>
                <w:szCs w:val="20"/>
                <w:color w:val="auto"/>
              </w:rPr>
            </w:pPr>
            <w:r>
              <w:rPr>
                <w:rFonts w:ascii="Arial" w:cs="Arial" w:eastAsia="Arial" w:hAnsi="Arial"/>
                <w:sz w:val="14"/>
                <w:szCs w:val="14"/>
                <w:color w:val="auto"/>
              </w:rPr>
              <w:t>Less: Net income attributable to non-controlling interests in legacy Greenspring</w:t>
            </w:r>
          </w:p>
        </w:tc>
        <w:tc>
          <w:tcPr>
            <w:tcW w:w="200" w:type="dxa"/>
            <w:vAlign w:val="bottom"/>
          </w:tcPr>
          <w:p>
            <w:pPr>
              <w:spacing w:after="0"/>
              <w:rPr>
                <w:sz w:val="11"/>
                <w:szCs w:val="11"/>
                <w:color w:val="auto"/>
              </w:rPr>
            </w:pPr>
          </w:p>
        </w:tc>
        <w:tc>
          <w:tcPr>
            <w:tcW w:w="134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24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26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20" w:type="dxa"/>
            <w:vAlign w:val="bottom"/>
          </w:tcPr>
          <w:p>
            <w:pPr>
              <w:ind w:left="780"/>
              <w:spacing w:after="0" w:line="189" w:lineRule="exact"/>
              <w:rPr>
                <w:sz w:val="20"/>
                <w:szCs w:val="20"/>
                <w:color w:val="auto"/>
              </w:rPr>
            </w:pPr>
            <w:r>
              <w:rPr>
                <w:rFonts w:ascii="Arial" w:cs="Arial" w:eastAsia="Arial" w:hAnsi="Arial"/>
                <w:sz w:val="14"/>
                <w:szCs w:val="14"/>
                <w:color w:val="auto"/>
              </w:rPr>
              <w:t>entities</w:t>
            </w:r>
            <w:r>
              <w:rPr>
                <w:rFonts w:ascii="Arial" w:cs="Arial" w:eastAsia="Arial" w:hAnsi="Arial"/>
                <w:sz w:val="18"/>
                <w:szCs w:val="18"/>
                <w:color w:val="auto"/>
                <w:vertAlign w:val="superscript"/>
              </w:rPr>
              <w:t>(1)</w:t>
            </w:r>
          </w:p>
        </w:tc>
        <w:tc>
          <w:tcPr>
            <w:tcW w:w="2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Less: Net income attributable to non-controlling interests in the Partnership</w:t>
            </w: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59,756</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100,114</w:t>
            </w:r>
          </w:p>
        </w:tc>
        <w:tc>
          <w:tcPr>
            <w:tcW w:w="2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139,011</w:t>
            </w:r>
          </w:p>
        </w:tc>
        <w:tc>
          <w:tcPr>
            <w:tcW w:w="2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43,661</w:t>
            </w: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Net income (loss) attributable to StepStone Group Inc.</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62,074</w:t>
            </w:r>
          </w:p>
        </w:tc>
        <w:tc>
          <w:tcPr>
            <w:tcW w:w="24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(790)</w:t>
            </w:r>
          </w:p>
        </w:tc>
        <w:tc>
          <w:tcPr>
            <w:tcW w:w="24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103,724</w:t>
            </w:r>
          </w:p>
        </w:tc>
        <w:tc>
          <w:tcPr>
            <w:tcW w:w="24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1" w:lineRule="exact"/>
        <w:rPr>
          <w:sz w:val="20"/>
          <w:szCs w:val="20"/>
          <w:color w:val="auto"/>
        </w:rPr>
      </w:pPr>
    </w:p>
    <w:p>
      <w:pPr>
        <w:ind w:left="660" w:right="180" w:hanging="652"/>
        <w:spacing w:after="0" w:line="255" w:lineRule="auto"/>
        <w:tabs>
          <w:tab w:leader="none" w:pos="652"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Reflects the net effect of gross realized gains and the reversal of such amounts in unrealized gains. See notes 3, 5 and 14 to our condensed consolidated financial statements included elsewhere in this quarterly report.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September 30, 2021 Compared to Three Months Ended September 30, 2020</w:t>
      </w:r>
    </w:p>
    <w:p>
      <w:pPr>
        <w:spacing w:after="0" w:line="216" w:lineRule="exact"/>
        <w:rPr>
          <w:sz w:val="20"/>
          <w:szCs w:val="20"/>
          <w:color w:val="auto"/>
        </w:rPr>
      </w:pPr>
    </w:p>
    <w:p>
      <w:pPr>
        <w:ind w:firstLine="648"/>
        <w:spacing w:after="0" w:line="385" w:lineRule="auto"/>
        <w:rPr>
          <w:sz w:val="20"/>
          <w:szCs w:val="20"/>
          <w:color w:val="auto"/>
        </w:rPr>
      </w:pPr>
      <w:r>
        <w:rPr>
          <w:rFonts w:ascii="Arial" w:cs="Arial" w:eastAsia="Arial" w:hAnsi="Arial"/>
          <w:sz w:val="16"/>
          <w:szCs w:val="16"/>
          <w:color w:val="auto"/>
        </w:rPr>
        <w:t>Total revenues increased $38.9 million, or 16%, to $281.8 million for the three months ended September 30, 2021 as compared to the three months ended September 30, 2020, due to higher carried interest allocations, net management and advisory fees and incentive fees.</w:t>
      </w:r>
    </w:p>
    <w:p>
      <w:pPr>
        <w:spacing w:after="0" w:line="85"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Net management and advisory fees increased $7.9 million, or 10%, to $83.6 million for the three months ended September 30, 2021 as compared to the three months ended September 30, 2020. The increase was driven by new client activity and a 50% growth in FEAUM (or 25% excluding the impact of Greenspring) across the platform, as well as retroactive fees of $2.3 million from interim closings for StepStone Tactical Growth Fund III (“STGF III”) (final close occurred after quarter end). The prior year period included $9.0 million of retroactive fees from the final closing of StepStone Real Estate Partners IV (“SREP IV”). For new investors, fees relating to periods prior to the closing date are considered retroactive.</w:t>
      </w:r>
    </w:p>
    <w:p>
      <w:pPr>
        <w:spacing w:after="0" w:line="196"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Incentive fees increased $0.6 million, or 50%, to $1.8 million for the three months ended September 30, 2021 as compared to the three months ended September 30, 2020.</w:t>
      </w:r>
    </w:p>
    <w:p>
      <w:pPr>
        <w:spacing w:after="0" w:line="177" w:lineRule="exact"/>
        <w:rPr>
          <w:sz w:val="20"/>
          <w:szCs w:val="20"/>
          <w:color w:val="auto"/>
        </w:rPr>
      </w:pPr>
    </w:p>
    <w:p>
      <w:pPr>
        <w:ind w:right="240" w:firstLine="648"/>
        <w:spacing w:after="0" w:line="257" w:lineRule="auto"/>
        <w:rPr>
          <w:sz w:val="20"/>
          <w:szCs w:val="20"/>
          <w:color w:val="auto"/>
        </w:rPr>
      </w:pPr>
      <w:r>
        <w:rPr>
          <w:rFonts w:ascii="Arial" w:cs="Arial" w:eastAsia="Arial" w:hAnsi="Arial"/>
          <w:sz w:val="19"/>
          <w:szCs w:val="19"/>
          <w:color w:val="auto"/>
        </w:rPr>
        <w:t>Realized carried interest allocation revenues increased $44.0 million, or 514%, to $52.5 million for the three months ended September 30, 2021 as compared to the three months ended September 30, 2020, reflecting higher realization activity within our private equity funds. Unrealized carried interest allocation revenues include the reversal of realized carried interest allocation revenues. Excluding the reversal, unrealized carried interest allocation revenues increased $30.3 million, or 18%, to $196.4 million for the three months ended September 30, 2021 as compared to the three months ended September 30, 2020. The increase in unrealized carried interest allocations for the three months ended September 30, 2021 primarily reflected a larger increase in the cumulative allocation of gains associated with the underlying portfolios within our private equity funds.</w:t>
      </w:r>
    </w:p>
    <w:p>
      <w:pPr>
        <w:spacing w:after="0" w:line="185" w:lineRule="exact"/>
        <w:rPr>
          <w:sz w:val="20"/>
          <w:szCs w:val="20"/>
          <w:color w:val="auto"/>
        </w:rPr>
      </w:pPr>
    </w:p>
    <w:p>
      <w:pPr>
        <w:jc w:val="both"/>
        <w:ind w:right="120" w:firstLine="648"/>
        <w:spacing w:after="0" w:line="250" w:lineRule="auto"/>
        <w:rPr>
          <w:sz w:val="20"/>
          <w:szCs w:val="20"/>
          <w:color w:val="auto"/>
        </w:rPr>
      </w:pPr>
      <w:r>
        <w:rPr>
          <w:rFonts w:ascii="Arial" w:cs="Arial" w:eastAsia="Arial" w:hAnsi="Arial"/>
          <w:sz w:val="20"/>
          <w:szCs w:val="20"/>
          <w:color w:val="auto"/>
        </w:rPr>
        <w:t>Legacy Greenspring carried interest allocation revenues of $0 million for the three months ended September 30, 2021 reflect the net effect of gross realized carried interest allocations of $3.0 million and the reversal of such amounts in unrealized carried interest allocations for the period from September 20, 2021 to September 30, 2021.</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2021 Compared to Six Months Ended September 30, 2020</w:t>
      </w:r>
    </w:p>
    <w:p>
      <w:pPr>
        <w:spacing w:after="0" w:line="216" w:lineRule="exact"/>
        <w:rPr>
          <w:sz w:val="20"/>
          <w:szCs w:val="20"/>
          <w:color w:val="auto"/>
        </w:rPr>
      </w:pPr>
    </w:p>
    <w:p>
      <w:pPr>
        <w:jc w:val="both"/>
        <w:ind w:right="260" w:firstLine="648"/>
        <w:spacing w:after="0" w:line="385" w:lineRule="auto"/>
        <w:rPr>
          <w:sz w:val="20"/>
          <w:szCs w:val="20"/>
          <w:color w:val="auto"/>
        </w:rPr>
      </w:pPr>
      <w:r>
        <w:rPr>
          <w:rFonts w:ascii="Arial" w:cs="Arial" w:eastAsia="Arial" w:hAnsi="Arial"/>
          <w:sz w:val="16"/>
          <w:szCs w:val="16"/>
          <w:color w:val="auto"/>
        </w:rPr>
        <w:t>Total revenues increased $408.9 million, or 225%, to $590.4 million for the six months ended September 30, 2021 as compared to the six months ended September 30, 2020, due to higher carried interest allocations, net management and advisory fees and incentive fees.</w:t>
      </w:r>
    </w:p>
    <w:p>
      <w:pPr>
        <w:spacing w:after="0" w:line="85"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19"/>
          <w:szCs w:val="19"/>
          <w:color w:val="auto"/>
        </w:rPr>
        <w:t>Net management and advisory fees increased $22.5 million, or 16%, to $161.6 million for the six months ended September 30, 2021 as compared to the six months ended September 30, 2020. The increase was driven by new client activity and a 50% growth in FEAUM (or 25% excluding the impact of Greenspring) across the platform, as well as retroactive fees of $2.3 million from interim closings for STGF III (final close occurred after quarter end). The prior year period included $9.0 million of retroactive fees from the final closing of SREP IV. For new investors, fees relating to periods prior to the closing date are considered retroactive.</w:t>
      </w:r>
    </w:p>
    <w:p>
      <w:pPr>
        <w:spacing w:after="0" w:line="180" w:lineRule="exact"/>
        <w:rPr>
          <w:sz w:val="20"/>
          <w:szCs w:val="20"/>
          <w:color w:val="auto"/>
        </w:rPr>
      </w:pPr>
    </w:p>
    <w:p>
      <w:pPr>
        <w:ind w:right="240" w:firstLine="648"/>
        <w:spacing w:after="0" w:line="260" w:lineRule="auto"/>
        <w:rPr>
          <w:sz w:val="20"/>
          <w:szCs w:val="20"/>
          <w:color w:val="auto"/>
        </w:rPr>
      </w:pPr>
      <w:r>
        <w:rPr>
          <w:rFonts w:ascii="Arial" w:cs="Arial" w:eastAsia="Arial" w:hAnsi="Arial"/>
          <w:sz w:val="20"/>
          <w:szCs w:val="20"/>
          <w:color w:val="auto"/>
        </w:rPr>
        <w:t>Incentive fees increased $1.2 million, or 25%, to $6.0 million for the six months ended September 30, 2021 as compared to the six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141"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Realized carried interest allocation revenues increased $90.3 million, or 741%, to $102.5 million for the six months ended September 30, 2021 as compared to the six months ended September 30, 2020, reflecting higher realization activity within our private equity funds. Unrealized carried interest allocation revenues include the reversal of realized carried interest allocation revenues. Excluding the reversal, unrealized carried interest allocation revenues increased $385.2 million to $422.7 million for the six months ended September 30, 2021 as compared to the six months ended September 30, 2020. The increase in unrealized carried interest allocations for the six months ended September 30, 2021 primarily reflected a larger increase in the cumulative allocation of gains associated with the underlying portfolios within our private equity funds.</w:t>
      </w:r>
    </w:p>
    <w:p>
      <w:pPr>
        <w:spacing w:after="0" w:line="193" w:lineRule="exact"/>
        <w:rPr>
          <w:sz w:val="20"/>
          <w:szCs w:val="20"/>
          <w:color w:val="auto"/>
        </w:rPr>
      </w:pPr>
    </w:p>
    <w:p>
      <w:pPr>
        <w:ind w:right="20" w:firstLine="648"/>
        <w:spacing w:after="0" w:line="263" w:lineRule="auto"/>
        <w:rPr>
          <w:sz w:val="20"/>
          <w:szCs w:val="20"/>
          <w:color w:val="auto"/>
        </w:rPr>
      </w:pPr>
      <w:r>
        <w:rPr>
          <w:rFonts w:ascii="Arial" w:cs="Arial" w:eastAsia="Arial" w:hAnsi="Arial"/>
          <w:sz w:val="19"/>
          <w:szCs w:val="19"/>
          <w:color w:val="auto"/>
        </w:rPr>
        <w:t>For fiscal 2021, our investments in StepStone Funds and accrued carried interest allocations initially experienced a decline during the first three months, primarily reflecting the unrealized depreciation in the fair value of certain underlying fund investments driven by the impact of COVID-19, and have subsequently seen a significant increase, primarily reflecting the unrealized appreciation in the fair value of certain underlying fund investments primarily driven by the continued recovery in global financial markets.</w:t>
      </w:r>
    </w:p>
    <w:p>
      <w:pPr>
        <w:spacing w:after="0" w:line="176" w:lineRule="exact"/>
        <w:rPr>
          <w:sz w:val="20"/>
          <w:szCs w:val="20"/>
          <w:color w:val="auto"/>
        </w:rPr>
      </w:pPr>
    </w:p>
    <w:p>
      <w:pPr>
        <w:jc w:val="both"/>
        <w:ind w:right="200" w:firstLine="648"/>
        <w:spacing w:after="0" w:line="250" w:lineRule="auto"/>
        <w:rPr>
          <w:sz w:val="20"/>
          <w:szCs w:val="20"/>
          <w:color w:val="auto"/>
        </w:rPr>
      </w:pPr>
      <w:r>
        <w:rPr>
          <w:rFonts w:ascii="Arial" w:cs="Arial" w:eastAsia="Arial" w:hAnsi="Arial"/>
          <w:sz w:val="20"/>
          <w:szCs w:val="20"/>
          <w:color w:val="auto"/>
        </w:rPr>
        <w:t>Legacy Greenspring carried interest allocation revenues of $0 million for the six months ended September 30, 2021 reflect the net effect of gross realized carried interest allocations of $3.0 million and the reversal of such amounts in unrealized carried interest allocations for the period from September 20, 2021 to September 30, 2021.</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Expenses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September 30, 2021 Compared to Three Months Ended September 30, 2020</w:t>
      </w:r>
    </w:p>
    <w:p>
      <w:pPr>
        <w:spacing w:after="0" w:line="216"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Total expenses increased $40.3 million, or 30%, to $173.4 million for the three months ended September 30, 2021 as compared to the three months ended September 30, 2020, reflecting increases in performance fee-related compensation, equity-based compensation, cash-based compensation and general, administrative and other expenses.</w:t>
      </w:r>
    </w:p>
    <w:p>
      <w:pPr>
        <w:spacing w:after="0" w:line="186" w:lineRule="exact"/>
        <w:rPr>
          <w:sz w:val="20"/>
          <w:szCs w:val="20"/>
          <w:color w:val="auto"/>
        </w:rPr>
      </w:pPr>
    </w:p>
    <w:p>
      <w:pPr>
        <w:jc w:val="both"/>
        <w:ind w:right="640" w:firstLine="648"/>
        <w:spacing w:after="0" w:line="291" w:lineRule="auto"/>
        <w:rPr>
          <w:sz w:val="20"/>
          <w:szCs w:val="20"/>
          <w:color w:val="auto"/>
        </w:rPr>
      </w:pPr>
      <w:r>
        <w:rPr>
          <w:rFonts w:ascii="Arial" w:cs="Arial" w:eastAsia="Arial" w:hAnsi="Arial"/>
          <w:sz w:val="18"/>
          <w:szCs w:val="18"/>
          <w:color w:val="auto"/>
        </w:rPr>
        <w:t>Cash-based compensation increased $6.4 million, or 17%, to $43.9 million for the three months ended September 30, 2021 as compared to the three months ended September 30, 2020, due to increased staffing and compensation levels. Our full-time headcount increased 32% (or 10% excluding the impact of Greenspring) from September 30, 2020 to September 30, 2021.</w:t>
      </w:r>
    </w:p>
    <w:p>
      <w:pPr>
        <w:spacing w:after="0" w:line="152"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auto"/>
        </w:rPr>
        <w:t>Equity-based compensation increased $2.3 million, or 238%, to $3.2 million for the three months ended September 30, 2021 as compared to the three months ended September 30, 2020. The increase was attributable to the grant of restricted stock units (“RSUs”) made to certain employees and directors in connection with our IPO in September 2020. As such grants were not outstanding for the period prior to the Reorganization and IPO, this resulted in lower expense in the prior year period.</w:t>
      </w:r>
    </w:p>
    <w:p>
      <w:pPr>
        <w:spacing w:after="0" w:line="191"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Performance fee-related compensation expense increased $17.6 million, or 21%, to $101.0 million for the three months ended September 30, 2021 as compared to the three months ended September 30, 2020, primarily reflecting the increase in carried interest allocation revenue. Realized performance fee-related compensation increased $22.0 million, or 457%, to $26.8 million for the three months ended September 30, 2021 as compared to the three months ended September 30, 2020, primarily reflecting higher realization activity.</w:t>
      </w:r>
    </w:p>
    <w:p>
      <w:pPr>
        <w:spacing w:after="0" w:line="161" w:lineRule="exact"/>
        <w:rPr>
          <w:sz w:val="20"/>
          <w:szCs w:val="20"/>
          <w:color w:val="auto"/>
        </w:rPr>
      </w:pPr>
    </w:p>
    <w:p>
      <w:pPr>
        <w:jc w:val="both"/>
        <w:ind w:right="300" w:firstLine="648"/>
        <w:spacing w:after="0" w:line="291" w:lineRule="auto"/>
        <w:rPr>
          <w:sz w:val="20"/>
          <w:szCs w:val="20"/>
          <w:color w:val="auto"/>
        </w:rPr>
      </w:pPr>
      <w:r>
        <w:rPr>
          <w:rFonts w:ascii="Arial" w:cs="Arial" w:eastAsia="Arial" w:hAnsi="Arial"/>
          <w:sz w:val="18"/>
          <w:szCs w:val="18"/>
          <w:color w:val="auto"/>
        </w:rPr>
        <w:t>Legacy Greenspring performance fee-related compensation expense of $0 million for the three months ended September 30, 2021 reflects the net effect of gross realized performance fee-related compensation expense of $3.0 million and the reversal of such amounts in unrealized performance fee-related compensation expense for the period from September 20, 2021 to September 30, 2021.</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1"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General, administrative and other expenses increased $14.0 million, or 123%, to $25.3 million for the three months ended September 30, 2021 as compared to the three months ended September 30, 2020. The increase primarily reflected $10.3 million in transaction costs, $1.3 million in insurance costs, $1.0 million in professional fees, $1.0 million in amortization expense for intangibles and other general operating expenses. We anticipate travel and other expenses will continue to increase up to prior levels as the COVID-19 situation improves, and that costs associated with being a public company will continue to be reflected in our expenses going forward.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2021 Compared to Six Months Ended September 30, 2020</w:t>
      </w:r>
    </w:p>
    <w:p>
      <w:pPr>
        <w:spacing w:after="0" w:line="216" w:lineRule="exact"/>
        <w:rPr>
          <w:sz w:val="20"/>
          <w:szCs w:val="20"/>
          <w:color w:val="auto"/>
        </w:rPr>
      </w:pPr>
    </w:p>
    <w:p>
      <w:pPr>
        <w:jc w:val="both"/>
        <w:ind w:right="220" w:firstLine="648"/>
        <w:spacing w:after="0" w:line="250" w:lineRule="auto"/>
        <w:rPr>
          <w:sz w:val="20"/>
          <w:szCs w:val="20"/>
          <w:color w:val="auto"/>
        </w:rPr>
      </w:pPr>
      <w:r>
        <w:rPr>
          <w:rFonts w:ascii="Arial" w:cs="Arial" w:eastAsia="Arial" w:hAnsi="Arial"/>
          <w:sz w:val="20"/>
          <w:szCs w:val="20"/>
          <w:color w:val="auto"/>
        </w:rPr>
        <w:t>Total expenses increased $229.1 million, or 194%, to $347.1 million for the six months ended September 30, 2021 as compared to the six months ended September 30, 2020, reflecting increases in performance fee-related compensation, equity-based compensation, cash-based compensation and general, administrative and other expenses.</w:t>
      </w:r>
    </w:p>
    <w:p>
      <w:pPr>
        <w:spacing w:after="0" w:line="186" w:lineRule="exact"/>
        <w:rPr>
          <w:sz w:val="20"/>
          <w:szCs w:val="20"/>
          <w:color w:val="auto"/>
        </w:rPr>
      </w:pPr>
    </w:p>
    <w:p>
      <w:pPr>
        <w:ind w:right="40" w:firstLine="648"/>
        <w:spacing w:after="0" w:line="269" w:lineRule="auto"/>
        <w:rPr>
          <w:sz w:val="20"/>
          <w:szCs w:val="20"/>
          <w:color w:val="auto"/>
        </w:rPr>
      </w:pPr>
      <w:r>
        <w:rPr>
          <w:rFonts w:ascii="Arial" w:cs="Arial" w:eastAsia="Arial" w:hAnsi="Arial"/>
          <w:sz w:val="19"/>
          <w:szCs w:val="19"/>
          <w:color w:val="auto"/>
        </w:rPr>
        <w:t>Cash-based compensation increased $9.4 million, or 12%, to $86.6 million for the six months ended September 30, 2021 as compared to the six months ended September 30, 2020, due to increased staffing and compensation levels. Our full-time headcount increased 32% (or 10% excluding the impact of Greenspring) from September 30, 2020 to September 30, 2021.</w:t>
      </w:r>
    </w:p>
    <w:p>
      <w:pPr>
        <w:spacing w:after="0" w:line="170" w:lineRule="exact"/>
        <w:rPr>
          <w:sz w:val="20"/>
          <w:szCs w:val="20"/>
          <w:color w:val="auto"/>
        </w:rPr>
      </w:pPr>
    </w:p>
    <w:p>
      <w:pPr>
        <w:ind w:right="180" w:firstLine="648"/>
        <w:spacing w:after="0" w:line="246" w:lineRule="auto"/>
        <w:rPr>
          <w:sz w:val="20"/>
          <w:szCs w:val="20"/>
          <w:color w:val="auto"/>
        </w:rPr>
      </w:pPr>
      <w:r>
        <w:rPr>
          <w:rFonts w:ascii="Arial" w:cs="Arial" w:eastAsia="Arial" w:hAnsi="Arial"/>
          <w:sz w:val="20"/>
          <w:szCs w:val="20"/>
          <w:color w:val="auto"/>
        </w:rPr>
        <w:t>Equity-based compensation increased $5.5 million, or 385%, to $7.0 million for the six months ended September 30, 2021 as compared to the six months ended September 30, 2020. The increase was attributable to the grant of RSUs made to certain employees and directors in connection with our IPO in September 2020. As such grants were not outstanding for the period prior to the Reorganization and IPO, this resulted in lower expense in the prior year period.</w:t>
      </w:r>
    </w:p>
    <w:p>
      <w:pPr>
        <w:spacing w:after="0" w:line="191"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Performance fee-related compensation expense increased $194.3 million to $211.9 million for the six months ended September 30, 2021 as compared to the six months ended September 30, 2020, primarily reflecting the increase in carried interest allocation revenue. Realized performance fee-related compensation increased $44.4 million, or 576%, to $52.1 million for the six months ended September 30, 2021 as compared to the six months ended September 30, 2020, primarily reflecting higher realization activity.</w:t>
      </w:r>
    </w:p>
    <w:p>
      <w:pPr>
        <w:spacing w:after="0" w:line="161" w:lineRule="exact"/>
        <w:rPr>
          <w:sz w:val="20"/>
          <w:szCs w:val="20"/>
          <w:color w:val="auto"/>
        </w:rPr>
      </w:pPr>
    </w:p>
    <w:p>
      <w:pPr>
        <w:ind w:right="360" w:firstLine="648"/>
        <w:spacing w:after="0" w:line="291" w:lineRule="auto"/>
        <w:rPr>
          <w:sz w:val="20"/>
          <w:szCs w:val="20"/>
          <w:color w:val="auto"/>
        </w:rPr>
      </w:pPr>
      <w:r>
        <w:rPr>
          <w:rFonts w:ascii="Arial" w:cs="Arial" w:eastAsia="Arial" w:hAnsi="Arial"/>
          <w:sz w:val="18"/>
          <w:szCs w:val="18"/>
          <w:color w:val="auto"/>
        </w:rPr>
        <w:t>Legacy Greenspring performance fee-related compensation expense of $0 million for the six months ended September 30, 2021 reflects the net effect of gross realized performance fee-related compensation expense of $3.0 million and the reversal of such amounts in unrealized performance fee-related compensation expense for the period from September 20, 2021 to September 30, 2021.</w:t>
      </w:r>
    </w:p>
    <w:p>
      <w:pPr>
        <w:spacing w:after="0" w:line="152" w:lineRule="exact"/>
        <w:rPr>
          <w:sz w:val="20"/>
          <w:szCs w:val="20"/>
          <w:color w:val="auto"/>
        </w:rPr>
      </w:pPr>
    </w:p>
    <w:p>
      <w:pPr>
        <w:ind w:right="20" w:firstLine="648"/>
        <w:spacing w:after="0" w:line="278" w:lineRule="auto"/>
        <w:rPr>
          <w:sz w:val="20"/>
          <w:szCs w:val="20"/>
          <w:color w:val="auto"/>
        </w:rPr>
      </w:pPr>
      <w:r>
        <w:rPr>
          <w:rFonts w:ascii="Arial" w:cs="Arial" w:eastAsia="Arial" w:hAnsi="Arial"/>
          <w:sz w:val="18"/>
          <w:szCs w:val="18"/>
          <w:color w:val="auto"/>
        </w:rPr>
        <w:t>General, administrative and other expenses increased $19.9 million, or 91%, to $41.8 million for the six months ended September 30, 2021 as compared to the six months ended September 30, 2020. The increase primarily reflected $13.8 million in transaction costs, $2.4 million in professional fees, $2.3 million in insurance costs, $0.8 million in amortization expense for intangibles and other general operating expenses. We anticipate travel and other expenses will continue to increase to prior levels as the COVID-19 situation improves, and that costs associated with being a public company will continue to be reflected in our expenses going forward.</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Other Income (Expense)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September 30, 2021 Compared to Three Months Ended September 30, 2020</w:t>
      </w:r>
    </w:p>
    <w:p>
      <w:pPr>
        <w:spacing w:after="0" w:line="216" w:lineRule="exact"/>
        <w:rPr>
          <w:sz w:val="20"/>
          <w:szCs w:val="20"/>
          <w:color w:val="auto"/>
        </w:rPr>
      </w:pPr>
    </w:p>
    <w:p>
      <w:pPr>
        <w:ind w:right="260" w:firstLine="648"/>
        <w:spacing w:after="0" w:line="250" w:lineRule="auto"/>
        <w:rPr>
          <w:sz w:val="20"/>
          <w:szCs w:val="20"/>
          <w:color w:val="auto"/>
        </w:rPr>
      </w:pPr>
      <w:r>
        <w:rPr>
          <w:rFonts w:ascii="Arial" w:cs="Arial" w:eastAsia="Arial" w:hAnsi="Arial"/>
          <w:sz w:val="20"/>
          <w:szCs w:val="20"/>
          <w:color w:val="auto"/>
        </w:rPr>
        <w:t>Investment income increased $2.9 million, or 66%, to $7.2 million for the three months ended September 30, 2021 as compared to the three months ended September 30, 2020, primarily reflecting overall changes in the valuations of the underlying investments in the StepStone Funds.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1" w:lineRule="exact"/>
        <w:rPr>
          <w:sz w:val="20"/>
          <w:szCs w:val="20"/>
          <w:color w:val="auto"/>
        </w:rPr>
      </w:pPr>
    </w:p>
    <w:p>
      <w:pPr>
        <w:jc w:val="both"/>
        <w:ind w:right="80" w:firstLine="648"/>
        <w:spacing w:after="0" w:line="250" w:lineRule="auto"/>
        <w:rPr>
          <w:sz w:val="20"/>
          <w:szCs w:val="20"/>
          <w:color w:val="auto"/>
        </w:rPr>
      </w:pPr>
      <w:r>
        <w:rPr>
          <w:rFonts w:ascii="Arial" w:cs="Arial" w:eastAsia="Arial" w:hAnsi="Arial"/>
          <w:sz w:val="20"/>
          <w:szCs w:val="20"/>
          <w:color w:val="auto"/>
        </w:rPr>
        <w:t>Legacy Greenspring investment income of $0 million for the three months ended September 30, 2021 reflects the net effect of gross realized investment income of $1.4 million and the reversal of such amounts in unrealized investment income for the period from September 20, 2021 to September 30, 2021.</w:t>
      </w:r>
    </w:p>
    <w:p>
      <w:pPr>
        <w:spacing w:after="0" w:line="186"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Interest income increased $41,000, or 25%, to $0.2 million for the three months ended September 30, 2021 as compared to the three months ended September 30, 2020.</w:t>
      </w:r>
    </w:p>
    <w:p>
      <w:pPr>
        <w:spacing w:after="0" w:line="177"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Interest expense decreased $5.2 million, or approximately 98%, to $0.1 million for the three months ended September 30, 2021 as compared to the three months ended September 30, 2020. The decrease was primarily due to the full repayment of our previously outstanding senior secured term loan in connection with the IPO in September 2020.</w:t>
      </w:r>
    </w:p>
    <w:p>
      <w:pPr>
        <w:spacing w:after="0" w:line="186" w:lineRule="exact"/>
        <w:rPr>
          <w:sz w:val="20"/>
          <w:szCs w:val="20"/>
          <w:color w:val="auto"/>
        </w:rPr>
      </w:pPr>
    </w:p>
    <w:p>
      <w:pPr>
        <w:jc w:val="both"/>
        <w:ind w:right="80" w:firstLine="648"/>
        <w:spacing w:after="0" w:line="250" w:lineRule="auto"/>
        <w:rPr>
          <w:sz w:val="20"/>
          <w:szCs w:val="20"/>
          <w:color w:val="auto"/>
        </w:rPr>
      </w:pPr>
      <w:r>
        <w:rPr>
          <w:rFonts w:ascii="Arial" w:cs="Arial" w:eastAsia="Arial" w:hAnsi="Arial"/>
          <w:sz w:val="20"/>
          <w:szCs w:val="20"/>
          <w:color w:val="auto"/>
        </w:rPr>
        <w:t>Other income (loss) decreased $2.2 million to a loss of $2.0 million for the three months ended September 30, 2021 as compared to the three months ended September 30, 2020, primarily reflecting net foreign currency transaction losses and losses related to adjustments for the Tax Receivable Agreements.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2021 Compared to Six Months Ended September 30, 2020</w:t>
      </w:r>
    </w:p>
    <w:p>
      <w:pPr>
        <w:spacing w:after="0" w:line="216" w:lineRule="exact"/>
        <w:rPr>
          <w:sz w:val="20"/>
          <w:szCs w:val="20"/>
          <w:color w:val="auto"/>
        </w:rPr>
      </w:pPr>
    </w:p>
    <w:p>
      <w:pPr>
        <w:jc w:val="both"/>
        <w:ind w:right="360" w:firstLine="648"/>
        <w:spacing w:after="0" w:line="250" w:lineRule="auto"/>
        <w:rPr>
          <w:sz w:val="20"/>
          <w:szCs w:val="20"/>
          <w:color w:val="auto"/>
        </w:rPr>
      </w:pPr>
      <w:r>
        <w:rPr>
          <w:rFonts w:ascii="Arial" w:cs="Arial" w:eastAsia="Arial" w:hAnsi="Arial"/>
          <w:sz w:val="20"/>
          <w:szCs w:val="20"/>
          <w:color w:val="auto"/>
        </w:rPr>
        <w:t>Investment income increased $12.5 million to $13.6 million for the six months ended September 30, 2021 as compared to the six months ended September 30, 2020, primarily reflecting overall changes in the valuations of the underlying investments in the StepStone Funds.</w:t>
      </w:r>
    </w:p>
    <w:p>
      <w:pPr>
        <w:spacing w:after="0" w:line="186"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Legacy Greenspring investment income of $0 million for the six months ended September 30, 2021 reflects the net effect of gross realized investment income of $1.4 million and the reversal of such amounts in unrealized investment income for the period from September 20, 2021 to September 30, 2021.</w:t>
      </w:r>
    </w:p>
    <w:p>
      <w:pPr>
        <w:spacing w:after="0" w:line="186" w:lineRule="exact"/>
        <w:rPr>
          <w:sz w:val="20"/>
          <w:szCs w:val="20"/>
          <w:color w:val="auto"/>
        </w:rPr>
      </w:pPr>
    </w:p>
    <w:p>
      <w:pPr>
        <w:ind w:right="440" w:firstLine="648"/>
        <w:spacing w:after="0" w:line="260" w:lineRule="auto"/>
        <w:rPr>
          <w:sz w:val="20"/>
          <w:szCs w:val="20"/>
          <w:color w:val="auto"/>
        </w:rPr>
      </w:pPr>
      <w:r>
        <w:rPr>
          <w:rFonts w:ascii="Arial" w:cs="Arial" w:eastAsia="Arial" w:hAnsi="Arial"/>
          <w:sz w:val="20"/>
          <w:szCs w:val="20"/>
          <w:color w:val="auto"/>
        </w:rPr>
        <w:t>Interest income increased $27,000, or 10%, to $0.3 million for the six months ended September 30, 2021 as compared to the six months ended September 30, 2020.</w:t>
      </w:r>
    </w:p>
    <w:p>
      <w:pPr>
        <w:spacing w:after="0" w:line="177" w:lineRule="exact"/>
        <w:rPr>
          <w:sz w:val="20"/>
          <w:szCs w:val="20"/>
          <w:color w:val="auto"/>
        </w:rPr>
      </w:pPr>
    </w:p>
    <w:p>
      <w:pPr>
        <w:ind w:right="160" w:firstLine="648"/>
        <w:spacing w:after="0" w:line="250" w:lineRule="auto"/>
        <w:rPr>
          <w:sz w:val="20"/>
          <w:szCs w:val="20"/>
          <w:color w:val="auto"/>
        </w:rPr>
      </w:pPr>
      <w:r>
        <w:rPr>
          <w:rFonts w:ascii="Arial" w:cs="Arial" w:eastAsia="Arial" w:hAnsi="Arial"/>
          <w:sz w:val="20"/>
          <w:szCs w:val="20"/>
          <w:color w:val="auto"/>
        </w:rPr>
        <w:t>Interest expense decreased $7.2 million, or approximately 99%, to $94,000 for the six months ended September 30, 2021 as compared to the six months ended September 30, 2020. The decrease was primarily due to the full repayment of our previously outstanding senior secured term loan in connection with the IPO in September 2020.</w:t>
      </w:r>
    </w:p>
    <w:p>
      <w:pPr>
        <w:spacing w:after="0" w:line="186" w:lineRule="exact"/>
        <w:rPr>
          <w:sz w:val="20"/>
          <w:szCs w:val="20"/>
          <w:color w:val="auto"/>
        </w:rPr>
      </w:pPr>
    </w:p>
    <w:p>
      <w:pPr>
        <w:ind w:right="40" w:firstLine="648"/>
        <w:spacing w:after="0" w:line="269" w:lineRule="auto"/>
        <w:rPr>
          <w:sz w:val="20"/>
          <w:szCs w:val="20"/>
          <w:color w:val="auto"/>
        </w:rPr>
      </w:pPr>
      <w:r>
        <w:rPr>
          <w:rFonts w:ascii="Arial" w:cs="Arial" w:eastAsia="Arial" w:hAnsi="Arial"/>
          <w:sz w:val="19"/>
          <w:szCs w:val="19"/>
          <w:color w:val="auto"/>
        </w:rPr>
        <w:t>Other income (loss) decreased $2.9 million to a loss of $2.4 million for the six months ended September 30, 2021 as compared to the six months ended September 30, 2020, primarily reflecting net foreign currency transaction losses, losses related to the write-off of certain property and equipment, and losses related to adjustments for the Tax Receivable Agreements.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 Expense</w:t>
      </w:r>
    </w:p>
    <w:p>
      <w:pPr>
        <w:spacing w:after="0" w:line="222"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Income tax expense primarily reflects U.S. federal and state income taxes on our share of taxable income generated by the Partnership, as well as local and foreign income taxes of certain of the Partnership’s subsidiaries. Prior to the Reorganization and IPO, income tax expense consisted of local income taxes and foreign income taxes for subsidiaries that have operations outside of the United States, as the Partnership is treated as a flow-through entity and is not subject to U.S. federal and state income taxes.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141"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Our effective income tax rate was (12.4)% and 0.8% for the three months ended September 30, 2021 and 2020, respectively, and 0.1% and 3.5% for the six months ended September 30, 2021 and 2020, respectively. Our effective tax rate is dependent on many factors, including the jurisdictional mix of income subject to tax. Consequently, the effective tax rate can vary from period to period. Our overall effective tax rate in each of the periods described above is less than the statutory rate primarily because a portion of income is allocated to non-controlling interests, as the tax liability on such income is borne by the holders of such non-controlling interests. Additionally, we recorded an income tax benefit of $25.3 million during the current period for the full release of the valuation allowance as a result of the Greenspring acquisition, resulting in a net benefit to our consolidated effective tax rate of 9.9% for the six months ended September 30, 2021. For the period prior to the Reorganization and IPO, we operated as a partnership for U.S. federal income tax purposes and were not subject to U.S. federal and state income taxes at the Partnership level.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September 30, 2021 Compared to Three Months Ended September 30, 2020</w:t>
      </w:r>
    </w:p>
    <w:p>
      <w:pPr>
        <w:spacing w:after="0" w:line="216"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Income tax expense decreased $15.0 million to a benefit of $14.1 million for the three months ended September 30, 2021 as compared to the three months ended September 30, 2020. The decrease was primarily related to the income tax benefit of $25.3 million recorded during the current period for the full release of the valuation allowance as a result of the Greenspring acquisition. There was no such similar income tax benefit recorded during the prior year comparative period related to the valuation allowance, resulting in a higher income tax expense reported for the three months ended September 30, 2020. Additionally, for the period prior to the Reorganization and IPO, we operated as a partnership for U.S. federal income tax purposes and were not subject to U.S. federal and state income taxes.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2021 Compared to Six Months Ended September 30, 2020</w:t>
      </w:r>
    </w:p>
    <w:p>
      <w:pPr>
        <w:spacing w:after="0" w:line="216" w:lineRule="exact"/>
        <w:rPr>
          <w:sz w:val="20"/>
          <w:szCs w:val="20"/>
          <w:color w:val="auto"/>
        </w:rPr>
      </w:pPr>
    </w:p>
    <w:p>
      <w:pPr>
        <w:ind w:right="40" w:firstLine="648"/>
        <w:spacing w:after="0" w:line="257" w:lineRule="auto"/>
        <w:rPr>
          <w:sz w:val="20"/>
          <w:szCs w:val="20"/>
          <w:color w:val="auto"/>
        </w:rPr>
      </w:pPr>
      <w:r>
        <w:rPr>
          <w:rFonts w:ascii="Arial" w:cs="Arial" w:eastAsia="Arial" w:hAnsi="Arial"/>
          <w:sz w:val="19"/>
          <w:szCs w:val="19"/>
          <w:color w:val="auto"/>
        </w:rPr>
        <w:t>Income tax expense decreased $1.8 million to $0.3 million for the six months ended September 30, 2021 as compared to the six months ended September 30, 2020. The decrease was primarily related to the income tax benefit of $25.3 million recorded during the six months ended September 30, 2021 for the release of the valuation allowance as a result of the Greenspring acquisition, largely offset by federal and state income taxes in the period. There was no such comparable income tax benefit recorded during the six months ended September 30, 2020 related to the valuation allowance, resulting in higher income tax expense reported in the prior year period. Additionally, for the period prior to the Reorganization and IPO, we operated as a partnership for U.S. federal income tax purposes and were not subject to U.S. federal and state income taxes at the Partnership level.</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Attributable to Non-Controlling Interests in Subsidiaries</w:t>
      </w:r>
    </w:p>
    <w:p>
      <w:pPr>
        <w:spacing w:after="0" w:line="22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Net income attributable to non-controlling interests in subsidiaries decreased $3.0 million, or 33%, to $6.0 million for the three months ended September 30, 2021 as compared to the three months ended September 30, 2020. The decrease was primarily attributable to a decrease in income generated by our consolidated subsidiaries not wholly-owned by us.</w:t>
      </w:r>
    </w:p>
    <w:p>
      <w:pPr>
        <w:spacing w:after="0" w:line="186" w:lineRule="exact"/>
        <w:rPr>
          <w:sz w:val="20"/>
          <w:szCs w:val="20"/>
          <w:color w:val="auto"/>
        </w:rPr>
      </w:pPr>
    </w:p>
    <w:p>
      <w:pPr>
        <w:ind w:right="300" w:firstLine="648"/>
        <w:spacing w:after="0" w:line="250" w:lineRule="auto"/>
        <w:rPr>
          <w:sz w:val="20"/>
          <w:szCs w:val="20"/>
          <w:color w:val="auto"/>
        </w:rPr>
      </w:pPr>
      <w:r>
        <w:rPr>
          <w:rFonts w:ascii="Arial" w:cs="Arial" w:eastAsia="Arial" w:hAnsi="Arial"/>
          <w:sz w:val="20"/>
          <w:szCs w:val="20"/>
          <w:color w:val="auto"/>
        </w:rPr>
        <w:t>Net income attributable to non-controlling interests in subsidiaries decreased $1.5 million, or 11%, to $11.6 million for the six months ended September 30, 2021 as compared to the six months ended September 30, 2020. The decrease was primarily attributable to a decrease in income generated by our consolidated subsidiaries not wholly-owned by us.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Attributable to Non-Controlling Interests in Legacy Greenspring Entities</w:t>
      </w:r>
    </w:p>
    <w:p>
      <w:pPr>
        <w:spacing w:after="0" w:line="222" w:lineRule="exact"/>
        <w:rPr>
          <w:sz w:val="20"/>
          <w:szCs w:val="20"/>
          <w:color w:val="auto"/>
        </w:rPr>
      </w:pPr>
    </w:p>
    <w:p>
      <w:pPr>
        <w:jc w:val="both"/>
        <w:ind w:right="20" w:firstLine="648"/>
        <w:spacing w:after="0" w:line="321" w:lineRule="auto"/>
        <w:rPr>
          <w:sz w:val="20"/>
          <w:szCs w:val="20"/>
          <w:color w:val="auto"/>
        </w:rPr>
      </w:pPr>
      <w:r>
        <w:rPr>
          <w:rFonts w:ascii="Arial" w:cs="Arial" w:eastAsia="Arial" w:hAnsi="Arial"/>
          <w:sz w:val="16"/>
          <w:szCs w:val="16"/>
          <w:color w:val="auto"/>
        </w:rPr>
        <w:t>Net income attributable to non-controlling interests in legacy Greenspring entities represent the net income or loss attributable to the interests held by the legacy Greenspring general partner entities. We did not acquire any direct economic interests in the legacy Greenspring general partner entities. As a result, all of the net income or loss related to the legacy Greenspring general partner entities is allocated to non-controlling interests in legacy Greenspring entities. Net income attributable to non-controlling interests in legacy Greenspring entities was $0 million for the three months ended September 30, 2021, and $0 million for the six months ended September 30, 2021.</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Attributable to Non-Controlling Interests in the Partnership</w:t>
      </w:r>
    </w:p>
    <w:p>
      <w:pPr>
        <w:spacing w:after="0" w:line="222" w:lineRule="exact"/>
        <w:rPr>
          <w:sz w:val="20"/>
          <w:szCs w:val="20"/>
          <w:color w:val="auto"/>
        </w:rPr>
      </w:pPr>
    </w:p>
    <w:p>
      <w:pPr>
        <w:ind w:right="40" w:firstLine="648"/>
        <w:spacing w:after="0" w:line="260" w:lineRule="auto"/>
        <w:rPr>
          <w:sz w:val="20"/>
          <w:szCs w:val="20"/>
          <w:color w:val="auto"/>
        </w:rPr>
      </w:pPr>
      <w:r>
        <w:rPr>
          <w:rFonts w:ascii="Arial" w:cs="Arial" w:eastAsia="Arial" w:hAnsi="Arial"/>
          <w:sz w:val="19"/>
          <w:szCs w:val="19"/>
          <w:color w:val="auto"/>
        </w:rPr>
        <w:t>Net income attributable to non-controlling interests in the Partnership represents the portion of net income or loss attributable to the interests held by the Class B and Class C unitholders of the Partnership. Net income attributable to non-controlling interests in the Partnership was $59.8 million and $100.1 million for the three months ended September 30, 2021 and 2020, respectively, and $139.0 million and $43.7 million for the six months ended September 30, 2021 and 2020, respectively. Prior to the Reorganization and IPO, all of our income or loss relates to the Partnership and has been presented as non-controlling interests in the Partnership.</w:t>
      </w:r>
    </w:p>
    <w:p>
      <w:pPr>
        <w:spacing w:after="0" w:line="174"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Operating Metrics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Management</w:t>
      </w:r>
    </w:p>
    <w:p>
      <w:pPr>
        <w:spacing w:after="0" w:line="222" w:lineRule="exact"/>
        <w:rPr>
          <w:sz w:val="20"/>
          <w:szCs w:val="20"/>
          <w:color w:val="auto"/>
        </w:rPr>
      </w:pPr>
    </w:p>
    <w:p>
      <w:pPr>
        <w:jc w:val="both"/>
        <w:ind w:right="380" w:firstLine="648"/>
        <w:spacing w:after="0" w:line="316" w:lineRule="auto"/>
        <w:rPr>
          <w:sz w:val="20"/>
          <w:szCs w:val="20"/>
          <w:color w:val="auto"/>
        </w:rPr>
      </w:pPr>
      <w:r>
        <w:rPr>
          <w:rFonts w:ascii="Arial" w:cs="Arial" w:eastAsia="Arial" w:hAnsi="Arial"/>
          <w:sz w:val="18"/>
          <w:szCs w:val="18"/>
          <w:color w:val="auto"/>
        </w:rPr>
        <w:t>AUM was $72 billion as of September 30, 2020, $90 billion as of June 30, 2021 and $121 billion as of September 30, 2021. The increase in AUM from June 30, 2021 was partially due to the Greenspring acquisition, which added approximately $23 billion of AUM.</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Advisement</w:t>
      </w:r>
    </w:p>
    <w:p>
      <w:pPr>
        <w:spacing w:after="0" w:line="222"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 xml:space="preserve">Assets related to our advisory accounts were $241 billion as of September 30, 2020, $375 billion as of June 30, 2021 and $397 billion as of September 30, 2021. As described under “Key Operating Metrics—Assets Under Advisement,” we modified our calculation of AUA beginning in the quarter ended March 31, 2021 to include, with respect to our advisory clients, the portion of their portfolio assets for which we do not directly provide recommendations, monitoring and/or reporting services. This change increased AUA by approximately $70 billion </w:t>
      </w:r>
      <w:r>
        <w:rPr>
          <w:rFonts w:ascii="Arial" w:cs="Arial" w:eastAsia="Arial" w:hAnsi="Arial"/>
          <w:sz w:val="20"/>
          <w:szCs w:val="20"/>
          <w:color w:val="231F20"/>
        </w:rPr>
        <w:t>for the quarter ended</w:t>
      </w:r>
      <w:r>
        <w:rPr>
          <w:rFonts w:ascii="Arial" w:cs="Arial" w:eastAsia="Arial" w:hAnsi="Arial"/>
          <w:sz w:val="20"/>
          <w:szCs w:val="20"/>
          <w:color w:val="auto"/>
        </w:rPr>
        <w:t xml:space="preserve"> March 31, 2021</w:t>
      </w:r>
      <w:r>
        <w:rPr>
          <w:rFonts w:ascii="Arial" w:cs="Arial" w:eastAsia="Arial" w:hAnsi="Arial"/>
          <w:sz w:val="20"/>
          <w:szCs w:val="20"/>
          <w:color w:val="231F20"/>
        </w:rPr>
        <w:t>.</w:t>
      </w:r>
      <w:r>
        <w:rPr>
          <w:rFonts w:ascii="Arial" w:cs="Arial" w:eastAsia="Arial" w:hAnsi="Arial"/>
          <w:sz w:val="20"/>
          <w:szCs w:val="20"/>
          <w:color w:val="auto"/>
        </w:rPr>
        <w:t xml:space="preserve"> Prior period amounts have not been recast for this change because such historical data does not exist.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Fee-Earning AUM</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September 30, 2021</w:t>
      </w:r>
    </w:p>
    <w:p>
      <w:pPr>
        <w:spacing w:after="0" w:line="216"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FEAUM increased $14 billion, or 26%, to $67 billion as of September 30, 2021 as compared to $53 billion as of June 30, 2021. The increase was primarily attributable to a $12 billion increase in focused commingled funds due to the Greenspring acquisition, which added approximately $11 billion of FEAUM, and $2 billion from SMAs.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2021</w:t>
      </w:r>
    </w:p>
    <w:p>
      <w:pPr>
        <w:spacing w:after="0" w:line="216" w:lineRule="exact"/>
        <w:rPr>
          <w:sz w:val="20"/>
          <w:szCs w:val="20"/>
          <w:color w:val="auto"/>
        </w:rPr>
      </w:pPr>
    </w:p>
    <w:p>
      <w:pPr>
        <w:jc w:val="both"/>
        <w:ind w:right="280" w:firstLine="648"/>
        <w:spacing w:after="0" w:line="250" w:lineRule="auto"/>
        <w:rPr>
          <w:sz w:val="20"/>
          <w:szCs w:val="20"/>
          <w:color w:val="auto"/>
        </w:rPr>
      </w:pPr>
      <w:r>
        <w:rPr>
          <w:rFonts w:ascii="Arial" w:cs="Arial" w:eastAsia="Arial" w:hAnsi="Arial"/>
          <w:sz w:val="20"/>
          <w:szCs w:val="20"/>
          <w:color w:val="auto"/>
        </w:rPr>
        <w:t>FEAUM increased $15 billion, or 28%, to $67 billion as of September 30, 2021 as compared to $52 billion as of March 31, 2021. The increase was primarily attributable to a $12 billion increase in focused commingled funds due to the Greenspring acquisition, which added approximately $11 billion of FEAUM, and $3 billion from SMAs.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5" w:name="page66"/>
    <w:bookmarkEnd w:id="65"/>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20" w:type="dxa"/>
            <w:vAlign w:val="bottom"/>
            <w:gridSpan w:val="8"/>
          </w:tcPr>
          <w:p>
            <w:pPr>
              <w:jc w:val="center"/>
              <w:ind w:right="500"/>
              <w:spacing w:after="0"/>
              <w:rPr>
                <w:sz w:val="20"/>
                <w:szCs w:val="20"/>
                <w:color w:val="auto"/>
              </w:rPr>
            </w:pPr>
            <w:r>
              <w:rPr>
                <w:rFonts w:ascii="Arial" w:cs="Arial" w:eastAsia="Arial" w:hAnsi="Arial"/>
                <w:sz w:val="18"/>
                <w:szCs w:val="18"/>
                <w:b w:val="1"/>
                <w:bCs w:val="1"/>
                <w:color w:val="auto"/>
                <w:w w:val="90"/>
              </w:rPr>
              <w:t>Three Months Ended September 30, 2021</w:t>
            </w:r>
          </w:p>
        </w:tc>
        <w:tc>
          <w:tcPr>
            <w:tcW w:w="260" w:type="dxa"/>
            <w:vAlign w:val="bottom"/>
          </w:tcPr>
          <w:p>
            <w:pPr>
              <w:spacing w:after="0"/>
              <w:rPr>
                <w:sz w:val="20"/>
                <w:szCs w:val="20"/>
                <w:color w:val="auto"/>
              </w:rPr>
            </w:pPr>
          </w:p>
        </w:tc>
        <w:tc>
          <w:tcPr>
            <w:tcW w:w="39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89"/>
              </w:rPr>
              <w:t>Six Months Ended September 30, 2021</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3"/>
              </w:rPr>
              <w:t>Focused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3"/>
              </w:rPr>
              <w:t>Focused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15"/>
                <w:szCs w:val="15"/>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SMAs</w:t>
            </w:r>
          </w:p>
        </w:tc>
        <w:tc>
          <w:tcPr>
            <w:tcW w:w="12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9"/>
              </w:rPr>
              <w:t>Commingled</w:t>
            </w:r>
          </w:p>
        </w:tc>
        <w:tc>
          <w:tcPr>
            <w:tcW w:w="280" w:type="dxa"/>
            <w:vAlign w:val="bottom"/>
          </w:tcPr>
          <w:p>
            <w:pPr>
              <w:spacing w:after="0"/>
              <w:rPr>
                <w:sz w:val="15"/>
                <w:szCs w:val="1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5"/>
                <w:szCs w:val="15"/>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SMAs</w:t>
            </w:r>
          </w:p>
        </w:tc>
        <w:tc>
          <w:tcPr>
            <w:tcW w:w="140" w:type="dxa"/>
            <w:vAlign w:val="bottom"/>
          </w:tcPr>
          <w:p>
            <w:pPr>
              <w:spacing w:after="0"/>
              <w:rPr>
                <w:sz w:val="15"/>
                <w:szCs w:val="15"/>
                <w:color w:val="auto"/>
              </w:rPr>
            </w:pPr>
          </w:p>
        </w:tc>
        <w:tc>
          <w:tcPr>
            <w:tcW w:w="13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9"/>
              </w:rPr>
              <w:t>Commingled</w:t>
            </w:r>
          </w:p>
        </w:tc>
        <w:tc>
          <w:tcPr>
            <w:tcW w:w="280" w:type="dxa"/>
            <w:vAlign w:val="bottom"/>
          </w:tcPr>
          <w:p>
            <w:pPr>
              <w:spacing w:after="0"/>
              <w:rPr>
                <w:sz w:val="15"/>
                <w:szCs w:val="15"/>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Funds</w:t>
            </w: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Funds</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52,907</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52,008</w:t>
            </w: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line="230" w:lineRule="exact"/>
              <w:rPr>
                <w:sz w:val="20"/>
                <w:szCs w:val="20"/>
                <w:color w:val="auto"/>
              </w:rPr>
            </w:pPr>
            <w:r>
              <w:rPr>
                <w:rFonts w:ascii="Arial" w:cs="Arial" w:eastAsia="Arial" w:hAnsi="Arial"/>
                <w:sz w:val="18"/>
                <w:szCs w:val="18"/>
                <w:color w:val="auto"/>
              </w:rPr>
              <w:t>Contributions</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4,775</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Distributions</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30"/>
        </w:trPr>
        <w:tc>
          <w:tcPr>
            <w:tcW w:w="2700" w:type="dxa"/>
            <w:vAlign w:val="bottom"/>
          </w:tcPr>
          <w:p>
            <w:pPr>
              <w:ind w:left="460"/>
              <w:spacing w:after="0" w:line="230" w:lineRule="exact"/>
              <w:rPr>
                <w:sz w:val="20"/>
                <w:szCs w:val="20"/>
                <w:color w:val="auto"/>
              </w:rPr>
            </w:pPr>
            <w:r>
              <w:rPr>
                <w:rFonts w:ascii="Arial" w:cs="Arial" w:eastAsia="Arial" w:hAnsi="Arial"/>
                <w:sz w:val="18"/>
                <w:szCs w:val="18"/>
                <w:color w:val="auto"/>
              </w:rPr>
              <w:t>Acquisitions</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11,407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11,407</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w w:val="94"/>
              </w:rPr>
              <w:t>Market value, FX and other</w:t>
            </w:r>
            <w:r>
              <w:rPr>
                <w:rFonts w:ascii="Arial" w:cs="Arial" w:eastAsia="Arial" w:hAnsi="Arial"/>
                <w:sz w:val="23"/>
                <w:szCs w:val="23"/>
                <w:color w:val="auto"/>
                <w:w w:val="94"/>
                <w:vertAlign w:val="superscript"/>
              </w:rPr>
              <w:t>(4)</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66,680</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66,680</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300" w:hanging="652"/>
        <w:spacing w:after="0" w:line="250" w:lineRule="auto"/>
        <w:tabs>
          <w:tab w:leader="none" w:pos="6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Contributions consist of new capital commitments that earn fees on committed capital and capital contributions to funds and accounts that earn fees on net invested capital or NAV.</w:t>
      </w:r>
    </w:p>
    <w:p>
      <w:pPr>
        <w:ind w:left="660" w:right="460" w:hanging="652"/>
        <w:spacing w:after="0" w:line="281" w:lineRule="auto"/>
        <w:tabs>
          <w:tab w:leader="none" w:pos="654"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Distributions consist of returns of capital from funds and accounts that pay fees on net invested capital or NAV and reductions in fee-earning AUM from funds that moved from a committed capital to net invested capital fee basis or from funds and accounts that no longer pay fees.</w:t>
      </w:r>
    </w:p>
    <w:p>
      <w:pPr>
        <w:spacing w:after="0" w:line="1" w:lineRule="exact"/>
        <w:rPr>
          <w:rFonts w:ascii="Arial" w:cs="Arial" w:eastAsia="Arial" w:hAnsi="Arial"/>
          <w:sz w:val="16"/>
          <w:szCs w:val="16"/>
          <w:color w:val="auto"/>
        </w:rPr>
      </w:pPr>
    </w:p>
    <w:p>
      <w:pPr>
        <w:ind w:left="640" w:hanging="63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approximately $11.4 billion of focused commingled funds added as a result of the Greenspring acquisition.</w:t>
      </w:r>
    </w:p>
    <w:p>
      <w:pPr>
        <w:spacing w:after="0" w:line="9" w:lineRule="exact"/>
        <w:rPr>
          <w:rFonts w:ascii="Arial" w:cs="Arial" w:eastAsia="Arial" w:hAnsi="Arial"/>
          <w:sz w:val="18"/>
          <w:szCs w:val="18"/>
          <w:color w:val="auto"/>
        </w:rPr>
      </w:pPr>
    </w:p>
    <w:p>
      <w:pPr>
        <w:ind w:left="660" w:right="200" w:hanging="652"/>
        <w:spacing w:after="0" w:line="260" w:lineRule="auto"/>
        <w:tabs>
          <w:tab w:leader="none" w:pos="6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value, FX and other primarily consist of changes in market value appreciation (depreciation) for funds that pay on NAV and the effect of foreign exchange rate changes on non-U.S. dollar denominated commitments.</w:t>
      </w:r>
    </w:p>
    <w:p>
      <w:pPr>
        <w:spacing w:after="0" w:line="18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The following tables set forth FEAUM by asset class and selected weighted-average management fee rate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4"/>
              </w:rPr>
              <w:t>As of</w:t>
            </w:r>
          </w:p>
        </w:tc>
        <w:tc>
          <w:tcPr>
            <w:tcW w:w="8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60" w:type="dxa"/>
            <w:vAlign w:val="bottom"/>
            <w:vMerge w:val="restart"/>
          </w:tcPr>
          <w:p>
            <w:pPr>
              <w:ind w:left="680"/>
              <w:spacing w:after="0"/>
              <w:rPr>
                <w:sz w:val="20"/>
                <w:szCs w:val="20"/>
                <w:color w:val="auto"/>
              </w:rPr>
            </w:pPr>
            <w:r>
              <w:rPr>
                <w:rFonts w:ascii="Arial" w:cs="Arial" w:eastAsia="Arial" w:hAnsi="Arial"/>
                <w:sz w:val="18"/>
                <w:szCs w:val="18"/>
                <w:i w:val="1"/>
                <w:iCs w:val="1"/>
                <w:color w:val="auto"/>
              </w:rPr>
              <w:t>(in millions)</w:t>
            </w:r>
          </w:p>
        </w:tc>
        <w:tc>
          <w:tcPr>
            <w:tcW w:w="820" w:type="dxa"/>
            <w:vAlign w:val="bottom"/>
          </w:tcPr>
          <w:p>
            <w:pPr>
              <w:spacing w:after="0"/>
              <w:rPr>
                <w:sz w:val="14"/>
                <w:szCs w:val="14"/>
                <w:color w:val="auto"/>
              </w:rPr>
            </w:pPr>
          </w:p>
        </w:tc>
        <w:tc>
          <w:tcPr>
            <w:tcW w:w="146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30,</w:t>
            </w:r>
          </w:p>
        </w:tc>
        <w:tc>
          <w:tcPr>
            <w:tcW w:w="780" w:type="dxa"/>
            <w:vAlign w:val="bottom"/>
          </w:tcPr>
          <w:p>
            <w:pPr>
              <w:spacing w:after="0"/>
              <w:rPr>
                <w:sz w:val="14"/>
                <w:szCs w:val="14"/>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3"/>
              </w:rPr>
              <w:t>March 31, 2021</w:t>
            </w:r>
          </w:p>
        </w:tc>
        <w:tc>
          <w:tcPr>
            <w:tcW w:w="820" w:type="dxa"/>
            <w:vAlign w:val="bottom"/>
          </w:tcPr>
          <w:p>
            <w:pPr>
              <w:spacing w:after="0"/>
              <w:rPr>
                <w:sz w:val="14"/>
                <w:szCs w:val="14"/>
                <w:color w:val="auto"/>
              </w:rPr>
            </w:pPr>
          </w:p>
        </w:tc>
        <w:tc>
          <w:tcPr>
            <w:tcW w:w="136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0" w:type="dxa"/>
            <w:vAlign w:val="bottom"/>
          </w:tcPr>
          <w:p>
            <w:pPr>
              <w:spacing w:after="0"/>
              <w:rPr>
                <w:sz w:val="1"/>
                <w:szCs w:val="1"/>
                <w:color w:val="auto"/>
              </w:rPr>
            </w:pPr>
          </w:p>
        </w:tc>
      </w:tr>
      <w:tr>
        <w:trPr>
          <w:trHeight w:val="230"/>
        </w:trPr>
        <w:tc>
          <w:tcPr>
            <w:tcW w:w="446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tcPr>
          <w:p>
            <w:pPr>
              <w:jc w:val="right"/>
              <w:ind w:right="8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FEAUM</w:t>
            </w:r>
          </w:p>
        </w:tc>
        <w:tc>
          <w:tcPr>
            <w:tcW w:w="8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680"/>
              <w:spacing w:after="0" w:line="230" w:lineRule="exact"/>
              <w:rPr>
                <w:sz w:val="20"/>
                <w:szCs w:val="20"/>
                <w:color w:val="auto"/>
              </w:rPr>
            </w:pPr>
            <w:r>
              <w:rPr>
                <w:rFonts w:ascii="Arial" w:cs="Arial" w:eastAsia="Arial" w:hAnsi="Arial"/>
                <w:sz w:val="18"/>
                <w:szCs w:val="18"/>
                <w:color w:val="auto"/>
              </w:rPr>
              <w:t>Private equity</w:t>
            </w:r>
            <w:r>
              <w:rPr>
                <w:rFonts w:ascii="Arial" w:cs="Arial" w:eastAsia="Arial" w:hAnsi="Arial"/>
                <w:sz w:val="23"/>
                <w:szCs w:val="23"/>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37,953</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24,533</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20,480</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Infrastructure</w:t>
            </w: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11,989</w:t>
            </w:r>
          </w:p>
        </w:tc>
        <w:tc>
          <w:tcPr>
            <w:tcW w:w="0" w:type="dxa"/>
            <w:vAlign w:val="bottom"/>
          </w:tcPr>
          <w:p>
            <w:pPr>
              <w:spacing w:after="0"/>
              <w:rPr>
                <w:sz w:val="1"/>
                <w:szCs w:val="1"/>
                <w:color w:val="auto"/>
              </w:rPr>
            </w:pP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Private debt</w:t>
            </w: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10,990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10,483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Real estate</w:t>
            </w:r>
          </w:p>
        </w:tc>
        <w:tc>
          <w:tcPr>
            <w:tcW w:w="8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223"/>
        </w:trPr>
        <w:tc>
          <w:tcPr>
            <w:tcW w:w="4460" w:type="dxa"/>
            <w:vAlign w:val="bottom"/>
          </w:tcPr>
          <w:p>
            <w:pPr>
              <w:ind w:left="110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66,680</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52,008</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620" w:hanging="652"/>
        <w:spacing w:after="0" w:line="260" w:lineRule="auto"/>
        <w:tabs>
          <w:tab w:leader="none" w:pos="6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Balance as of September 30, 2021 includes approximately $11.4 billion of focused commingled funds added as a result of the Greenspring acquisition.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8"/>
              </w:rPr>
              <w:t>As of</w:t>
            </w:r>
          </w:p>
        </w:tc>
        <w:tc>
          <w:tcPr>
            <w:tcW w:w="1760" w:type="dxa"/>
            <w:vAlign w:val="bottom"/>
            <w:tcBorders>
              <w:bottom w:val="single" w:sz="8" w:color="auto"/>
            </w:tcBorders>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2021</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March 31, 2021</w:t>
            </w:r>
          </w:p>
        </w:tc>
        <w:tc>
          <w:tcPr>
            <w:tcW w:w="176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September 30, 2020</w:t>
            </w:r>
          </w:p>
        </w:tc>
      </w:tr>
      <w:tr>
        <w:trPr>
          <w:trHeight w:val="209"/>
        </w:trPr>
        <w:tc>
          <w:tcPr>
            <w:tcW w:w="582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b w:val="1"/>
                <w:bCs w:val="1"/>
                <w:color w:val="auto"/>
              </w:rPr>
              <w:t>Weighted-average fee rate</w:t>
            </w:r>
            <w:r>
              <w:rPr>
                <w:rFonts w:ascii="Arial" w:cs="Arial" w:eastAsia="Arial" w:hAnsi="Arial"/>
                <w:sz w:val="23"/>
                <w:szCs w:val="23"/>
                <w:b w:val="1"/>
                <w:bCs w:val="1"/>
                <w:color w:val="auto"/>
                <w:vertAlign w:val="superscript"/>
              </w:rPr>
              <w:t>(1)</w:t>
            </w: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Private equity</w:t>
            </w:r>
            <w:r>
              <w:rPr>
                <w:rFonts w:ascii="Arial" w:cs="Arial" w:eastAsia="Arial" w:hAnsi="Arial"/>
                <w:sz w:val="23"/>
                <w:szCs w:val="23"/>
                <w:color w:val="auto"/>
                <w:vertAlign w:val="superscript"/>
              </w:rPr>
              <w:t>(2)</w:t>
            </w:r>
          </w:p>
        </w:tc>
        <w:tc>
          <w:tcPr>
            <w:tcW w:w="1740" w:type="dxa"/>
            <w:vAlign w:val="bottom"/>
          </w:tcPr>
          <w:p>
            <w:pPr>
              <w:jc w:val="right"/>
              <w:spacing w:after="0"/>
              <w:rPr>
                <w:sz w:val="20"/>
                <w:szCs w:val="20"/>
                <w:color w:val="auto"/>
              </w:rPr>
            </w:pPr>
            <w:r>
              <w:rPr>
                <w:rFonts w:ascii="Arial" w:cs="Arial" w:eastAsia="Arial" w:hAnsi="Arial"/>
                <w:sz w:val="18"/>
                <w:szCs w:val="18"/>
                <w:color w:val="auto"/>
              </w:rPr>
              <w:t>0.62 %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0.62 %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0.67 %</w:t>
            </w: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Real estate, infrastructure and private debt asset classes</w:t>
            </w:r>
            <w:r>
              <w:rPr>
                <w:rFonts w:ascii="Arial" w:cs="Arial" w:eastAsia="Arial" w:hAnsi="Arial"/>
                <w:sz w:val="23"/>
                <w:szCs w:val="23"/>
                <w:color w:val="auto"/>
                <w:vertAlign w:val="superscript"/>
              </w:rPr>
              <w:t>(3)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0.41 %</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0.42 %</w:t>
            </w:r>
          </w:p>
        </w:tc>
        <w:tc>
          <w:tcPr>
            <w:tcW w:w="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0.41 %</w:t>
            </w:r>
          </w:p>
        </w:tc>
      </w:tr>
      <w:tr>
        <w:trPr>
          <w:trHeight w:val="223"/>
        </w:trPr>
        <w:tc>
          <w:tcPr>
            <w:tcW w:w="5820" w:type="dxa"/>
            <w:vAlign w:val="bottom"/>
          </w:tcPr>
          <w:p>
            <w:pPr>
              <w:ind w:left="46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0.51 %</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0.52 %</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0.53 %</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80" w:hanging="652"/>
        <w:spacing w:after="0" w:line="250" w:lineRule="auto"/>
        <w:tabs>
          <w:tab w:leader="none" w:pos="654"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Weighted-average fee rates reflect the applicable management fees for the last 12 months ending on each period presented, and is inclusive of any retroactive fees for such period.</w:t>
      </w:r>
    </w:p>
    <w:p>
      <w:pPr>
        <w:ind w:left="640" w:hanging="632"/>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change in weighted-average fee rates primarily reflected the timing of new funds.</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change in weighted-average fee rates primarily reflected shifts in asset class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Undeployed Fee-Earning Capital</w:t>
      </w:r>
    </w:p>
    <w:p>
      <w:pPr>
        <w:spacing w:after="0" w:line="222"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As of September 30, 2021, we had $17.8 billion of undeployed fee-earning capital, which will generate management fee revenue once this capital is invested or activated.</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Non-GAAP Financial Measures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presents the components of FRE and ANI:</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320" w:type="dxa"/>
            <w:vAlign w:val="bottom"/>
          </w:tcPr>
          <w:p>
            <w:pPr>
              <w:spacing w:after="0"/>
              <w:rPr>
                <w:sz w:val="20"/>
                <w:szCs w:val="20"/>
                <w:color w:val="auto"/>
              </w:rPr>
            </w:pPr>
          </w:p>
        </w:tc>
        <w:tc>
          <w:tcPr>
            <w:tcW w:w="32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6"/>
              </w:rPr>
              <w:t>Six Months Ended September 30,</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and advisory fees,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139,152</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Cash-based compensation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77,126</w:t>
            </w:r>
          </w:p>
        </w:tc>
        <w:tc>
          <w:tcPr>
            <w:tcW w:w="0" w:type="dxa"/>
            <w:vAlign w:val="bottom"/>
          </w:tcPr>
          <w:p>
            <w:pPr>
              <w:spacing w:after="0"/>
              <w:rPr>
                <w:sz w:val="1"/>
                <w:szCs w:val="1"/>
                <w:color w:val="auto"/>
              </w:rPr>
            </w:pPr>
          </w:p>
        </w:tc>
      </w:tr>
      <w:tr>
        <w:trPr>
          <w:trHeight w:val="229"/>
        </w:trPr>
        <w:tc>
          <w:tcPr>
            <w:tcW w:w="3980" w:type="dxa"/>
            <w:vAlign w:val="bottom"/>
          </w:tcPr>
          <w:p>
            <w:pPr>
              <w:ind w:left="400"/>
              <w:spacing w:after="0" w:line="230" w:lineRule="exact"/>
              <w:rPr>
                <w:sz w:val="20"/>
                <w:szCs w:val="20"/>
                <w:color w:val="auto"/>
              </w:rPr>
            </w:pPr>
            <w:r>
              <w:rPr>
                <w:rFonts w:ascii="Arial" w:cs="Arial" w:eastAsia="Arial" w:hAnsi="Arial"/>
                <w:sz w:val="18"/>
                <w:szCs w:val="18"/>
                <w:color w:val="auto"/>
              </w:rPr>
              <w:t>Equity-based compensation</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General, administrative and other</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21,863</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Plus: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400"/>
              <w:spacing w:after="0" w:line="230" w:lineRule="exact"/>
              <w:rPr>
                <w:sz w:val="20"/>
                <w:szCs w:val="20"/>
                <w:color w:val="auto"/>
              </w:rPr>
            </w:pPr>
            <w:r>
              <w:rPr>
                <w:rFonts w:ascii="Arial" w:cs="Arial" w:eastAsia="Arial" w:hAnsi="Arial"/>
                <w:sz w:val="18"/>
                <w:szCs w:val="18"/>
                <w:color w:val="auto"/>
              </w:rPr>
              <w:t>Non-core items</w:t>
            </w:r>
            <w:r>
              <w:rPr>
                <w:rFonts w:ascii="Arial" w:cs="Arial" w:eastAsia="Arial" w:hAnsi="Arial"/>
                <w:sz w:val="23"/>
                <w:szCs w:val="23"/>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Fee-related earnings</w:t>
            </w:r>
            <w:r>
              <w:rPr>
                <w:rFonts w:ascii="Arial" w:cs="Arial" w:eastAsia="Arial" w:hAnsi="Arial"/>
                <w:sz w:val="23"/>
                <w:szCs w:val="23"/>
                <w:b w:val="1"/>
                <w:bCs w:val="1"/>
                <w:color w:val="auto"/>
                <w:vertAlign w:val="superscript"/>
              </w:rPr>
              <w:t>(2)</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46,102</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Plus: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Realized carried interest allocations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102,494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12,194</w:t>
            </w:r>
          </w:p>
        </w:tc>
        <w:tc>
          <w:tcPr>
            <w:tcW w:w="0" w:type="dxa"/>
            <w:vAlign w:val="bottom"/>
          </w:tcPr>
          <w:p>
            <w:pPr>
              <w:spacing w:after="0"/>
              <w:rPr>
                <w:sz w:val="1"/>
                <w:szCs w:val="1"/>
                <w:color w:val="auto"/>
              </w:rPr>
            </w:pPr>
          </w:p>
        </w:tc>
      </w:tr>
      <w:tr>
        <w:trPr>
          <w:trHeight w:val="230"/>
        </w:trPr>
        <w:tc>
          <w:tcPr>
            <w:tcW w:w="3980" w:type="dxa"/>
            <w:vAlign w:val="bottom"/>
          </w:tcPr>
          <w:p>
            <w:pPr>
              <w:ind w:left="400"/>
              <w:spacing w:after="0"/>
              <w:rPr>
                <w:sz w:val="20"/>
                <w:szCs w:val="20"/>
                <w:color w:val="auto"/>
              </w:rPr>
            </w:pPr>
            <w:r>
              <w:rPr>
                <w:rFonts w:ascii="Arial" w:cs="Arial" w:eastAsia="Arial" w:hAnsi="Arial"/>
                <w:sz w:val="18"/>
                <w:szCs w:val="18"/>
                <w:color w:val="auto"/>
              </w:rPr>
              <w:t>Incentive fees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5,978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4,785</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incentive fees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29"/>
        </w:trPr>
        <w:tc>
          <w:tcPr>
            <w:tcW w:w="3980" w:type="dxa"/>
            <w:vAlign w:val="bottom"/>
          </w:tcPr>
          <w:p>
            <w:pPr>
              <w:ind w:left="400"/>
              <w:spacing w:after="0"/>
              <w:rPr>
                <w:sz w:val="20"/>
                <w:szCs w:val="20"/>
                <w:color w:val="auto"/>
              </w:rPr>
            </w:pPr>
            <w:r>
              <w:rPr>
                <w:rFonts w:ascii="Arial" w:cs="Arial" w:eastAsia="Arial" w:hAnsi="Arial"/>
                <w:sz w:val="18"/>
                <w:szCs w:val="18"/>
                <w:color w:val="auto"/>
              </w:rPr>
              <w:t>Realized investment income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4,834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175"/>
        </w:trPr>
        <w:tc>
          <w:tcPr>
            <w:tcW w:w="3980" w:type="dxa"/>
            <w:vAlign w:val="bottom"/>
          </w:tcPr>
          <w:p>
            <w:pPr>
              <w:ind w:left="400"/>
              <w:spacing w:after="0" w:line="176" w:lineRule="exact"/>
              <w:rPr>
                <w:sz w:val="20"/>
                <w:szCs w:val="20"/>
                <w:color w:val="auto"/>
              </w:rPr>
            </w:pPr>
            <w:r>
              <w:rPr>
                <w:rFonts w:ascii="Arial" w:cs="Arial" w:eastAsia="Arial" w:hAnsi="Arial"/>
                <w:sz w:val="18"/>
                <w:szCs w:val="18"/>
                <w:color w:val="auto"/>
              </w:rPr>
              <w:t>Write-off of unamortized deferred financing</w:t>
            </w:r>
          </w:p>
        </w:tc>
        <w:tc>
          <w:tcPr>
            <w:tcW w:w="260" w:type="dxa"/>
            <w:vAlign w:val="bottom"/>
          </w:tcPr>
          <w:p>
            <w:pPr>
              <w:spacing w:after="0"/>
              <w:rPr>
                <w:sz w:val="15"/>
                <w:szCs w:val="15"/>
                <w:color w:val="auto"/>
              </w:rPr>
            </w:pPr>
          </w:p>
        </w:tc>
        <w:tc>
          <w:tcPr>
            <w:tcW w:w="1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3,526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30"/>
        </w:trPr>
        <w:tc>
          <w:tcPr>
            <w:tcW w:w="3980" w:type="dxa"/>
            <w:vAlign w:val="bottom"/>
          </w:tcPr>
          <w:p>
            <w:pPr>
              <w:ind w:left="600"/>
              <w:spacing w:after="0"/>
              <w:rPr>
                <w:sz w:val="20"/>
                <w:szCs w:val="20"/>
                <w:color w:val="auto"/>
              </w:rPr>
            </w:pPr>
            <w:r>
              <w:rPr>
                <w:rFonts w:ascii="Arial" w:cs="Arial" w:eastAsia="Arial" w:hAnsi="Arial"/>
                <w:sz w:val="18"/>
                <w:szCs w:val="18"/>
                <w:color w:val="auto"/>
              </w:rPr>
              <w:t>costs</w:t>
            </w:r>
          </w:p>
        </w:tc>
        <w:tc>
          <w:tcPr>
            <w:tcW w:w="26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Other income (loss)</w:t>
            </w:r>
            <w:r>
              <w:rPr>
                <w:rFonts w:ascii="Arial" w:cs="Arial" w:eastAsia="Arial" w:hAnsi="Arial"/>
                <w:sz w:val="23"/>
                <w:szCs w:val="23"/>
                <w:color w:val="auto"/>
                <w:vertAlign w:val="superscript"/>
              </w:rPr>
              <w:t>(2)(4)</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Realized performance fee-related compensation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7,711</w:t>
            </w:r>
          </w:p>
        </w:tc>
        <w:tc>
          <w:tcPr>
            <w:tcW w:w="0" w:type="dxa"/>
            <w:vAlign w:val="bottom"/>
          </w:tcPr>
          <w:p>
            <w:pPr>
              <w:spacing w:after="0"/>
              <w:rPr>
                <w:sz w:val="1"/>
                <w:szCs w:val="1"/>
                <w:color w:val="auto"/>
              </w:rPr>
            </w:pPr>
          </w:p>
        </w:tc>
      </w:tr>
      <w:tr>
        <w:trPr>
          <w:trHeight w:val="230"/>
        </w:trPr>
        <w:tc>
          <w:tcPr>
            <w:tcW w:w="398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5,270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7,327</w:t>
            </w:r>
          </w:p>
        </w:tc>
        <w:tc>
          <w:tcPr>
            <w:tcW w:w="0" w:type="dxa"/>
            <w:vAlign w:val="bottom"/>
          </w:tcPr>
          <w:p>
            <w:pPr>
              <w:spacing w:after="0"/>
              <w:rPr>
                <w:sz w:val="1"/>
                <w:szCs w:val="1"/>
                <w:color w:val="auto"/>
              </w:rPr>
            </w:pPr>
          </w:p>
        </w:tc>
      </w:tr>
      <w:tr>
        <w:trPr>
          <w:trHeight w:val="175"/>
        </w:trPr>
        <w:tc>
          <w:tcPr>
            <w:tcW w:w="398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6"/>
              </w:rPr>
              <w:t>Income attributable to non-controlling interests</w:t>
            </w:r>
          </w:p>
        </w:tc>
        <w:tc>
          <w:tcPr>
            <w:tcW w:w="2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8,983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11,625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13,669</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600"/>
              <w:spacing w:after="0" w:line="230" w:lineRule="exact"/>
              <w:rPr>
                <w:sz w:val="20"/>
                <w:szCs w:val="20"/>
                <w:color w:val="auto"/>
              </w:rPr>
            </w:pPr>
            <w:r>
              <w:rPr>
                <w:rFonts w:ascii="Arial" w:cs="Arial" w:eastAsia="Arial" w:hAnsi="Arial"/>
                <w:sz w:val="18"/>
                <w:szCs w:val="18"/>
                <w:color w:val="auto"/>
              </w:rPr>
              <w:t>in subsidiaries</w:t>
            </w:r>
            <w:r>
              <w:rPr>
                <w:rFonts w:ascii="Arial" w:cs="Arial" w:eastAsia="Arial" w:hAnsi="Arial"/>
                <w:sz w:val="23"/>
                <w:szCs w:val="23"/>
                <w:color w:val="auto"/>
                <w:vertAlign w:val="superscript"/>
              </w:rPr>
              <w:t>(5)</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80"/>
              <w:spacing w:after="0"/>
              <w:rPr>
                <w:sz w:val="20"/>
                <w:szCs w:val="20"/>
                <w:color w:val="auto"/>
              </w:rPr>
            </w:pPr>
            <w:r>
              <w:rPr>
                <w:rFonts w:ascii="Arial" w:cs="Arial" w:eastAsia="Arial" w:hAnsi="Arial"/>
                <w:sz w:val="18"/>
                <w:szCs w:val="18"/>
                <w:b w:val="1"/>
                <w:bCs w:val="1"/>
                <w:color w:val="auto"/>
              </w:rPr>
              <w:t>Pre-tax adjusted net income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51,795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24,350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104,129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44,989</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Less: Income taxes</w:t>
            </w:r>
            <w:r>
              <w:rPr>
                <w:rFonts w:ascii="Arial" w:cs="Arial" w:eastAsia="Arial" w:hAnsi="Arial"/>
                <w:sz w:val="23"/>
                <w:szCs w:val="23"/>
                <w:color w:val="auto"/>
                <w:vertAlign w:val="superscript"/>
              </w:rPr>
              <w:t>(6)</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11,248</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40,115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80,648</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equity-based compensation for awards granted subsequent to the IPO.</w:t>
      </w:r>
    </w:p>
    <w:p>
      <w:pPr>
        <w:spacing w:after="0" w:line="9" w:lineRule="exact"/>
        <w:rPr>
          <w:rFonts w:ascii="Arial" w:cs="Arial" w:eastAsia="Arial" w:hAnsi="Arial"/>
          <w:sz w:val="18"/>
          <w:szCs w:val="18"/>
          <w:color w:val="auto"/>
        </w:rPr>
      </w:pPr>
    </w:p>
    <w:p>
      <w:pPr>
        <w:ind w:left="660" w:right="60" w:hanging="652"/>
        <w:spacing w:after="0" w:line="265" w:lineRule="auto"/>
        <w:tabs>
          <w:tab w:leader="none" w:pos="654" w:val="left"/>
        </w:tabs>
        <w:numPr>
          <w:ilvl w:val="0"/>
          <w:numId w:val="35"/>
        </w:numPr>
        <w:rPr>
          <w:rFonts w:ascii="Arial" w:cs="Arial" w:eastAsia="Arial" w:hAnsi="Arial"/>
          <w:sz w:val="17"/>
          <w:szCs w:val="17"/>
          <w:color w:val="auto"/>
        </w:rPr>
      </w:pPr>
      <w:r>
        <w:rPr>
          <w:rFonts w:ascii="Arial" w:cs="Arial" w:eastAsia="Arial" w:hAnsi="Arial"/>
          <w:sz w:val="17"/>
          <w:szCs w:val="17"/>
          <w:color w:val="auto"/>
        </w:rPr>
        <w:t>Beginning in the quarter ended December 31, 2020, foreign currency transaction gains and losses have been reclassified from general, administrative and other expenses to other income (loss) in our consolidated income statements. We have revised prior periods presented to reflect this reclassification ($0.2 million and $0.5 million for the three and six months ended September 30, 2020, respectively).</w:t>
      </w:r>
    </w:p>
    <w:p>
      <w:pPr>
        <w:jc w:val="both"/>
        <w:ind w:left="660" w:right="60" w:hanging="652"/>
        <w:spacing w:after="0" w:line="255" w:lineRule="auto"/>
        <w:tabs>
          <w:tab w:leader="none" w:pos="65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transaction costs ($10.3 million and $13.8 million for the three and six months ended September 30, 2021, respectively), severance costs ($0.1 million for the three months ended September 30, 2020, and $0.1 million and $4.1 million for the six months ended September 30, 2021 and 2020, respectively), and other non-core operating income and expenses.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ind w:left="660" w:right="140" w:hanging="652"/>
        <w:spacing w:after="0" w:line="258" w:lineRule="auto"/>
        <w:tabs>
          <w:tab w:leader="none" w:pos="6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Reflects other income (loss) net of amounts for Tax Receivable Agreements adjustments recognized as other income (loss) ($(1.4) million for the three and six months ended September 30, 2021).</w:t>
      </w:r>
    </w:p>
    <w:p>
      <w:pPr>
        <w:spacing w:after="0" w:line="1" w:lineRule="exact"/>
        <w:rPr>
          <w:rFonts w:ascii="Arial" w:cs="Arial" w:eastAsia="Arial" w:hAnsi="Arial"/>
          <w:sz w:val="18"/>
          <w:szCs w:val="18"/>
          <w:color w:val="auto"/>
        </w:rPr>
      </w:pPr>
    </w:p>
    <w:p>
      <w:pPr>
        <w:ind w:left="660" w:right="300" w:hanging="652"/>
        <w:spacing w:after="0" w:line="250" w:lineRule="auto"/>
        <w:tabs>
          <w:tab w:leader="none" w:pos="6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income attributable to non-controlling interests in subsidiaries net of non-controlling interest portion of unrealized investment income (loss) ($0.1 million for the three months ended September 30, 2021 and 2020, and $21 thousand and $(0.5) million for the six months ended September 30, 2021 and 2020, respectively).</w:t>
      </w:r>
    </w:p>
    <w:p>
      <w:pPr>
        <w:spacing w:after="0" w:line="1" w:lineRule="exact"/>
        <w:rPr>
          <w:rFonts w:ascii="Arial" w:cs="Arial" w:eastAsia="Arial" w:hAnsi="Arial"/>
          <w:sz w:val="18"/>
          <w:szCs w:val="18"/>
          <w:color w:val="auto"/>
        </w:rPr>
      </w:pPr>
    </w:p>
    <w:p>
      <w:pPr>
        <w:ind w:left="660" w:right="100" w:hanging="652"/>
        <w:spacing w:after="0" w:line="292" w:lineRule="auto"/>
        <w:tabs>
          <w:tab w:leader="none" w:pos="654"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corporate income taxes at a blended statutory rate of 22.6% applied to pre-tax adjusted net income for the three and six months ended September 30, 2021, and a blended statutory rate of 25.0% applied to pre-tax adjusted net income for the three and six months ended September 30, 2020. The 22.6% rate for the three and six months ended September 30, 2021 is based on a federal statutory rate of 21.0% and a combined state, local and foreign rate net of federal benefits of 1.6%, and the 25.0% rate for the three and six months ended September 30, 2020 is based on a federal statutory rate of 21.0% and a combined state, local and foreign rate net of federal benefits of 4.0%.</w:t>
      </w:r>
    </w:p>
    <w:p>
      <w:pPr>
        <w:spacing w:after="0" w:line="15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b w:val="1"/>
          <w:bCs w:val="1"/>
          <w:color w:val="auto"/>
        </w:rPr>
        <w:t>Adjusted Revenues and Adjusted Net Income</w:t>
      </w:r>
    </w:p>
    <w:p>
      <w:pPr>
        <w:spacing w:after="0" w:line="22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i w:val="1"/>
          <w:iCs w:val="1"/>
          <w:color w:val="auto"/>
        </w:rPr>
        <w:t>Three Months Ended September 30, 2021 Compared to Three Months Ended September 30, 2020</w:t>
      </w:r>
    </w:p>
    <w:p>
      <w:pPr>
        <w:spacing w:after="0" w:line="216"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Adjusted revenues increased $53.1 million, or 61%, to $139.7 million for the three months ended September 30, 2021 as compared to the three months ended September 30, 2020, primarily reflecting increases in net management and advisory fees, realized carried interest allocation revenues and incentive fees.</w:t>
      </w:r>
    </w:p>
    <w:p>
      <w:pPr>
        <w:spacing w:after="0" w:line="186" w:lineRule="exact"/>
        <w:rPr>
          <w:sz w:val="20"/>
          <w:szCs w:val="20"/>
          <w:color w:val="auto"/>
        </w:rPr>
      </w:pPr>
    </w:p>
    <w:p>
      <w:pPr>
        <w:ind w:right="340" w:firstLine="648"/>
        <w:spacing w:after="0" w:line="246" w:lineRule="auto"/>
        <w:rPr>
          <w:sz w:val="20"/>
          <w:szCs w:val="20"/>
          <w:color w:val="auto"/>
        </w:rPr>
      </w:pPr>
      <w:r>
        <w:rPr>
          <w:rFonts w:ascii="Arial" w:cs="Arial" w:eastAsia="Arial" w:hAnsi="Arial"/>
          <w:sz w:val="20"/>
          <w:szCs w:val="20"/>
          <w:color w:val="auto"/>
        </w:rPr>
        <w:t>ANI increased $21.9 million, or 120%, to $40.1 million for the three months ended September 30, 2021 as compared to the three months ended September 30, 2020, primarily due to higher net realized performance fee-related earnings (incentive fees, including the deferred portion, plus realized carried interest allocation revenues, less realized performance fee-related compensation) and lower interest expense.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2021 Compared to Six Months Ended September 30, 2020</w:t>
      </w:r>
    </w:p>
    <w:p>
      <w:pPr>
        <w:spacing w:after="0" w:line="216"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Adjusted revenues increased $115.1 million, or 72%, to $275.9 million for the six months ended September 30, 2021 as compared to the six months ended September 30, 2020, primarily reflecting increases in net management and advisory fees, realized carried interest allocation revenues and incentive fees.</w:t>
      </w:r>
    </w:p>
    <w:p>
      <w:pPr>
        <w:spacing w:after="0" w:line="186" w:lineRule="exact"/>
        <w:rPr>
          <w:sz w:val="20"/>
          <w:szCs w:val="20"/>
          <w:color w:val="auto"/>
        </w:rPr>
      </w:pPr>
    </w:p>
    <w:p>
      <w:pPr>
        <w:jc w:val="both"/>
        <w:ind w:right="80" w:firstLine="648"/>
        <w:spacing w:after="0" w:line="250" w:lineRule="auto"/>
        <w:rPr>
          <w:sz w:val="20"/>
          <w:szCs w:val="20"/>
          <w:color w:val="auto"/>
        </w:rPr>
      </w:pPr>
      <w:r>
        <w:rPr>
          <w:rFonts w:ascii="Arial" w:cs="Arial" w:eastAsia="Arial" w:hAnsi="Arial"/>
          <w:sz w:val="20"/>
          <w:szCs w:val="20"/>
          <w:color w:val="auto"/>
        </w:rPr>
        <w:t>ANI increased $46.9 million, or 139%, to $80.6 million for the six months ended September 30, 2021 as compared to the six months ended September 30, 2020, primarily due to higher net realized performance fee-related earnings, lower interest expense and the increase in FRE as discussed below.</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Net Income Per Share</w:t>
      </w:r>
    </w:p>
    <w:p>
      <w:pPr>
        <w:spacing w:after="0" w:line="222"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auto"/>
        </w:rPr>
        <w:t>The following table shows a reconciliation of diluted weighted-average shares of Class A common stock outstanding to adjusted shares outstanding used in the computation of ANI per share for the three and six months ended September 30, 2021 and 2020. As Class A common stock did not exist prior to the Reorganization and IPO, the number of adjusted shares outstanding used in the computation of ANI per share for all prior year periods presented reflect the number of adjusted shares for the period from the IPO date to September 30, 2020 for comparability purposes.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320" w:type="dxa"/>
            <w:vAlign w:val="bottom"/>
          </w:tcPr>
          <w:p>
            <w:pPr>
              <w:spacing w:after="0"/>
              <w:rPr>
                <w:sz w:val="20"/>
                <w:szCs w:val="20"/>
                <w:color w:val="auto"/>
              </w:rPr>
            </w:pPr>
          </w:p>
        </w:tc>
        <w:tc>
          <w:tcPr>
            <w:tcW w:w="32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6"/>
              </w:rPr>
              <w:t>Six Months Ended September 30,</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(in thousands, except share and per share amounts)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40,115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80,648</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33,741</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960" w:type="dxa"/>
            <w:vAlign w:val="bottom"/>
          </w:tcPr>
          <w:p>
            <w:pPr>
              <w:ind w:left="20"/>
              <w:spacing w:after="0" w:line="176" w:lineRule="exact"/>
              <w:rPr>
                <w:sz w:val="20"/>
                <w:szCs w:val="20"/>
                <w:color w:val="auto"/>
              </w:rPr>
            </w:pPr>
            <w:r>
              <w:rPr>
                <w:rFonts w:ascii="Arial" w:cs="Arial" w:eastAsia="Arial" w:hAnsi="Arial"/>
                <w:sz w:val="18"/>
                <w:szCs w:val="18"/>
                <w:color w:val="auto"/>
                <w:w w:val="94"/>
              </w:rPr>
              <w:t>Weighted-average shares of Class A common stock</w:t>
            </w:r>
          </w:p>
        </w:tc>
        <w:tc>
          <w:tcPr>
            <w:tcW w:w="26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41,745,492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29,237,500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40,401,379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29,237,500</w:t>
            </w:r>
          </w:p>
        </w:tc>
        <w:tc>
          <w:tcPr>
            <w:tcW w:w="0" w:type="dxa"/>
            <w:vAlign w:val="bottom"/>
          </w:tcPr>
          <w:p>
            <w:pPr>
              <w:spacing w:after="0"/>
              <w:rPr>
                <w:sz w:val="1"/>
                <w:szCs w:val="1"/>
                <w:color w:val="auto"/>
              </w:rPr>
            </w:pPr>
          </w:p>
        </w:tc>
      </w:tr>
      <w:tr>
        <w:trPr>
          <w:trHeight w:val="230"/>
        </w:trPr>
        <w:tc>
          <w:tcPr>
            <w:tcW w:w="3960" w:type="dxa"/>
            <w:vAlign w:val="bottom"/>
          </w:tcPr>
          <w:p>
            <w:pPr>
              <w:ind w:left="240"/>
              <w:spacing w:after="0" w:line="230" w:lineRule="exact"/>
              <w:rPr>
                <w:sz w:val="20"/>
                <w:szCs w:val="20"/>
                <w:color w:val="auto"/>
              </w:rPr>
            </w:pPr>
            <w:r>
              <w:rPr>
                <w:rFonts w:ascii="Arial" w:cs="Arial" w:eastAsia="Arial" w:hAnsi="Arial"/>
                <w:sz w:val="18"/>
                <w:szCs w:val="18"/>
                <w:color w:val="auto"/>
              </w:rPr>
              <w:t>outstanding – Basic</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Assumed vesting of RSUs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1,523,631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745,347</w:t>
            </w:r>
          </w:p>
        </w:tc>
        <w:tc>
          <w:tcPr>
            <w:tcW w:w="0" w:type="dxa"/>
            <w:vAlign w:val="bottom"/>
          </w:tcPr>
          <w:p>
            <w:pPr>
              <w:spacing w:after="0"/>
              <w:rPr>
                <w:sz w:val="1"/>
                <w:szCs w:val="1"/>
                <w:color w:val="auto"/>
              </w:rPr>
            </w:pPr>
          </w:p>
        </w:tc>
      </w:tr>
      <w:tr>
        <w:trPr>
          <w:trHeight w:val="176"/>
        </w:trPr>
        <w:tc>
          <w:tcPr>
            <w:tcW w:w="3960" w:type="dxa"/>
            <w:vAlign w:val="bottom"/>
          </w:tcPr>
          <w:p>
            <w:pPr>
              <w:ind w:left="460"/>
              <w:spacing w:after="0" w:line="176" w:lineRule="exact"/>
              <w:rPr>
                <w:sz w:val="20"/>
                <w:szCs w:val="20"/>
                <w:color w:val="auto"/>
              </w:rPr>
            </w:pPr>
            <w:r>
              <w:rPr>
                <w:rFonts w:ascii="Arial" w:cs="Arial" w:eastAsia="Arial" w:hAnsi="Arial"/>
                <w:sz w:val="18"/>
                <w:szCs w:val="18"/>
                <w:color w:val="auto"/>
                <w:w w:val="98"/>
              </w:rPr>
              <w:t>Assumed vesting and exchange of Class B2</w:t>
            </w:r>
          </w:p>
        </w:tc>
        <w:tc>
          <w:tcPr>
            <w:tcW w:w="26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2,471,208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2,411,318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2,480,045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2,411,318</w:t>
            </w:r>
          </w:p>
        </w:tc>
        <w:tc>
          <w:tcPr>
            <w:tcW w:w="0" w:type="dxa"/>
            <w:vAlign w:val="bottom"/>
          </w:tcPr>
          <w:p>
            <w:pPr>
              <w:spacing w:after="0"/>
              <w:rPr>
                <w:sz w:val="1"/>
                <w:szCs w:val="1"/>
                <w:color w:val="auto"/>
              </w:rPr>
            </w:pPr>
          </w:p>
        </w:tc>
      </w:tr>
      <w:tr>
        <w:trPr>
          <w:trHeight w:val="229"/>
        </w:trPr>
        <w:tc>
          <w:tcPr>
            <w:tcW w:w="3960" w:type="dxa"/>
            <w:vAlign w:val="bottom"/>
          </w:tcPr>
          <w:p>
            <w:pPr>
              <w:ind w:left="680"/>
              <w:spacing w:after="0" w:line="230" w:lineRule="exact"/>
              <w:rPr>
                <w:sz w:val="20"/>
                <w:szCs w:val="20"/>
                <w:color w:val="auto"/>
              </w:rPr>
            </w:pPr>
            <w:r>
              <w:rPr>
                <w:rFonts w:ascii="Arial" w:cs="Arial" w:eastAsia="Arial" w:hAnsi="Arial"/>
                <w:sz w:val="18"/>
                <w:szCs w:val="18"/>
                <w:color w:val="auto"/>
              </w:rPr>
              <w:t>units</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w w:val="88"/>
              </w:rPr>
              <w:t>Exchange of Class B units in the Partnership</w:t>
            </w:r>
            <w:r>
              <w:rPr>
                <w:rFonts w:ascii="Arial" w:cs="Arial" w:eastAsia="Arial" w:hAnsi="Arial"/>
                <w:sz w:val="23"/>
                <w:szCs w:val="23"/>
                <w:color w:val="auto"/>
                <w:w w:val="88"/>
                <w:vertAlign w:val="superscript"/>
              </w:rPr>
              <w:t>(1)(2)</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54,457,705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65,578,831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55,112,174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65,578,831</w:t>
            </w:r>
          </w:p>
        </w:tc>
        <w:tc>
          <w:tcPr>
            <w:tcW w:w="0" w:type="dxa"/>
            <w:vAlign w:val="bottom"/>
          </w:tcPr>
          <w:p>
            <w:pPr>
              <w:spacing w:after="0"/>
              <w:rPr>
                <w:sz w:val="1"/>
                <w:szCs w:val="1"/>
                <w:color w:val="auto"/>
              </w:rPr>
            </w:pPr>
          </w:p>
        </w:tc>
      </w:tr>
      <w:tr>
        <w:trPr>
          <w:trHeight w:val="229"/>
        </w:trPr>
        <w:tc>
          <w:tcPr>
            <w:tcW w:w="3960" w:type="dxa"/>
            <w:vAlign w:val="bottom"/>
          </w:tcPr>
          <w:p>
            <w:pPr>
              <w:ind w:left="460"/>
              <w:spacing w:after="0" w:line="230" w:lineRule="exact"/>
              <w:rPr>
                <w:sz w:val="20"/>
                <w:szCs w:val="20"/>
                <w:color w:val="auto"/>
              </w:rPr>
            </w:pPr>
            <w:r>
              <w:rPr>
                <w:rFonts w:ascii="Arial" w:cs="Arial" w:eastAsia="Arial" w:hAnsi="Arial"/>
                <w:sz w:val="18"/>
                <w:szCs w:val="18"/>
                <w:color w:val="auto"/>
                <w:w w:val="92"/>
              </w:rPr>
              <w:t>Exchange of Class C units in the Partnership</w:t>
            </w:r>
            <w:r>
              <w:rPr>
                <w:rFonts w:ascii="Arial" w:cs="Arial" w:eastAsia="Arial" w:hAnsi="Arial"/>
                <w:sz w:val="23"/>
                <w:szCs w:val="23"/>
                <w:color w:val="auto"/>
                <w:w w:val="92"/>
                <w:vertAlign w:val="superscript"/>
              </w:rPr>
              <w:t>(3)</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333,861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167,843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96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Adjusted shares</w:t>
            </w:r>
            <w:r>
              <w:rPr>
                <w:rFonts w:ascii="Arial" w:cs="Arial" w:eastAsia="Arial" w:hAnsi="Arial"/>
                <w:sz w:val="23"/>
                <w:szCs w:val="23"/>
                <w:color w:val="auto"/>
                <w:vertAlign w:val="superscript"/>
              </w:rPr>
              <w:t>(1)</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100,699,927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97,972,996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99,685,072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97,972,996</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60" w:hanging="652"/>
        <w:spacing w:after="0" w:line="250" w:lineRule="auto"/>
        <w:tabs>
          <w:tab w:leader="none" w:pos="6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Class A common stock did not exist prior to the Reorganization and IPO in September 2020. As a result, the number of adjusted shares outstanding used in the computation of ANI per share for all prior year periods presented reflect the number of adjusted shares for the period from the IPO date to September 30, 2020 for comparability purposes.</w:t>
      </w:r>
    </w:p>
    <w:p>
      <w:pPr>
        <w:spacing w:after="0" w:line="1" w:lineRule="exact"/>
        <w:rPr>
          <w:rFonts w:ascii="Arial" w:cs="Arial" w:eastAsia="Arial" w:hAnsi="Arial"/>
          <w:sz w:val="18"/>
          <w:szCs w:val="18"/>
          <w:color w:val="auto"/>
        </w:rPr>
      </w:pPr>
    </w:p>
    <w:p>
      <w:pPr>
        <w:ind w:left="640" w:hanging="632"/>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Assumes the full exchange of Class B units in the Partnership for Class A common stock of SSG pursuant to the exchange agreement.</w:t>
      </w:r>
    </w:p>
    <w:p>
      <w:pPr>
        <w:spacing w:after="0" w:line="20" w:lineRule="exact"/>
        <w:rPr>
          <w:rFonts w:ascii="Arial" w:cs="Arial" w:eastAsia="Arial" w:hAnsi="Arial"/>
          <w:sz w:val="17"/>
          <w:szCs w:val="17"/>
          <w:color w:val="auto"/>
        </w:rPr>
      </w:pPr>
    </w:p>
    <w:p>
      <w:pPr>
        <w:ind w:left="640" w:hanging="632"/>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Assumes the full exchange of Class C units in the Partnership for Class A common stock of SSG pursuant to the exchange agreement.</w:t>
      </w:r>
    </w:p>
    <w:p>
      <w:pPr>
        <w:spacing w:after="0" w:line="213"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0"/>
          <w:szCs w:val="20"/>
          <w:b w:val="1"/>
          <w:bCs w:val="1"/>
          <w:color w:val="auto"/>
        </w:rPr>
        <w:t>Fee-Related Earnings</w:t>
      </w:r>
    </w:p>
    <w:p>
      <w:pPr>
        <w:spacing w:after="0" w:line="22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0"/>
          <w:szCs w:val="20"/>
          <w:i w:val="1"/>
          <w:iCs w:val="1"/>
          <w:color w:val="auto"/>
        </w:rPr>
        <w:t>Three Months Ended September 30, 2021 Compared to Three Months Ended September 30, 2020</w:t>
      </w:r>
    </w:p>
    <w:p>
      <w:pPr>
        <w:spacing w:after="0" w:line="216"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FRE decreased $1.5 million, or 5%, to $26.4 million for the three months ended September 30, 2021 as compared to the three months ended September 30, 2020, primarily reflecting higher cash-based compensation and general, administrative and other expenses, partially offset by higher net management and advisory fees.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2021 Compared to Six Months Ended September 30, 2020</w:t>
      </w:r>
    </w:p>
    <w:p>
      <w:pPr>
        <w:spacing w:after="0" w:line="216" w:lineRule="exact"/>
        <w:rPr>
          <w:sz w:val="20"/>
          <w:szCs w:val="20"/>
          <w:color w:val="auto"/>
        </w:rPr>
      </w:pPr>
    </w:p>
    <w:p>
      <w:pPr>
        <w:ind w:right="220" w:firstLine="648"/>
        <w:spacing w:after="0" w:line="250" w:lineRule="auto"/>
        <w:rPr>
          <w:sz w:val="20"/>
          <w:szCs w:val="20"/>
          <w:color w:val="auto"/>
        </w:rPr>
      </w:pPr>
      <w:r>
        <w:rPr>
          <w:rFonts w:ascii="Arial" w:cs="Arial" w:eastAsia="Arial" w:hAnsi="Arial"/>
          <w:sz w:val="20"/>
          <w:szCs w:val="20"/>
          <w:color w:val="auto"/>
        </w:rPr>
        <w:t>FRE increased $3.4 million, or 7%, to $49.5 million for the six months ended September 30, 2021 as compared to the six months ended September 30, 2020, primarily reflecting higher net management and advisory fees, partially offset by higher general, administrative and other expenses and cash-based compensation.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Reconciliation of GAAP to Non-GAAP Financial Measures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table below shows a reconciliation of revenues to adjusted revenues.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0"/>
                <w:szCs w:val="20"/>
                <w:color w:val="auto"/>
              </w:rPr>
            </w:pPr>
          </w:p>
        </w:tc>
        <w:tc>
          <w:tcPr>
            <w:tcW w:w="32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5"/>
              </w:rPr>
              <w:t>Six Months Ended September 30,</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590,370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181,500</w:t>
            </w: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rPr>
              <w:t>Unrealized carried interest allocations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(143,855)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(157,509)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(320,254)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(25,369)</w:t>
            </w:r>
          </w:p>
        </w:tc>
      </w:tr>
      <w:tr>
        <w:trPr>
          <w:trHeight w:val="229"/>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incentive fees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r>
      <w:tr>
        <w:trPr>
          <w:trHeight w:val="230"/>
        </w:trPr>
        <w:tc>
          <w:tcPr>
            <w:tcW w:w="4100" w:type="dxa"/>
            <w:vAlign w:val="bottom"/>
          </w:tcPr>
          <w:p>
            <w:pPr>
              <w:ind w:left="460"/>
              <w:spacing w:after="0" w:line="230" w:lineRule="exact"/>
              <w:rPr>
                <w:sz w:val="20"/>
                <w:szCs w:val="20"/>
                <w:color w:val="auto"/>
              </w:rPr>
            </w:pPr>
            <w:r>
              <w:rPr>
                <w:rFonts w:ascii="Arial" w:cs="Arial" w:eastAsia="Arial" w:hAnsi="Arial"/>
                <w:sz w:val="18"/>
                <w:szCs w:val="18"/>
                <w:color w:val="auto"/>
                <w:w w:val="91"/>
              </w:rPr>
              <w:t>Legacy Greenspring carried interest allocations</w:t>
            </w:r>
            <w:r>
              <w:rPr>
                <w:rFonts w:ascii="Arial" w:cs="Arial" w:eastAsia="Arial" w:hAnsi="Arial"/>
                <w:sz w:val="23"/>
                <w:szCs w:val="23"/>
                <w:color w:val="auto"/>
                <w:w w:val="91"/>
                <w:vertAlign w:val="superscript"/>
              </w:rPr>
              <w:t>(1)</w:t>
            </w:r>
          </w:p>
        </w:tc>
        <w:tc>
          <w:tcPr>
            <w:tcW w:w="2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revenues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160,831</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660" w:right="220" w:hanging="652"/>
        <w:spacing w:after="0" w:line="260" w:lineRule="auto"/>
        <w:tabs>
          <w:tab w:leader="none" w:pos="654"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the net effect of gross realized carried interest allocations of $3.0 million and the reversal of such amounts in unrealized carried interest allocations for the period from September 20, 2021 to September 30, 2021.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table below shows a reconciliation of income before income tax to ANI and FRE.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0"/>
                <w:szCs w:val="20"/>
                <w:color w:val="auto"/>
              </w:rPr>
            </w:pPr>
          </w:p>
        </w:tc>
        <w:tc>
          <w:tcPr>
            <w:tcW w:w="32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5"/>
              </w:rPr>
              <w:t>Six Months Ended September 30,</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254,659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58,048</w:t>
            </w:r>
          </w:p>
        </w:tc>
        <w:tc>
          <w:tcPr>
            <w:tcW w:w="0" w:type="dxa"/>
            <w:vAlign w:val="bottom"/>
          </w:tcPr>
          <w:p>
            <w:pPr>
              <w:spacing w:after="0"/>
              <w:rPr>
                <w:sz w:val="1"/>
                <w:szCs w:val="1"/>
                <w:color w:val="auto"/>
              </w:rPr>
            </w:pPr>
          </w:p>
        </w:tc>
      </w:tr>
      <w:tr>
        <w:trPr>
          <w:trHeight w:val="176"/>
        </w:trPr>
        <w:tc>
          <w:tcPr>
            <w:tcW w:w="4100" w:type="dxa"/>
            <w:vAlign w:val="bottom"/>
          </w:tcPr>
          <w:p>
            <w:pPr>
              <w:ind w:left="460"/>
              <w:spacing w:after="0" w:line="176"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(5,905)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(8,983)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(11,625)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(13,669)</w:t>
            </w:r>
          </w:p>
        </w:tc>
        <w:tc>
          <w:tcPr>
            <w:tcW w:w="0" w:type="dxa"/>
            <w:vAlign w:val="bottom"/>
          </w:tcPr>
          <w:p>
            <w:pPr>
              <w:spacing w:after="0"/>
              <w:rPr>
                <w:sz w:val="1"/>
                <w:szCs w:val="1"/>
                <w:color w:val="auto"/>
              </w:rPr>
            </w:pPr>
          </w:p>
        </w:tc>
      </w:tr>
      <w:tr>
        <w:trPr>
          <w:trHeight w:val="229"/>
        </w:trPr>
        <w:tc>
          <w:tcPr>
            <w:tcW w:w="4100" w:type="dxa"/>
            <w:vAlign w:val="bottom"/>
          </w:tcPr>
          <w:p>
            <w:pPr>
              <w:ind w:left="680"/>
              <w:spacing w:after="0" w:line="230" w:lineRule="exact"/>
              <w:rPr>
                <w:sz w:val="20"/>
                <w:szCs w:val="20"/>
                <w:color w:val="auto"/>
              </w:rPr>
            </w:pPr>
            <w:r>
              <w:rPr>
                <w:rFonts w:ascii="Arial" w:cs="Arial" w:eastAsia="Arial" w:hAnsi="Arial"/>
                <w:sz w:val="18"/>
                <w:szCs w:val="18"/>
                <w:color w:val="auto"/>
              </w:rPr>
              <w:t>interests in subsidiaries</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Unrealized carried interest allocation revenue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(143,855)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(320,254)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(25,369)</w:t>
            </w:r>
          </w:p>
        </w:tc>
        <w:tc>
          <w:tcPr>
            <w:tcW w:w="0" w:type="dxa"/>
            <w:vAlign w:val="bottom"/>
          </w:tcPr>
          <w:p>
            <w:pPr>
              <w:spacing w:after="0"/>
              <w:rPr>
                <w:sz w:val="1"/>
                <w:szCs w:val="1"/>
                <w:color w:val="auto"/>
              </w:rPr>
            </w:pP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w w:val="90"/>
              </w:rPr>
              <w:t>Unrealized performance fee-related compensation</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74,206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78,533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159,778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9,858</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Unrealized investment income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rPr>
              <w:t>Deferred incentive fees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1,769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5,811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Equity-based compensation</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2,490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3"/>
              </w:rPr>
              <w:t>Write-off of unamortized deferred financing costs</w:t>
            </w: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175"/>
        </w:trPr>
        <w:tc>
          <w:tcPr>
            <w:tcW w:w="4100" w:type="dxa"/>
            <w:vAlign w:val="bottom"/>
          </w:tcPr>
          <w:p>
            <w:pPr>
              <w:ind w:left="460"/>
              <w:spacing w:after="0" w:line="176" w:lineRule="exact"/>
              <w:rPr>
                <w:sz w:val="20"/>
                <w:szCs w:val="20"/>
                <w:color w:val="auto"/>
              </w:rPr>
            </w:pPr>
            <w:r>
              <w:rPr>
                <w:rFonts w:ascii="Arial" w:cs="Arial" w:eastAsia="Arial" w:hAnsi="Arial"/>
                <w:sz w:val="18"/>
                <w:szCs w:val="18"/>
                <w:color w:val="auto"/>
                <w:w w:val="91"/>
              </w:rPr>
              <w:t>Tax Receivable Agreements adjustments through</w:t>
            </w:r>
          </w:p>
        </w:tc>
        <w:tc>
          <w:tcPr>
            <w:tcW w:w="24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1,391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1,391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680"/>
              <w:spacing w:after="0"/>
              <w:rPr>
                <w:sz w:val="20"/>
                <w:szCs w:val="20"/>
                <w:color w:val="auto"/>
              </w:rPr>
            </w:pPr>
            <w:r>
              <w:rPr>
                <w:rFonts w:ascii="Arial" w:cs="Arial" w:eastAsia="Arial" w:hAnsi="Arial"/>
                <w:sz w:val="18"/>
                <w:szCs w:val="18"/>
                <w:color w:val="auto"/>
              </w:rPr>
              <w:t>earnings</w:t>
            </w:r>
          </w:p>
        </w:tc>
        <w:tc>
          <w:tcPr>
            <w:tcW w:w="24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Non-core items</w:t>
            </w:r>
            <w:r>
              <w:rPr>
                <w:rFonts w:ascii="Arial" w:cs="Arial" w:eastAsia="Arial" w:hAnsi="Arial"/>
                <w:sz w:val="23"/>
                <w:szCs w:val="23"/>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Pre-tax adjusted net income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51,795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104,129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44,989</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Income taxes</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(11,248)</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40,115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80,648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33,741</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Income taxes</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11,248</w:t>
            </w:r>
          </w:p>
        </w:tc>
        <w:tc>
          <w:tcPr>
            <w:tcW w:w="0" w:type="dxa"/>
            <w:vAlign w:val="bottom"/>
          </w:tcPr>
          <w:p>
            <w:pPr>
              <w:spacing w:after="0"/>
              <w:rPr>
                <w:sz w:val="1"/>
                <w:szCs w:val="1"/>
                <w:color w:val="auto"/>
              </w:rPr>
            </w:pP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rPr>
              <w:t>Realized carried interest allocation revenue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(52,531)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(102,494)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(12,194)</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4"/>
              </w:rPr>
              <w:t>Realized performance fee-related compensation</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7,711</w:t>
            </w:r>
          </w:p>
        </w:tc>
        <w:tc>
          <w:tcPr>
            <w:tcW w:w="0" w:type="dxa"/>
            <w:vAlign w:val="bottom"/>
          </w:tcPr>
          <w:p>
            <w:pPr>
              <w:spacing w:after="0"/>
              <w:rPr>
                <w:sz w:val="1"/>
                <w:szCs w:val="1"/>
                <w:color w:val="auto"/>
              </w:rPr>
            </w:pP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rPr>
              <w:t>Realized investment income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(4,834)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Incentive fees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0" w:type="dxa"/>
            <w:vAlign w:val="bottom"/>
          </w:tcPr>
          <w:p>
            <w:pPr>
              <w:spacing w:after="0"/>
              <w:rPr>
                <w:sz w:val="1"/>
                <w:szCs w:val="1"/>
                <w:color w:val="auto"/>
              </w:rPr>
            </w:pP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rPr>
              <w:t>Deferred incentive fees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(1,769)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(5,811)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7,327</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Other (income) loss</w:t>
            </w:r>
            <w:r>
              <w:rPr>
                <w:rFonts w:ascii="Arial" w:cs="Arial" w:eastAsia="Arial" w:hAnsi="Arial"/>
                <w:sz w:val="23"/>
                <w:szCs w:val="23"/>
                <w:color w:val="auto"/>
                <w:vertAlign w:val="superscript"/>
              </w:rPr>
              <w:t>(5)(6)</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w w:val="93"/>
              </w:rPr>
              <w:t>Write-off of unamortized deferred financing costs</w:t>
            </w:r>
          </w:p>
        </w:tc>
        <w:tc>
          <w:tcPr>
            <w:tcW w:w="2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175"/>
        </w:trPr>
        <w:tc>
          <w:tcPr>
            <w:tcW w:w="41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8,983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11,625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13,669</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color w:val="auto"/>
              </w:rPr>
              <w:t>interests in subsidiaries</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Fee-related earnings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46,102</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300" w:hanging="652"/>
        <w:spacing w:after="0" w:line="250" w:lineRule="auto"/>
        <w:tabs>
          <w:tab w:leader="none" w:pos="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income attributable to non-controlling interests in subsidiaries net of non-controlling interest portion of unrealized investment income (loss) ($0.1 million for the three months ended September 30, 2021 and 2020, and $21 thousand and $(0.5) million for the six months ended September 30, 2021 and 2020, respectively).</w:t>
      </w:r>
    </w:p>
    <w:p>
      <w:pPr>
        <w:spacing w:after="0" w:line="1" w:lineRule="exact"/>
        <w:rPr>
          <w:rFonts w:ascii="Arial" w:cs="Arial" w:eastAsia="Arial" w:hAnsi="Arial"/>
          <w:sz w:val="18"/>
          <w:szCs w:val="18"/>
          <w:color w:val="auto"/>
        </w:rPr>
      </w:pPr>
    </w:p>
    <w:p>
      <w:pPr>
        <w:ind w:left="640" w:hanging="632"/>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equity-based compensation for awards granted prior to and in connection with the IPO.</w:t>
      </w:r>
    </w:p>
    <w:p>
      <w:pPr>
        <w:spacing w:after="0" w:line="9" w:lineRule="exact"/>
        <w:rPr>
          <w:rFonts w:ascii="Arial" w:cs="Arial" w:eastAsia="Arial" w:hAnsi="Arial"/>
          <w:sz w:val="18"/>
          <w:szCs w:val="18"/>
          <w:color w:val="auto"/>
        </w:rPr>
      </w:pPr>
    </w:p>
    <w:p>
      <w:pPr>
        <w:jc w:val="both"/>
        <w:ind w:left="660" w:right="60" w:hanging="652"/>
        <w:spacing w:after="0" w:line="255" w:lineRule="auto"/>
        <w:tabs>
          <w:tab w:leader="none" w:pos="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transaction costs ($10.3 million and $13.8 million for the three and six months ended September 30, 2021, respectively), severance costs ($0.1 million for the three months ended September 30, 2020, and $0.1 million and $4.1 million for the six months ended September 30, 2021 and 2020, respectively), and other non-core operating income and expenses.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44" w:lineRule="exact"/>
        <w:rPr>
          <w:sz w:val="20"/>
          <w:szCs w:val="20"/>
          <w:color w:val="auto"/>
        </w:rPr>
      </w:pPr>
    </w:p>
    <w:p>
      <w:pPr>
        <w:ind w:left="660" w:right="100" w:hanging="652"/>
        <w:spacing w:after="0" w:line="285" w:lineRule="auto"/>
        <w:tabs>
          <w:tab w:leader="none" w:pos="654"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corporate income taxes at a blended statutory rate of 22.6% applied to pre-tax adjusted net income for the three and six months ended September 30, 2021, and a blended statutory rate of 25.0% applied to pre-tax adjusted net income for the three and six months ended September 30, 2020. The 22.6% rate for the three and six months ended September 30, 2021 is based on a federal statutory rate of 21.0% and a combined state, local and foreign rate net of federal benefits of 1.6%, and the 25.0% rate for the three and six months ended September 30, 2020 is based on a federal statutory rate of 21.0% and a combined state, local and foreign rate net of federal benefits of 4.0%.</w:t>
      </w:r>
    </w:p>
    <w:p>
      <w:pPr>
        <w:spacing w:after="0" w:line="1" w:lineRule="exact"/>
        <w:rPr>
          <w:rFonts w:ascii="Arial" w:cs="Arial" w:eastAsia="Arial" w:hAnsi="Arial"/>
          <w:sz w:val="16"/>
          <w:szCs w:val="16"/>
          <w:color w:val="auto"/>
        </w:rPr>
      </w:pPr>
    </w:p>
    <w:p>
      <w:pPr>
        <w:ind w:left="660" w:right="60" w:hanging="652"/>
        <w:spacing w:after="0" w:line="265" w:lineRule="auto"/>
        <w:tabs>
          <w:tab w:leader="none" w:pos="654" w:val="left"/>
        </w:tabs>
        <w:numPr>
          <w:ilvl w:val="0"/>
          <w:numId w:val="40"/>
        </w:numPr>
        <w:rPr>
          <w:rFonts w:ascii="Arial" w:cs="Arial" w:eastAsia="Arial" w:hAnsi="Arial"/>
          <w:sz w:val="17"/>
          <w:szCs w:val="17"/>
          <w:color w:val="auto"/>
        </w:rPr>
      </w:pPr>
      <w:r>
        <w:rPr>
          <w:rFonts w:ascii="Arial" w:cs="Arial" w:eastAsia="Arial" w:hAnsi="Arial"/>
          <w:sz w:val="17"/>
          <w:szCs w:val="17"/>
          <w:color w:val="auto"/>
        </w:rPr>
        <w:t>Beginning in the quarter ended December 31, 2020, foreign currency transaction gains and losses have been reclassified from general, administrative and other expenses to other income (loss) in our consolidated income statements. We have revised prior periods presented to reflect this reclassification ($0.2 million and $0.5 million for the three and six months ended September 30, 2020, respectively).</w:t>
      </w:r>
    </w:p>
    <w:p>
      <w:pPr>
        <w:ind w:left="660" w:right="140" w:hanging="652"/>
        <w:spacing w:after="0" w:line="260" w:lineRule="auto"/>
        <w:tabs>
          <w:tab w:leader="none" w:pos="6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other income (loss) net of amounts for Tax Receivable Agreements adjustments recognized as other income (loss) ($(1.4) million for the three and six months ended September 30, 2021).</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Investment Performance</w:t>
      </w:r>
    </w:p>
    <w:p>
      <w:pPr>
        <w:spacing w:after="0" w:line="222"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The following table presents information relating to the performance of all the investments that StepStone has recommended and subsequently tracked across asset classes and investment strategies, except as set forth in greater detail below. The data for these investments is generally presented from the inception date of each strategy and asset class through June 30, 2021 and have not been adjusted to reflect acquisitions or disposals of investments subsequent to that date.</w:t>
      </w:r>
    </w:p>
    <w:p>
      <w:pPr>
        <w:spacing w:after="0" w:line="191"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The historical results of our investments are not indicative of future results to be expected of existing or new investment funds, and are not a proxy for the performance of our Class A common stock, including because:</w:t>
      </w:r>
    </w:p>
    <w:p>
      <w:pPr>
        <w:spacing w:after="0" w:line="177"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market conditions and investment opportunities may differ from those in the past;</w:t>
      </w:r>
    </w:p>
    <w:p>
      <w:pPr>
        <w:spacing w:after="0" w:line="215" w:lineRule="exact"/>
        <w:rPr>
          <w:rFonts w:ascii="Arial" w:cs="Arial" w:eastAsia="Arial" w:hAnsi="Arial"/>
          <w:sz w:val="20"/>
          <w:szCs w:val="20"/>
          <w:color w:val="auto"/>
        </w:rPr>
      </w:pPr>
    </w:p>
    <w:p>
      <w:pPr>
        <w:ind w:left="660" w:right="200" w:hanging="328"/>
        <w:spacing w:after="0" w:line="260" w:lineRule="auto"/>
        <w:tabs>
          <w:tab w:leader="none" w:pos="648"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performance of our funds is largely based on the NAV (as defined below) of the funds’ investments, including unrealized gains, which may never be realized;</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newly-established funds may generate lower investment returns during the period that they initially deploy their capital;</w:t>
      </w:r>
    </w:p>
    <w:p>
      <w:pPr>
        <w:spacing w:after="0" w:line="215" w:lineRule="exact"/>
        <w:rPr>
          <w:rFonts w:ascii="Arial" w:cs="Arial" w:eastAsia="Arial" w:hAnsi="Arial"/>
          <w:sz w:val="20"/>
          <w:szCs w:val="20"/>
          <w:color w:val="auto"/>
        </w:rPr>
      </w:pPr>
    </w:p>
    <w:p>
      <w:pPr>
        <w:ind w:left="660" w:hanging="328"/>
        <w:spacing w:after="0" w:line="250" w:lineRule="auto"/>
        <w:tabs>
          <w:tab w:leader="none" w:pos="648" w:val="left"/>
        </w:tabs>
        <w:numPr>
          <w:ilvl w:val="0"/>
          <w:numId w:val="41"/>
        </w:numPr>
        <w:rPr>
          <w:rFonts w:ascii="Arial" w:cs="Arial" w:eastAsia="Arial" w:hAnsi="Arial"/>
          <w:sz w:val="20"/>
          <w:szCs w:val="20"/>
          <w:color w:val="auto"/>
        </w:rPr>
      </w:pPr>
      <w:r>
        <w:rPr>
          <w:rFonts w:ascii="Arial" w:cs="Arial" w:eastAsia="Arial" w:hAnsi="Arial"/>
          <w:sz w:val="20"/>
          <w:szCs w:val="20"/>
          <w:color w:val="auto"/>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spacing w:after="0" w:line="185" w:lineRule="exact"/>
        <w:rPr>
          <w:rFonts w:ascii="Arial" w:cs="Arial" w:eastAsia="Arial" w:hAnsi="Arial"/>
          <w:sz w:val="20"/>
          <w:szCs w:val="20"/>
          <w:color w:val="auto"/>
        </w:rPr>
      </w:pPr>
    </w:p>
    <w:p>
      <w:pPr>
        <w:ind w:left="660" w:right="340" w:hanging="328"/>
        <w:spacing w:after="0" w:line="316"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industries and businesses in which particular funds invest will vary.</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Historical and future returns of investments included in our track record are not directly correlated to potential returns on our Class A common stock.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the purposes of the following table:</w:t>
      </w:r>
    </w:p>
    <w:p>
      <w:pPr>
        <w:spacing w:after="0" w:line="216" w:lineRule="exact"/>
        <w:rPr>
          <w:sz w:val="20"/>
          <w:szCs w:val="20"/>
          <w:color w:val="auto"/>
        </w:rPr>
      </w:pPr>
    </w:p>
    <w:p>
      <w:pPr>
        <w:ind w:left="660" w:right="1000" w:hanging="328"/>
        <w:spacing w:after="0" w:line="260" w:lineRule="auto"/>
        <w:tabs>
          <w:tab w:leader="none" w:pos="648"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“Invested capital” refers to the total amount of all investments made by a fund, including commitment-reducing and non-commitment-reducing capital calls;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41" w:lineRule="exact"/>
        <w:rPr>
          <w:sz w:val="20"/>
          <w:szCs w:val="20"/>
          <w:color w:val="auto"/>
        </w:rPr>
      </w:pPr>
    </w:p>
    <w:p>
      <w:pPr>
        <w:ind w:left="660" w:right="120" w:hanging="328"/>
        <w:spacing w:after="0" w:line="260" w:lineRule="auto"/>
        <w:tabs>
          <w:tab w:leader="none" w:pos="648" w:val="left"/>
        </w:tabs>
        <w:numPr>
          <w:ilvl w:val="0"/>
          <w:numId w:val="43"/>
        </w:numPr>
        <w:rPr>
          <w:rFonts w:ascii="Arial" w:cs="Arial" w:eastAsia="Arial" w:hAnsi="Arial"/>
          <w:sz w:val="20"/>
          <w:szCs w:val="20"/>
          <w:color w:val="auto"/>
        </w:rPr>
      </w:pPr>
      <w:r>
        <w:rPr>
          <w:rFonts w:ascii="Arial" w:cs="Arial" w:eastAsia="Arial" w:hAnsi="Arial"/>
          <w:sz w:val="20"/>
          <w:szCs w:val="20"/>
          <w:color w:val="auto"/>
        </w:rPr>
        <w:t>“NAV” refers to the estimated fair value of unrealized investments plus any net assets or liabilities associated with the investment as of June 30, 2021;</w:t>
      </w:r>
    </w:p>
    <w:p>
      <w:pPr>
        <w:spacing w:after="0" w:line="176" w:lineRule="exact"/>
        <w:rPr>
          <w:rFonts w:ascii="Arial" w:cs="Arial" w:eastAsia="Arial" w:hAnsi="Arial"/>
          <w:sz w:val="20"/>
          <w:szCs w:val="20"/>
          <w:color w:val="auto"/>
        </w:rPr>
      </w:pPr>
    </w:p>
    <w:p>
      <w:pPr>
        <w:ind w:left="660" w:right="260" w:hanging="328"/>
        <w:spacing w:after="0" w:line="316"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“IRR” refers to the annualized internal rate of return for all investments within the relevant investment strategy on an inception-to-date basis as of June 30, 2021 (except as noted otherwise below), based on contributions, distributions and unrealized value;</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“Net IRR” refers to IRR net of fees and expenses charged by both the underlying fund managers and StepStone; and</w:t>
      </w:r>
    </w:p>
    <w:p>
      <w:pPr>
        <w:spacing w:after="0" w:line="215" w:lineRule="exact"/>
        <w:rPr>
          <w:rFonts w:ascii="Arial" w:cs="Arial" w:eastAsia="Arial" w:hAnsi="Arial"/>
          <w:sz w:val="20"/>
          <w:szCs w:val="20"/>
          <w:color w:val="auto"/>
        </w:rPr>
      </w:pPr>
    </w:p>
    <w:p>
      <w:pPr>
        <w:ind w:left="660" w:right="320" w:hanging="328"/>
        <w:spacing w:after="0" w:line="260" w:lineRule="auto"/>
        <w:tabs>
          <w:tab w:leader="none" w:pos="648" w:val="left"/>
        </w:tabs>
        <w:numPr>
          <w:ilvl w:val="0"/>
          <w:numId w:val="43"/>
        </w:numPr>
        <w:rPr>
          <w:rFonts w:ascii="Arial" w:cs="Arial" w:eastAsia="Arial" w:hAnsi="Arial"/>
          <w:sz w:val="20"/>
          <w:szCs w:val="20"/>
          <w:color w:val="auto"/>
        </w:rPr>
      </w:pPr>
      <w:r>
        <w:rPr>
          <w:rFonts w:ascii="Arial" w:cs="Arial" w:eastAsia="Arial" w:hAnsi="Arial"/>
          <w:sz w:val="20"/>
          <w:szCs w:val="20"/>
          <w:color w:val="auto"/>
        </w:rPr>
        <w:t>“Net TVM” refers to the total value to paid-in capital or invested capital expressed as a multiple, and is calculated as distributions plus unrealized valuations divided by invested capital (including all capitalized costs).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StepStone Performance Summary by Asset Class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PRIVATE EQUITY</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4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REAL ESTATE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INFRASTRUCTURE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PRIVATE DEBT</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4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940" w:type="dxa"/>
            <w:vAlign w:val="bottom"/>
            <w:shd w:val="clear" w:color="auto" w:fill="CCEEFF"/>
          </w:tcPr>
          <w:p>
            <w:pPr>
              <w:jc w:val="center"/>
              <w:ind w:left="234"/>
              <w:spacing w:after="0" w:line="135" w:lineRule="exact"/>
              <w:rPr>
                <w:sz w:val="20"/>
                <w:szCs w:val="20"/>
                <w:color w:val="auto"/>
              </w:rPr>
            </w:pPr>
            <w:r>
              <w:rPr>
                <w:rFonts w:ascii="Arial" w:cs="Arial" w:eastAsia="Arial" w:hAnsi="Arial"/>
                <w:sz w:val="14"/>
                <w:szCs w:val="14"/>
                <w:b w:val="1"/>
                <w:bCs w:val="1"/>
                <w:color w:val="auto"/>
                <w:w w:val="99"/>
              </w:rPr>
              <w:t>NET</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w w:val="99"/>
              </w:rPr>
              <w:t>NET</w:t>
            </w: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NET</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520" w:type="dxa"/>
            <w:vAlign w:val="bottom"/>
            <w:shd w:val="clear" w:color="auto" w:fill="CCEEFF"/>
          </w:tcPr>
          <w:p>
            <w:pPr>
              <w:jc w:val="center"/>
              <w:ind w:right="74"/>
              <w:spacing w:after="0" w:line="135" w:lineRule="exact"/>
              <w:rPr>
                <w:sz w:val="20"/>
                <w:szCs w:val="20"/>
                <w:color w:val="auto"/>
              </w:rPr>
            </w:pPr>
            <w:r>
              <w:rPr>
                <w:rFonts w:ascii="Arial" w:cs="Arial" w:eastAsia="Arial" w:hAnsi="Arial"/>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600" w:type="dxa"/>
            <w:vAlign w:val="bottom"/>
            <w:vMerge w:val="restart"/>
            <w:shd w:val="clear" w:color="auto" w:fill="CCEEFF"/>
          </w:tcPr>
          <w:p>
            <w:pPr>
              <w:ind w:left="80"/>
              <w:spacing w:after="0"/>
              <w:rPr>
                <w:sz w:val="20"/>
                <w:szCs w:val="20"/>
                <w:color w:val="auto"/>
              </w:rPr>
            </w:pPr>
            <w:r>
              <w:rPr>
                <w:rFonts w:ascii="Arial" w:cs="Arial" w:eastAsia="Arial" w:hAnsi="Arial"/>
                <w:sz w:val="28"/>
                <w:szCs w:val="28"/>
                <w:b w:val="1"/>
                <w:bCs w:val="1"/>
                <w:color w:val="auto"/>
                <w:vertAlign w:val="subscript"/>
              </w:rPr>
              <w:t>IRR</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(1,3)</w:t>
            </w:r>
          </w:p>
        </w:tc>
        <w:tc>
          <w:tcPr>
            <w:tcW w:w="940" w:type="dxa"/>
            <w:vAlign w:val="bottom"/>
            <w:shd w:val="clear" w:color="auto" w:fill="CCEEFF"/>
          </w:tcPr>
          <w:p>
            <w:pPr>
              <w:jc w:val="center"/>
              <w:ind w:left="234"/>
              <w:spacing w:after="0" w:line="189" w:lineRule="exact"/>
              <w:rPr>
                <w:sz w:val="20"/>
                <w:szCs w:val="20"/>
                <w:color w:val="auto"/>
              </w:rPr>
            </w:pPr>
            <w:r>
              <w:rPr>
                <w:rFonts w:ascii="Arial" w:cs="Arial" w:eastAsia="Arial" w:hAnsi="Arial"/>
                <w:sz w:val="21"/>
                <w:szCs w:val="21"/>
                <w:b w:val="1"/>
                <w:bCs w:val="1"/>
                <w:color w:val="auto"/>
                <w:vertAlign w:val="subscript"/>
              </w:rPr>
              <w:t>IRR</w:t>
            </w:r>
            <w:r>
              <w:rPr>
                <w:rFonts w:ascii="Arial" w:cs="Arial" w:eastAsia="Arial" w:hAnsi="Arial"/>
                <w:sz w:val="8"/>
                <w:szCs w:val="8"/>
                <w:b w:val="1"/>
                <w:bCs w:val="1"/>
                <w:color w:val="auto"/>
              </w:rPr>
              <w:t>(2)</w:t>
            </w:r>
          </w:p>
        </w:tc>
        <w:tc>
          <w:tcPr>
            <w:tcW w:w="760" w:type="dxa"/>
            <w:vAlign w:val="bottom"/>
            <w:gridSpan w:val="2"/>
            <w:shd w:val="clear" w:color="auto" w:fill="CCEEFF"/>
          </w:tcPr>
          <w:p>
            <w:pPr>
              <w:jc w:val="center"/>
              <w:ind w:right="80"/>
              <w:spacing w:after="0" w:line="189" w:lineRule="exact"/>
              <w:rPr>
                <w:sz w:val="20"/>
                <w:szCs w:val="20"/>
                <w:color w:val="auto"/>
              </w:rPr>
            </w:pPr>
            <w:r>
              <w:rPr>
                <w:rFonts w:ascii="Arial" w:cs="Arial" w:eastAsia="Arial" w:hAnsi="Arial"/>
                <w:sz w:val="21"/>
                <w:szCs w:val="21"/>
                <w:b w:val="1"/>
                <w:bCs w:val="1"/>
                <w:color w:val="auto"/>
                <w:vertAlign w:val="subscript"/>
              </w:rPr>
              <w:t>TVM</w:t>
            </w:r>
            <w:r>
              <w:rPr>
                <w:rFonts w:ascii="Arial" w:cs="Arial" w:eastAsia="Arial" w:hAnsi="Arial"/>
                <w:sz w:val="8"/>
                <w:szCs w:val="8"/>
                <w:b w:val="1"/>
                <w:bCs w:val="1"/>
                <w:color w:val="auto"/>
              </w:rPr>
              <w:t>(2)</w:t>
            </w:r>
          </w:p>
        </w:tc>
        <w:tc>
          <w:tcPr>
            <w:tcW w:w="184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(3,4)</w:t>
            </w:r>
          </w:p>
        </w:tc>
        <w:tc>
          <w:tcPr>
            <w:tcW w:w="600" w:type="dxa"/>
            <w:vAlign w:val="bottom"/>
            <w:shd w:val="clear" w:color="auto" w:fill="CCEEFF"/>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IRR</w:t>
            </w:r>
            <w:r>
              <w:rPr>
                <w:rFonts w:ascii="Arial" w:cs="Arial" w:eastAsia="Arial" w:hAnsi="Arial"/>
                <w:sz w:val="8"/>
                <w:szCs w:val="8"/>
                <w:b w:val="1"/>
                <w:bCs w:val="1"/>
                <w:color w:val="auto"/>
              </w:rPr>
              <w:t>(2)</w:t>
            </w:r>
          </w:p>
        </w:tc>
        <w:tc>
          <w:tcPr>
            <w:tcW w:w="680" w:type="dxa"/>
            <w:vAlign w:val="bottom"/>
            <w:shd w:val="clear" w:color="auto" w:fill="CCEEFF"/>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TVM</w:t>
            </w:r>
            <w:r>
              <w:rPr>
                <w:rFonts w:ascii="Arial" w:cs="Arial" w:eastAsia="Arial" w:hAnsi="Arial"/>
                <w:sz w:val="8"/>
                <w:szCs w:val="8"/>
                <w:b w:val="1"/>
                <w:bCs w:val="1"/>
                <w:color w:val="auto"/>
              </w:rPr>
              <w:t>(2)</w:t>
            </w: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(3,5)</w:t>
            </w:r>
          </w:p>
        </w:tc>
        <w:tc>
          <w:tcPr>
            <w:tcW w:w="620" w:type="dxa"/>
            <w:vAlign w:val="bottom"/>
            <w:gridSpan w:val="2"/>
            <w:shd w:val="clear" w:color="auto" w:fill="CCEEFF"/>
          </w:tcPr>
          <w:p>
            <w:pPr>
              <w:jc w:val="center"/>
              <w:ind w:right="240"/>
              <w:spacing w:after="0" w:line="189" w:lineRule="exact"/>
              <w:rPr>
                <w:sz w:val="20"/>
                <w:szCs w:val="20"/>
                <w:color w:val="auto"/>
              </w:rPr>
            </w:pPr>
            <w:r>
              <w:rPr>
                <w:rFonts w:ascii="Arial" w:cs="Arial" w:eastAsia="Arial" w:hAnsi="Arial"/>
                <w:sz w:val="21"/>
                <w:szCs w:val="21"/>
                <w:b w:val="1"/>
                <w:bCs w:val="1"/>
                <w:color w:val="auto"/>
                <w:vertAlign w:val="subscript"/>
              </w:rPr>
              <w:t>IRR</w:t>
            </w:r>
            <w:r>
              <w:rPr>
                <w:rFonts w:ascii="Arial" w:cs="Arial" w:eastAsia="Arial" w:hAnsi="Arial"/>
                <w:sz w:val="8"/>
                <w:szCs w:val="8"/>
                <w:b w:val="1"/>
                <w:bCs w:val="1"/>
                <w:color w:val="auto"/>
              </w:rPr>
              <w:t>(2)</w:t>
            </w:r>
          </w:p>
        </w:tc>
        <w:tc>
          <w:tcPr>
            <w:tcW w:w="18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(3,7)</w:t>
            </w: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Primaries</w:t>
            </w:r>
          </w:p>
        </w:tc>
        <w:tc>
          <w:tcPr>
            <w:tcW w:w="940" w:type="dxa"/>
            <w:vAlign w:val="bottom"/>
            <w:tcBorders>
              <w:top w:val="single" w:sz="8" w:color="auto"/>
              <w:bottom w:val="single" w:sz="8" w:color="auto"/>
            </w:tcBorders>
          </w:tcPr>
          <w:p>
            <w:pPr>
              <w:jc w:val="center"/>
              <w:ind w:left="234"/>
              <w:spacing w:after="0"/>
              <w:rPr>
                <w:sz w:val="20"/>
                <w:szCs w:val="20"/>
                <w:color w:val="auto"/>
              </w:rPr>
            </w:pPr>
            <w:r>
              <w:rPr>
                <w:rFonts w:ascii="Arial" w:cs="Arial" w:eastAsia="Arial" w:hAnsi="Arial"/>
                <w:sz w:val="14"/>
                <w:szCs w:val="14"/>
                <w:color w:val="auto"/>
                <w:w w:val="90"/>
              </w:rPr>
              <w:t>19.3%</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0"/>
              </w:rPr>
              <w:t>1.7x</w:t>
            </w:r>
          </w:p>
        </w:tc>
        <w:tc>
          <w:tcPr>
            <w:tcW w:w="80" w:type="dxa"/>
            <w:vAlign w:val="bottom"/>
            <w:tcBorders>
              <w:bottom w:val="single" w:sz="8" w:color="CCEEFF"/>
            </w:tcBorders>
          </w:tcPr>
          <w:p>
            <w:pPr>
              <w:spacing w:after="0"/>
              <w:rPr>
                <w:sz w:val="15"/>
                <w:szCs w:val="15"/>
                <w:color w:val="auto"/>
              </w:rPr>
            </w:pPr>
          </w:p>
        </w:tc>
        <w:tc>
          <w:tcPr>
            <w:tcW w:w="1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98"/>
              </w:rPr>
              <w:t>Core/Core+ fund investments</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8.2%</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8"/>
              </w:rPr>
              <w:t>1.4x</w:t>
            </w:r>
          </w:p>
        </w:tc>
        <w:tc>
          <w:tcPr>
            <w:tcW w:w="100" w:type="dxa"/>
            <w:vAlign w:val="bottom"/>
            <w:tcBorders>
              <w:bottom w:val="single" w:sz="8" w:color="CCEEFF"/>
            </w:tcBorders>
          </w:tcPr>
          <w:p>
            <w:pPr>
              <w:spacing w:after="0"/>
              <w:rPr>
                <w:sz w:val="15"/>
                <w:szCs w:val="15"/>
                <w:color w:val="auto"/>
              </w:rPr>
            </w:pPr>
          </w:p>
        </w:tc>
        <w:tc>
          <w:tcPr>
            <w:tcW w:w="1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Primaries</w:t>
            </w:r>
          </w:p>
        </w:tc>
        <w:tc>
          <w:tcPr>
            <w:tcW w:w="520" w:type="dxa"/>
            <w:vAlign w:val="bottom"/>
            <w:tcBorders>
              <w:top w:val="single" w:sz="8" w:color="auto"/>
              <w:bottom w:val="single" w:sz="8" w:color="auto"/>
            </w:tcBorders>
          </w:tcPr>
          <w:p>
            <w:pPr>
              <w:jc w:val="center"/>
              <w:ind w:right="74"/>
              <w:spacing w:after="0"/>
              <w:rPr>
                <w:sz w:val="20"/>
                <w:szCs w:val="20"/>
                <w:color w:val="auto"/>
              </w:rPr>
            </w:pPr>
            <w:r>
              <w:rPr>
                <w:rFonts w:ascii="Arial" w:cs="Arial" w:eastAsia="Arial" w:hAnsi="Arial"/>
                <w:sz w:val="14"/>
                <w:szCs w:val="14"/>
                <w:color w:val="auto"/>
                <w:w w:val="93"/>
              </w:rPr>
              <w:t>9.4%</w:t>
            </w:r>
          </w:p>
        </w:tc>
        <w:tc>
          <w:tcPr>
            <w:tcW w:w="100" w:type="dxa"/>
            <w:vAlign w:val="bottom"/>
            <w:tcBorders>
              <w:bottom w:val="single" w:sz="8" w:color="CCEEFF"/>
            </w:tcBorders>
          </w:tcPr>
          <w:p>
            <w:pPr>
              <w:spacing w:after="0"/>
              <w:rPr>
                <w:sz w:val="15"/>
                <w:szCs w:val="15"/>
                <w:color w:val="auto"/>
              </w:rPr>
            </w:pPr>
          </w:p>
        </w:tc>
        <w:tc>
          <w:tcPr>
            <w:tcW w:w="1800" w:type="dxa"/>
            <w:vAlign w:val="bottom"/>
            <w:tcBorders>
              <w:top w:val="single" w:sz="8" w:color="auto"/>
              <w:bottom w:val="single" w:sz="8" w:color="auto"/>
            </w:tcBorders>
          </w:tcPr>
          <w:p>
            <w:pPr>
              <w:ind w:left="20"/>
              <w:spacing w:after="0" w:line="182" w:lineRule="exact"/>
              <w:rPr>
                <w:sz w:val="20"/>
                <w:szCs w:val="20"/>
                <w:color w:val="auto"/>
              </w:rPr>
            </w:pPr>
            <w:r>
              <w:rPr>
                <w:rFonts w:ascii="Arial" w:cs="Arial" w:eastAsia="Arial" w:hAnsi="Arial"/>
                <w:sz w:val="14"/>
                <w:szCs w:val="14"/>
                <w:color w:val="auto"/>
              </w:rPr>
              <w:t>Direct lending (Gross)</w:t>
            </w:r>
            <w:r>
              <w:rPr>
                <w:rFonts w:ascii="Arial" w:cs="Arial" w:eastAsia="Arial" w:hAnsi="Arial"/>
                <w:sz w:val="18"/>
                <w:szCs w:val="18"/>
                <w:color w:val="auto"/>
                <w:vertAlign w:val="superscript"/>
              </w:rPr>
              <w:t>(8)</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7.3%</w:t>
            </w:r>
          </w:p>
        </w:tc>
        <w:tc>
          <w:tcPr>
            <w:tcW w:w="0" w:type="dxa"/>
            <w:vAlign w:val="bottom"/>
          </w:tcPr>
          <w:p>
            <w:pPr>
              <w:spacing w:after="0"/>
              <w:rPr>
                <w:sz w:val="1"/>
                <w:szCs w:val="1"/>
                <w:color w:val="auto"/>
              </w:rPr>
            </w:pPr>
          </w:p>
        </w:tc>
      </w:tr>
      <w:tr>
        <w:trPr>
          <w:trHeight w:val="128"/>
        </w:trPr>
        <w:tc>
          <w:tcPr>
            <w:tcW w:w="14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Secondaries</w:t>
            </w:r>
          </w:p>
        </w:tc>
        <w:tc>
          <w:tcPr>
            <w:tcW w:w="940" w:type="dxa"/>
            <w:vAlign w:val="bottom"/>
            <w:vMerge w:val="restart"/>
            <w:shd w:val="clear" w:color="auto" w:fill="CCEEFF"/>
          </w:tcPr>
          <w:p>
            <w:pPr>
              <w:jc w:val="center"/>
              <w:ind w:left="234"/>
              <w:spacing w:after="0"/>
              <w:rPr>
                <w:sz w:val="20"/>
                <w:szCs w:val="20"/>
                <w:color w:val="auto"/>
              </w:rPr>
            </w:pPr>
            <w:r>
              <w:rPr>
                <w:rFonts w:ascii="Arial" w:cs="Arial" w:eastAsia="Arial" w:hAnsi="Arial"/>
                <w:sz w:val="14"/>
                <w:szCs w:val="14"/>
                <w:color w:val="auto"/>
                <w:w w:val="90"/>
              </w:rPr>
              <w:t>20.6%</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1.6x</w:t>
            </w:r>
          </w:p>
        </w:tc>
        <w:tc>
          <w:tcPr>
            <w:tcW w:w="80" w:type="dxa"/>
            <w:vAlign w:val="bottom"/>
            <w:vMerge w:val="restart"/>
            <w:shd w:val="clear" w:color="auto" w:fill="CCEEFF"/>
          </w:tcPr>
          <w:p>
            <w:pPr>
              <w:spacing w:after="0"/>
              <w:rPr>
                <w:sz w:val="11"/>
                <w:szCs w:val="11"/>
                <w:color w:val="auto"/>
              </w:rPr>
            </w:pPr>
          </w:p>
        </w:tc>
        <w:tc>
          <w:tcPr>
            <w:tcW w:w="18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Value-add/opportunistic fund</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9.6%</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1.3x</w:t>
            </w:r>
          </w:p>
        </w:tc>
        <w:tc>
          <w:tcPr>
            <w:tcW w:w="100" w:type="dxa"/>
            <w:vAlign w:val="bottom"/>
            <w:shd w:val="clear" w:color="auto" w:fill="CCEEFF"/>
          </w:tcPr>
          <w:p>
            <w:pPr>
              <w:spacing w:after="0"/>
              <w:rPr>
                <w:sz w:val="11"/>
                <w:szCs w:val="11"/>
                <w:color w:val="auto"/>
              </w:rPr>
            </w:pPr>
          </w:p>
        </w:tc>
        <w:tc>
          <w:tcPr>
            <w:tcW w:w="18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Secondaries</w:t>
            </w:r>
          </w:p>
        </w:tc>
        <w:tc>
          <w:tcPr>
            <w:tcW w:w="520" w:type="dxa"/>
            <w:vAlign w:val="bottom"/>
            <w:vMerge w:val="restart"/>
            <w:shd w:val="clear" w:color="auto" w:fill="CCEEFF"/>
          </w:tcPr>
          <w:p>
            <w:pPr>
              <w:jc w:val="center"/>
              <w:ind w:right="74"/>
              <w:spacing w:after="0"/>
              <w:rPr>
                <w:sz w:val="20"/>
                <w:szCs w:val="20"/>
                <w:color w:val="auto"/>
              </w:rPr>
            </w:pPr>
            <w:r>
              <w:rPr>
                <w:rFonts w:ascii="Arial" w:cs="Arial" w:eastAsia="Arial" w:hAnsi="Arial"/>
                <w:sz w:val="14"/>
                <w:szCs w:val="14"/>
                <w:color w:val="auto"/>
                <w:w w:val="95"/>
              </w:rPr>
              <w:t>12.3%</w:t>
            </w:r>
          </w:p>
        </w:tc>
        <w:tc>
          <w:tcPr>
            <w:tcW w:w="100" w:type="dxa"/>
            <w:vAlign w:val="bottom"/>
            <w:shd w:val="clear" w:color="auto" w:fill="CCEEFF"/>
          </w:tcPr>
          <w:p>
            <w:pPr>
              <w:spacing w:after="0"/>
              <w:rPr>
                <w:sz w:val="11"/>
                <w:szCs w:val="11"/>
                <w:color w:val="auto"/>
              </w:rPr>
            </w:pPr>
          </w:p>
        </w:tc>
        <w:tc>
          <w:tcPr>
            <w:tcW w:w="18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Distressed debt (Gross)</w:t>
            </w:r>
            <w:r>
              <w:rPr>
                <w:rFonts w:ascii="Arial" w:cs="Arial" w:eastAsia="Arial" w:hAnsi="Arial"/>
                <w:sz w:val="18"/>
                <w:szCs w:val="18"/>
                <w:color w:val="auto"/>
                <w:vertAlign w:val="superscript"/>
              </w:rPr>
              <w:t>(8)</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10.2%</w:t>
            </w:r>
          </w:p>
        </w:tc>
        <w:tc>
          <w:tcPr>
            <w:tcW w:w="0" w:type="dxa"/>
            <w:vAlign w:val="bottom"/>
          </w:tcPr>
          <w:p>
            <w:pPr>
              <w:spacing w:after="0"/>
              <w:rPr>
                <w:sz w:val="1"/>
                <w:szCs w:val="1"/>
                <w:color w:val="auto"/>
              </w:rPr>
            </w:pPr>
          </w:p>
        </w:tc>
      </w:tr>
      <w:tr>
        <w:trPr>
          <w:trHeight w:val="189"/>
        </w:trPr>
        <w:tc>
          <w:tcPr>
            <w:tcW w:w="1420" w:type="dxa"/>
            <w:vAlign w:val="bottom"/>
            <w:tcBorders>
              <w:bottom w:val="single" w:sz="8" w:color="auto"/>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420" w:type="dxa"/>
            <w:vAlign w:val="bottom"/>
            <w:vMerge w:val="restart"/>
          </w:tcPr>
          <w:p>
            <w:pPr>
              <w:ind w:left="20"/>
              <w:spacing w:after="0"/>
              <w:rPr>
                <w:sz w:val="20"/>
                <w:szCs w:val="20"/>
                <w:color w:val="auto"/>
              </w:rPr>
            </w:pPr>
            <w:r>
              <w:rPr>
                <w:rFonts w:ascii="Arial" w:cs="Arial" w:eastAsia="Arial" w:hAnsi="Arial"/>
                <w:sz w:val="14"/>
                <w:szCs w:val="14"/>
                <w:color w:val="auto"/>
              </w:rPr>
              <w:t>Co-investments</w:t>
            </w:r>
          </w:p>
        </w:tc>
        <w:tc>
          <w:tcPr>
            <w:tcW w:w="940" w:type="dxa"/>
            <w:vAlign w:val="bottom"/>
            <w:vMerge w:val="restart"/>
          </w:tcPr>
          <w:p>
            <w:pPr>
              <w:jc w:val="center"/>
              <w:ind w:left="234"/>
              <w:spacing w:after="0"/>
              <w:rPr>
                <w:sz w:val="20"/>
                <w:szCs w:val="20"/>
                <w:color w:val="auto"/>
              </w:rPr>
            </w:pPr>
            <w:r>
              <w:rPr>
                <w:rFonts w:ascii="Arial" w:cs="Arial" w:eastAsia="Arial" w:hAnsi="Arial"/>
                <w:sz w:val="14"/>
                <w:szCs w:val="14"/>
                <w:color w:val="auto"/>
                <w:w w:val="90"/>
              </w:rPr>
              <w:t>24.6%</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0"/>
              </w:rPr>
              <w:t>1.8x</w:t>
            </w:r>
          </w:p>
        </w:tc>
        <w:tc>
          <w:tcPr>
            <w:tcW w:w="1840" w:type="dxa"/>
            <w:vAlign w:val="bottom"/>
          </w:tcPr>
          <w:p>
            <w:pPr>
              <w:ind w:left="20"/>
              <w:spacing w:after="0" w:line="129" w:lineRule="exact"/>
              <w:rPr>
                <w:sz w:val="20"/>
                <w:szCs w:val="20"/>
                <w:color w:val="auto"/>
              </w:rPr>
            </w:pPr>
            <w:r>
              <w:rPr>
                <w:rFonts w:ascii="Arial" w:cs="Arial" w:eastAsia="Arial" w:hAnsi="Arial"/>
                <w:sz w:val="14"/>
                <w:szCs w:val="14"/>
                <w:color w:val="auto"/>
              </w:rPr>
              <w:t>Real estate debt fund</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6.0%</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8"/>
              </w:rPr>
              <w:t>1.1x</w:t>
            </w:r>
          </w:p>
        </w:tc>
        <w:tc>
          <w:tcPr>
            <w:tcW w:w="100" w:type="dxa"/>
            <w:vAlign w:val="bottom"/>
          </w:tcPr>
          <w:p>
            <w:pPr>
              <w:spacing w:after="0"/>
              <w:rPr>
                <w:sz w:val="11"/>
                <w:szCs w:val="11"/>
                <w:color w:val="auto"/>
              </w:rPr>
            </w:pPr>
          </w:p>
        </w:tc>
        <w:tc>
          <w:tcPr>
            <w:tcW w:w="1880" w:type="dxa"/>
            <w:vAlign w:val="bottom"/>
            <w:vMerge w:val="restart"/>
          </w:tcPr>
          <w:p>
            <w:pPr>
              <w:ind w:left="20"/>
              <w:spacing w:after="0"/>
              <w:rPr>
                <w:sz w:val="20"/>
                <w:szCs w:val="20"/>
                <w:color w:val="auto"/>
              </w:rPr>
            </w:pPr>
            <w:r>
              <w:rPr>
                <w:rFonts w:ascii="Arial" w:cs="Arial" w:eastAsia="Arial" w:hAnsi="Arial"/>
                <w:sz w:val="14"/>
                <w:szCs w:val="14"/>
                <w:color w:val="auto"/>
              </w:rPr>
              <w:t>Co-investments</w:t>
            </w:r>
            <w:r>
              <w:rPr>
                <w:rFonts w:ascii="Arial" w:cs="Arial" w:eastAsia="Arial" w:hAnsi="Arial"/>
                <w:sz w:val="18"/>
                <w:szCs w:val="18"/>
                <w:color w:val="auto"/>
                <w:vertAlign w:val="superscript"/>
              </w:rPr>
              <w:t>(6)</w:t>
            </w:r>
          </w:p>
        </w:tc>
        <w:tc>
          <w:tcPr>
            <w:tcW w:w="520" w:type="dxa"/>
            <w:vAlign w:val="bottom"/>
            <w:vMerge w:val="restart"/>
          </w:tcPr>
          <w:p>
            <w:pPr>
              <w:jc w:val="center"/>
              <w:ind w:right="74"/>
              <w:spacing w:after="0"/>
              <w:rPr>
                <w:sz w:val="20"/>
                <w:szCs w:val="20"/>
                <w:color w:val="auto"/>
              </w:rPr>
            </w:pPr>
            <w:r>
              <w:rPr>
                <w:rFonts w:ascii="Arial" w:cs="Arial" w:eastAsia="Arial" w:hAnsi="Arial"/>
                <w:sz w:val="14"/>
                <w:szCs w:val="14"/>
                <w:color w:val="auto"/>
                <w:w w:val="93"/>
              </w:rPr>
              <w:t>7.5%</w:t>
            </w:r>
          </w:p>
        </w:tc>
        <w:tc>
          <w:tcPr>
            <w:tcW w:w="100" w:type="dxa"/>
            <w:vAlign w:val="bottom"/>
          </w:tcPr>
          <w:p>
            <w:pPr>
              <w:spacing w:after="0"/>
              <w:rPr>
                <w:sz w:val="11"/>
                <w:szCs w:val="11"/>
                <w:color w:val="auto"/>
              </w:rPr>
            </w:pPr>
          </w:p>
        </w:tc>
        <w:tc>
          <w:tcPr>
            <w:tcW w:w="1800" w:type="dxa"/>
            <w:vAlign w:val="bottom"/>
            <w:vMerge w:val="restart"/>
          </w:tcPr>
          <w:p>
            <w:pPr>
              <w:ind w:left="20"/>
              <w:spacing w:after="0"/>
              <w:rPr>
                <w:sz w:val="20"/>
                <w:szCs w:val="20"/>
                <w:color w:val="auto"/>
              </w:rPr>
            </w:pPr>
            <w:r>
              <w:rPr>
                <w:rFonts w:ascii="Arial" w:cs="Arial" w:eastAsia="Arial" w:hAnsi="Arial"/>
                <w:sz w:val="14"/>
                <w:szCs w:val="14"/>
                <w:color w:val="auto"/>
              </w:rPr>
              <w:t>Other (Gross)</w:t>
            </w:r>
            <w:r>
              <w:rPr>
                <w:rFonts w:ascii="Arial" w:cs="Arial" w:eastAsia="Arial" w:hAnsi="Arial"/>
                <w:sz w:val="18"/>
                <w:szCs w:val="18"/>
                <w:color w:val="auto"/>
                <w:vertAlign w:val="superscript"/>
              </w:rPr>
              <w:t>(8,9)</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8.8%</w:t>
            </w:r>
          </w:p>
        </w:tc>
        <w:tc>
          <w:tcPr>
            <w:tcW w:w="0" w:type="dxa"/>
            <w:vAlign w:val="bottom"/>
          </w:tcPr>
          <w:p>
            <w:pPr>
              <w:spacing w:after="0"/>
              <w:rPr>
                <w:sz w:val="1"/>
                <w:szCs w:val="1"/>
                <w:color w:val="auto"/>
              </w:rPr>
            </w:pPr>
          </w:p>
        </w:tc>
      </w:tr>
      <w:tr>
        <w:trPr>
          <w:trHeight w:val="189"/>
        </w:trPr>
        <w:tc>
          <w:tcPr>
            <w:tcW w:w="14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4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6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4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Value-add/opportunistic</w:t>
            </w:r>
          </w:p>
        </w:tc>
        <w:tc>
          <w:tcPr>
            <w:tcW w:w="6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15.2%</w:t>
            </w:r>
          </w:p>
        </w:tc>
        <w:tc>
          <w:tcPr>
            <w:tcW w:w="6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1.3x</w:t>
            </w:r>
          </w:p>
        </w:tc>
        <w:tc>
          <w:tcPr>
            <w:tcW w:w="100" w:type="dxa"/>
            <w:vAlign w:val="bottom"/>
            <w:tcBorders>
              <w:top w:val="single" w:sz="8" w:color="CCEEFF"/>
            </w:tcBorders>
            <w:shd w:val="clear" w:color="auto" w:fill="CCEEFF"/>
          </w:tcPr>
          <w:p>
            <w:pPr>
              <w:spacing w:after="0"/>
              <w:rPr>
                <w:sz w:val="11"/>
                <w:szCs w:val="11"/>
                <w:color w:val="auto"/>
              </w:rPr>
            </w:pPr>
          </w:p>
        </w:tc>
        <w:tc>
          <w:tcPr>
            <w:tcW w:w="18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Private debt gross track</w:t>
            </w:r>
          </w:p>
        </w:tc>
        <w:tc>
          <w:tcPr>
            <w:tcW w:w="6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8.3%</w:t>
            </w: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6"/>
              </w:rPr>
              <w:t>secondaries &amp; co-investments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record</w:t>
            </w:r>
            <w:r>
              <w:rPr>
                <w:rFonts w:ascii="Arial" w:cs="Arial" w:eastAsia="Arial" w:hAnsi="Arial"/>
                <w:sz w:val="18"/>
                <w:szCs w:val="18"/>
                <w:b w:val="1"/>
                <w:bCs w:val="1"/>
                <w:color w:val="auto"/>
                <w:vertAlign w:val="superscript"/>
              </w:rPr>
              <w:t>(8)</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Private debt net track</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7.6%</w:t>
            </w:r>
          </w:p>
        </w:tc>
        <w:tc>
          <w:tcPr>
            <w:tcW w:w="0" w:type="dxa"/>
            <w:vAlign w:val="bottom"/>
          </w:tcPr>
          <w:p>
            <w:pPr>
              <w:spacing w:after="0"/>
              <w:rPr>
                <w:sz w:val="1"/>
                <w:szCs w:val="1"/>
                <w:color w:val="auto"/>
              </w:rPr>
            </w:pPr>
          </w:p>
        </w:tc>
      </w:tr>
      <w:tr>
        <w:trPr>
          <w:trHeight w:val="188"/>
        </w:trPr>
        <w:tc>
          <w:tcPr>
            <w:tcW w:w="1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record</w:t>
            </w: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20" w:hanging="652"/>
        <w:spacing w:after="0" w:line="250" w:lineRule="auto"/>
        <w:tabs>
          <w:tab w:leader="none" w:pos="6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Private Equity includes 1,215 investments totaling $115.1 billion of capital commitments and excludes (i) two advisory co-investments and 130 client-directed investments, totaling $100.0 million and $15.3 billion, respectively, of capital commitments, (ii)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w:t>
      </w:r>
    </w:p>
    <w:p>
      <w:pPr>
        <w:spacing w:after="0" w:line="1" w:lineRule="exact"/>
        <w:rPr>
          <w:rFonts w:ascii="Arial" w:cs="Arial" w:eastAsia="Arial" w:hAnsi="Arial"/>
          <w:sz w:val="18"/>
          <w:szCs w:val="18"/>
          <w:color w:val="auto"/>
        </w:rPr>
      </w:pPr>
    </w:p>
    <w:p>
      <w:pPr>
        <w:ind w:left="660" w:right="180" w:hanging="652"/>
        <w:spacing w:after="0" w:line="250" w:lineRule="auto"/>
        <w:tabs>
          <w:tab w:leader="none" w:pos="6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 IRR and Net TVM are presented solely for illustrative purposes and do not represent actual returns received by any investor in any of the StepStone Funds represented above. StepStone fees and expenses are based on the following assumptions (management fees represent an annual rate):</w:t>
      </w:r>
    </w:p>
    <w:p>
      <w:pPr>
        <w:spacing w:after="0" w:line="1" w:lineRule="exact"/>
        <w:rPr>
          <w:rFonts w:ascii="Arial" w:cs="Arial" w:eastAsia="Arial" w:hAnsi="Arial"/>
          <w:sz w:val="18"/>
          <w:szCs w:val="18"/>
          <w:color w:val="auto"/>
        </w:rPr>
      </w:pPr>
    </w:p>
    <w:p>
      <w:pPr>
        <w:ind w:left="1300" w:right="360" w:hanging="644"/>
        <w:spacing w:after="0" w:line="250" w:lineRule="auto"/>
        <w:tabs>
          <w:tab w:leader="none" w:pos="1287" w:val="left"/>
        </w:tabs>
        <w:numPr>
          <w:ilvl w:val="1"/>
          <w:numId w:val="44"/>
        </w:numPr>
        <w:rPr>
          <w:rFonts w:ascii="Arial" w:cs="Arial" w:eastAsia="Arial" w:hAnsi="Arial"/>
          <w:sz w:val="18"/>
          <w:szCs w:val="18"/>
          <w:color w:val="auto"/>
        </w:rPr>
      </w:pPr>
      <w:r>
        <w:rPr>
          <w:rFonts w:ascii="Arial" w:cs="Arial" w:eastAsia="Arial" w:hAnsi="Arial"/>
          <w:sz w:val="18"/>
          <w:szCs w:val="18"/>
          <w:color w:val="auto"/>
        </w:rPr>
        <w:t>Primaries: 25 basis points of net invested capital for management fee, 5 basis points of capital commitments for fund expenses, and 1 basis point of capital commitments drawn down in the first cash flow quarter for organizational costs.</w:t>
      </w:r>
    </w:p>
    <w:p>
      <w:pPr>
        <w:ind w:left="1300" w:right="40" w:hanging="644"/>
        <w:spacing w:after="0" w:line="281" w:lineRule="auto"/>
        <w:tabs>
          <w:tab w:leader="none" w:pos="1296" w:val="left"/>
        </w:tabs>
        <w:numPr>
          <w:ilvl w:val="1"/>
          <w:numId w:val="44"/>
        </w:numPr>
        <w:rPr>
          <w:rFonts w:ascii="Arial" w:cs="Arial" w:eastAsia="Arial" w:hAnsi="Arial"/>
          <w:sz w:val="16"/>
          <w:szCs w:val="16"/>
          <w:color w:val="auto"/>
        </w:rPr>
      </w:pPr>
      <w:r>
        <w:rPr>
          <w:rFonts w:ascii="Arial" w:cs="Arial" w:eastAsia="Arial" w:hAnsi="Arial"/>
          <w:sz w:val="16"/>
          <w:szCs w:val="16"/>
          <w:color w:val="auto"/>
        </w:rPr>
        <w:t>Secondaries: 125 basis points (60 basis points for Infrastructure) on capital commitments in years 1 through 4 for management fee. In year 5, management fees step down to 90% of the previous year’s fee. Secondaries also include 5 basis points of capital commitments for fund expenses and 1 basis point of capital commitments drawn down in the first cash flow quarter for organizational costs. Secondaries also include 12.5% of paid and unrealized carry (15.0% of paid and unrealized carry for Real Estate), with an 8% preferred return hurdle.</w:t>
      </w:r>
    </w:p>
    <w:p>
      <w:pPr>
        <w:spacing w:after="0" w:line="2" w:lineRule="exact"/>
        <w:rPr>
          <w:rFonts w:ascii="Arial" w:cs="Arial" w:eastAsia="Arial" w:hAnsi="Arial"/>
          <w:sz w:val="16"/>
          <w:szCs w:val="16"/>
          <w:color w:val="auto"/>
        </w:rPr>
      </w:pPr>
    </w:p>
    <w:p>
      <w:pPr>
        <w:jc w:val="both"/>
        <w:ind w:left="1300" w:right="60" w:hanging="644"/>
        <w:spacing w:after="0" w:line="302" w:lineRule="auto"/>
        <w:tabs>
          <w:tab w:leader="none" w:pos="1292" w:val="left"/>
        </w:tabs>
        <w:numPr>
          <w:ilvl w:val="1"/>
          <w:numId w:val="44"/>
        </w:numPr>
        <w:rPr>
          <w:rFonts w:ascii="Arial" w:cs="Arial" w:eastAsia="Arial" w:hAnsi="Arial"/>
          <w:sz w:val="16"/>
          <w:szCs w:val="16"/>
          <w:color w:val="auto"/>
        </w:rPr>
      </w:pPr>
      <w:r>
        <w:rPr>
          <w:rFonts w:ascii="Arial" w:cs="Arial" w:eastAsia="Arial" w:hAnsi="Arial"/>
          <w:sz w:val="16"/>
          <w:szCs w:val="16"/>
          <w:color w:val="auto"/>
        </w:rPr>
        <w:t>Co-investments: 100 basis points on net committed capital for management fee, 5 basis points of capital commitments for fund expenses, and 1 basis point of capital commitments drawn down in the first cash flow quarter for organizational costs. Co-investments also include 10.0% of paid and unrealized carry (15.0% of paid and unrealized carry for Real Estate), with an 8% preferred return hurdle.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44" w:lineRule="exact"/>
        <w:rPr>
          <w:sz w:val="20"/>
          <w:szCs w:val="20"/>
          <w:color w:val="auto"/>
        </w:rPr>
      </w:pPr>
    </w:p>
    <w:p>
      <w:pPr>
        <w:ind w:left="660" w:right="180"/>
        <w:spacing w:after="0" w:line="253" w:lineRule="auto"/>
        <w:rPr>
          <w:sz w:val="20"/>
          <w:szCs w:val="20"/>
          <w:color w:val="auto"/>
        </w:rPr>
      </w:pPr>
      <w:r>
        <w:rPr>
          <w:rFonts w:ascii="Arial" w:cs="Arial" w:eastAsia="Arial" w:hAnsi="Arial"/>
          <w:sz w:val="18"/>
          <w:szCs w:val="18"/>
          <w:color w:val="auto"/>
        </w:rPr>
        <w:t>Net IRR and Net TVM for certain investments may have been impacted by StepStone’s or the underlying fund manager’s use of subscription backed credit facilities by such vehicles. Reinvested/recycled amounts increase contributed capital. Investment returns reflect NAV data for underlying investments as of June 30, 2021, as reported by underlying managers up to 100 days following June 30, 2021. For investment returns where NAV data is not available by 100 days following June 30, 2021, such NAVs are adjusted for cash activity following the last available reported NAV.</w:t>
      </w:r>
    </w:p>
    <w:p>
      <w:pPr>
        <w:spacing w:after="0" w:line="3" w:lineRule="exact"/>
        <w:rPr>
          <w:sz w:val="20"/>
          <w:szCs w:val="20"/>
          <w:color w:val="auto"/>
        </w:rPr>
      </w:pPr>
    </w:p>
    <w:p>
      <w:pPr>
        <w:ind w:left="660" w:right="40" w:hanging="652"/>
        <w:spacing w:after="0" w:line="250" w:lineRule="auto"/>
        <w:tabs>
          <w:tab w:leader="none" w:pos="6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spacing w:after="0" w:line="1" w:lineRule="exact"/>
        <w:rPr>
          <w:rFonts w:ascii="Arial" w:cs="Arial" w:eastAsia="Arial" w:hAnsi="Arial"/>
          <w:sz w:val="18"/>
          <w:szCs w:val="18"/>
          <w:color w:val="auto"/>
        </w:rPr>
      </w:pPr>
    </w:p>
    <w:p>
      <w:pPr>
        <w:ind w:left="660" w:right="100" w:hanging="652"/>
        <w:spacing w:after="0" w:line="265" w:lineRule="auto"/>
        <w:tabs>
          <w:tab w:leader="none" w:pos="654"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Real Estate includes 402 investments totaling $61.5 billion of capital commitments and excludes (i) 44 client-directed investments, totaling $5.5 billion of capital commitments, (ii) seven secondary core/core+ investments, totaling $484.6 million, (iii) four advisory fund investments totaling $463.6 million, and (iv)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 Includes the discretionary track record of Courtland Partners, Ltd., which StepStone acquired on April 1, 2018 (the “Courtland acquisition”).</w:t>
      </w:r>
    </w:p>
    <w:p>
      <w:pPr>
        <w:ind w:left="660" w:right="20" w:hanging="652"/>
        <w:spacing w:after="0" w:line="250" w:lineRule="auto"/>
        <w:tabs>
          <w:tab w:leader="none" w:pos="6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Infrastructure includes 147 investments totaling $28.2 billion of capital commitments and excludes (i) approximately 11 infrastructure investments made by the Partnership prior to the formation of the Infrastructure subsidiary in 2013 or made prior to the Courtland acquisition, and 15 client-directed investments, totaling $501.9 million and $1.1 billion, respectively, of capital commitments, and (ii)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w:t>
      </w:r>
    </w:p>
    <w:p>
      <w:pPr>
        <w:spacing w:after="0" w:line="2" w:lineRule="exact"/>
        <w:rPr>
          <w:rFonts w:ascii="Arial" w:cs="Arial" w:eastAsia="Arial" w:hAnsi="Arial"/>
          <w:sz w:val="18"/>
          <w:szCs w:val="18"/>
          <w:color w:val="auto"/>
        </w:rPr>
      </w:pPr>
    </w:p>
    <w:p>
      <w:pPr>
        <w:ind w:left="640" w:hanging="632"/>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asset management investments.</w:t>
      </w:r>
    </w:p>
    <w:p>
      <w:pPr>
        <w:spacing w:after="0" w:line="9" w:lineRule="exact"/>
        <w:rPr>
          <w:rFonts w:ascii="Arial" w:cs="Arial" w:eastAsia="Arial" w:hAnsi="Arial"/>
          <w:sz w:val="18"/>
          <w:szCs w:val="18"/>
          <w:color w:val="auto"/>
        </w:rPr>
      </w:pPr>
    </w:p>
    <w:p>
      <w:pPr>
        <w:ind w:left="660" w:hanging="652"/>
        <w:spacing w:after="0" w:line="265" w:lineRule="auto"/>
        <w:tabs>
          <w:tab w:leader="none" w:pos="654"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Private Debt includes 573 investments totaling $28.7 billion of capital commitments and excludes (i) 26 client-directed investments, totaling $1.9 billion of capital commitments, and (ii)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 IRR is presented solely for illustrative purposes and does not represent actual returns received by any investor in any of the StepStone Funds represented above. StepStone fees and expenses are based on the following assumptions (management fees represent an annual rate): Private Debt fund investments include 65 basis points on the quarterly net asset value for management fee. Net IRR for certain investments may have been impacted by StepStone’s or the underlying fund manager’s use of subscription backed credit facilities by such vehicles. Reinvested/recycled amounts increase contributed capital. Investment returns reflect NAV data for underlying investments as of June 30, 2021, as reported by underlying managers up to 100 days following June 30, 2021. For investment returns where NAV data is not available by 100 days following June 30, 2021, such NAVs are adjusted for cash activity following the last available reported NAV.</w:t>
      </w:r>
    </w:p>
    <w:p>
      <w:pPr>
        <w:spacing w:after="0" w:line="1" w:lineRule="exact"/>
        <w:rPr>
          <w:rFonts w:ascii="Arial" w:cs="Arial" w:eastAsia="Arial" w:hAnsi="Arial"/>
          <w:sz w:val="17"/>
          <w:szCs w:val="17"/>
          <w:color w:val="auto"/>
        </w:rPr>
      </w:pPr>
    </w:p>
    <w:p>
      <w:pPr>
        <w:ind w:left="660" w:right="600" w:hanging="652"/>
        <w:spacing w:after="0" w:line="250" w:lineRule="auto"/>
        <w:tabs>
          <w:tab w:leader="none" w:pos="6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Subset performance is presented net of fees and expenses charged by the underlying fund manager only (performance results do not reflect StepStone fees and expenses).</w:t>
      </w:r>
    </w:p>
    <w:p>
      <w:pPr>
        <w:ind w:left="660" w:right="300" w:hanging="652"/>
        <w:spacing w:after="0" w:line="260" w:lineRule="auto"/>
        <w:tabs>
          <w:tab w:leader="none" w:pos="6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includes mezzanine debt, infrastructure debt, collateralized loan obligations, private performing debt, senior debt, fund of funds, leasing, regulatory capital, trade finance and intellectual property/royalty.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Liquidity and Capital Resources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Sources and Uses of Liquidity</w:t>
      </w:r>
    </w:p>
    <w:p>
      <w:pPr>
        <w:spacing w:after="0" w:line="22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We generate cash primarily from management and advisory fees and realized carried interest allocations. We have historically managed our liquidity and capital resource needs through (a) cash generated from our operating activities, (b) realizations from investment activities, (c) borrowings, interest payments and repayments under credit agreements and other borrowing arrangements, (d) funding capital commitments to our funds, and funding our growth initiatives, including capital expenditures and acquisitions to expand into new businesses.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41" w:lineRule="exact"/>
        <w:rPr>
          <w:sz w:val="20"/>
          <w:szCs w:val="20"/>
          <w:color w:val="auto"/>
        </w:rPr>
      </w:pPr>
    </w:p>
    <w:p>
      <w:pPr>
        <w:jc w:val="both"/>
        <w:ind w:right="140" w:firstLine="648"/>
        <w:spacing w:after="0" w:line="250" w:lineRule="auto"/>
        <w:rPr>
          <w:sz w:val="20"/>
          <w:szCs w:val="20"/>
          <w:color w:val="auto"/>
        </w:rPr>
      </w:pPr>
      <w:r>
        <w:rPr>
          <w:rFonts w:ascii="Arial" w:cs="Arial" w:eastAsia="Arial" w:hAnsi="Arial"/>
          <w:sz w:val="20"/>
          <w:szCs w:val="20"/>
          <w:color w:val="auto"/>
        </w:rPr>
        <w:t>As of September 30, 2021, we had $176.0 million of cash, cash equivalents and restricted cash and $1,306.2 million of investments in StepStone Funds, including $1,215.9 million of accrued carried interest allocations, against $112.6 million in debt obligations, net of debt issuance costs, and $638.8 million in accrued carried interest-related compensation payable.</w:t>
      </w:r>
    </w:p>
    <w:p>
      <w:pPr>
        <w:spacing w:after="0" w:line="186"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Ongoing sources of cash include (a) management and advisory fees, which are collected monthly or quarterly, (b) carried interest allocations and incentive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debt service, capital expenditures, dividends to our stockholders and distributions to holders of Partnership units, and to make investments in the StepStone Funds. We believe we will have sufficient cash to meet our obligations for the next 12 months.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Cash Flows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our cash flows attributable to operating, investing and financing activities: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3"/>
              </w:rPr>
              <w:t>Six Months Ended September 30,</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82,862</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(189,997)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(5,747)</w:t>
            </w: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w:t>
            </w:r>
          </w:p>
        </w:tc>
      </w:tr>
      <w:tr>
        <w:trPr>
          <w:trHeight w:val="23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48"/>
        </w:trPr>
        <w:tc>
          <w:tcPr>
            <w:tcW w:w="7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69,888</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Operating Activities</w:t>
      </w:r>
    </w:p>
    <w:p>
      <w:pPr>
        <w:spacing w:after="0" w:line="216" w:lineRule="exact"/>
        <w:rPr>
          <w:sz w:val="20"/>
          <w:szCs w:val="20"/>
          <w:color w:val="auto"/>
        </w:rPr>
      </w:pPr>
    </w:p>
    <w:p>
      <w:pPr>
        <w:jc w:val="both"/>
        <w:ind w:right="520" w:firstLine="648"/>
        <w:spacing w:after="0" w:line="385" w:lineRule="auto"/>
        <w:rPr>
          <w:sz w:val="20"/>
          <w:szCs w:val="20"/>
          <w:color w:val="auto"/>
        </w:rPr>
      </w:pPr>
      <w:r>
        <w:rPr>
          <w:rFonts w:ascii="Arial" w:cs="Arial" w:eastAsia="Arial" w:hAnsi="Arial"/>
          <w:sz w:val="16"/>
          <w:szCs w:val="16"/>
          <w:color w:val="auto"/>
        </w:rPr>
        <w:t>Operating activities provided $134.9 million and $82.9 million of cash for the six months ended September 30, 2021 and 2020, respectively. For the six months ended September 30, 2021 and 2020, respectively, these amounts primarily consisted of the following:</w:t>
      </w:r>
    </w:p>
    <w:p>
      <w:pPr>
        <w:spacing w:after="0" w:line="85" w:lineRule="exact"/>
        <w:rPr>
          <w:sz w:val="20"/>
          <w:szCs w:val="20"/>
          <w:color w:val="auto"/>
        </w:rPr>
      </w:pPr>
    </w:p>
    <w:p>
      <w:pPr>
        <w:ind w:left="980" w:right="220" w:hanging="324"/>
        <w:spacing w:after="0" w:line="287" w:lineRule="auto"/>
        <w:tabs>
          <w:tab w:leader="none" w:pos="968" w:val="left"/>
        </w:tabs>
        <w:numPr>
          <w:ilvl w:val="0"/>
          <w:numId w:val="46"/>
        </w:numPr>
        <w:rPr>
          <w:rFonts w:ascii="Arial" w:cs="Arial" w:eastAsia="Arial" w:hAnsi="Arial"/>
          <w:sz w:val="19"/>
          <w:szCs w:val="19"/>
          <w:color w:val="auto"/>
        </w:rPr>
      </w:pPr>
      <w:r>
        <w:rPr>
          <w:rFonts w:ascii="Arial" w:cs="Arial" w:eastAsia="Arial" w:hAnsi="Arial"/>
          <w:sz w:val="19"/>
          <w:szCs w:val="19"/>
          <w:color w:val="auto"/>
        </w:rPr>
        <w:t>net income, after adjustments for non-cash items (including unrealized carried interest allocations, unrealized performance fee-related compensation, and unrealized investment income), of $93.9 million and $49.1 million; and</w:t>
      </w:r>
    </w:p>
    <w:p>
      <w:pPr>
        <w:spacing w:after="0" w:line="152" w:lineRule="exact"/>
        <w:rPr>
          <w:rFonts w:ascii="Arial" w:cs="Arial" w:eastAsia="Arial" w:hAnsi="Arial"/>
          <w:sz w:val="19"/>
          <w:szCs w:val="19"/>
          <w:color w:val="auto"/>
        </w:rPr>
      </w:pPr>
    </w:p>
    <w:p>
      <w:pPr>
        <w:ind w:left="960" w:hanging="304"/>
        <w:spacing w:after="0"/>
        <w:tabs>
          <w:tab w:leader="none" w:pos="9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net change in operating assets and liabilities of $41.0 million and $33.7 million.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Investing Activities</w:t>
      </w:r>
    </w:p>
    <w:p>
      <w:pPr>
        <w:spacing w:after="0" w:line="216" w:lineRule="exact"/>
        <w:rPr>
          <w:sz w:val="20"/>
          <w:szCs w:val="20"/>
          <w:color w:val="auto"/>
        </w:rPr>
      </w:pPr>
    </w:p>
    <w:p>
      <w:pPr>
        <w:ind w:right="1020" w:firstLine="648"/>
        <w:spacing w:after="0" w:line="260" w:lineRule="auto"/>
        <w:rPr>
          <w:sz w:val="20"/>
          <w:szCs w:val="20"/>
          <w:color w:val="auto"/>
        </w:rPr>
      </w:pPr>
      <w:r>
        <w:rPr>
          <w:rFonts w:ascii="Arial" w:cs="Arial" w:eastAsia="Arial" w:hAnsi="Arial"/>
          <w:sz w:val="20"/>
          <w:szCs w:val="20"/>
          <w:color w:val="auto"/>
        </w:rPr>
        <w:t>Investing activities used $190.0 million and $5.7 million of cash for the six months ended September 30, 2021 and 2020, respectively, and primarily consisted of the following amounts:</w:t>
      </w:r>
    </w:p>
    <w:p>
      <w:pPr>
        <w:spacing w:after="0" w:line="177" w:lineRule="exact"/>
        <w:rPr>
          <w:sz w:val="20"/>
          <w:szCs w:val="20"/>
          <w:color w:val="auto"/>
        </w:rPr>
      </w:pPr>
    </w:p>
    <w:p>
      <w:pPr>
        <w:ind w:left="960" w:hanging="304"/>
        <w:spacing w:after="0"/>
        <w:tabs>
          <w:tab w:leader="none" w:pos="9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net contributions to investments of $7.2 million and $5.0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purchases of fixed assets of $1.3 million and $0.7 million; and</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cash payments for acquisitions, net of cash acquired, of $181.5 million and $0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Financing Activities</w:t>
      </w:r>
    </w:p>
    <w:p>
      <w:pPr>
        <w:spacing w:after="0" w:line="216"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Financing activities provided (used) $47.1 million and $(7.2) million of cash for the six months ended September 30, 2021 and 2020, respectively, and primarily consisted of the following:</w:t>
      </w:r>
    </w:p>
    <w:p>
      <w:pPr>
        <w:spacing w:after="0" w:line="177" w:lineRule="exact"/>
        <w:rPr>
          <w:sz w:val="20"/>
          <w:szCs w:val="20"/>
          <w:color w:val="auto"/>
        </w:rPr>
      </w:pPr>
    </w:p>
    <w:p>
      <w:pPr>
        <w:ind w:left="960" w:hanging="304"/>
        <w:spacing w:after="0"/>
        <w:tabs>
          <w:tab w:leader="none" w:pos="9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sale of non-controlling interests of $0 million and $3.3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proceeds from IPO, net of underwriting discounts, of $0 million and $337.8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net borrowings on revolving credit facility of $112.6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purchase of non-controlling interests of $3.0 million and $131.3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payment of deferred offering costs of $1.1 million and $5.9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payments on prior term loan of $0 million and $147.0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distributions to non-controlling interests of $55.8 million and $63.6 million; and</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dividends paid to common stockholders of $5.6 million, and $0 million.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Revolving Credit Facility</w:t>
      </w:r>
    </w:p>
    <w:p>
      <w:pPr>
        <w:spacing w:after="0" w:line="222" w:lineRule="exact"/>
        <w:rPr>
          <w:sz w:val="20"/>
          <w:szCs w:val="20"/>
          <w:color w:val="auto"/>
        </w:rPr>
      </w:pPr>
    </w:p>
    <w:p>
      <w:pPr>
        <w:ind w:right="20" w:firstLine="648"/>
        <w:spacing w:after="0" w:line="291" w:lineRule="auto"/>
        <w:rPr>
          <w:sz w:val="20"/>
          <w:szCs w:val="20"/>
          <w:color w:val="auto"/>
        </w:rPr>
      </w:pPr>
      <w:r>
        <w:rPr>
          <w:rFonts w:ascii="Arial" w:cs="Arial" w:eastAsia="Arial" w:hAnsi="Arial"/>
          <w:sz w:val="18"/>
          <w:szCs w:val="18"/>
          <w:color w:val="auto"/>
        </w:rPr>
        <w:t>In September 2021, we entered into the Credit Agreement with various lenders in connection with the Greenspring acquisition. The Credit Agreement was arranged by JPMorgan Chase Bank, N.A., as administrative agent, and provides for a $225.0 million multicurrency Revolver with a five-year maturity. As of September 30, 2021, we had $112.6 million outstanding on the Revolver, net of debt issuance costs.</w:t>
      </w:r>
    </w:p>
    <w:p>
      <w:pPr>
        <w:spacing w:after="0" w:line="1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Borrowings under the Revolver bear interest at a variable rate per annum. We may designate each borrowing as (i) in the case of any borrowing in U.S. dollars, a base rate loan or a LIBOR rate loan, (ii) in the case of any borrowing denominated in Euros, a EURIBOR rate loan, (iii) in the case of any borrowing denominated in British Pounds Sterling, a SONIA loan, (iv) in the case of any borrowing denominated in Swiss Francs, a SARON loan, and (v) in the case of any borrowing denominated in Australian dollars, an AUD rate loan. Borrowings bear interest equal to (i) in the case of base rate loans, 1.00% plus the greatest of (a) the Prime Rate, (b) the New York Federal Reserve Bank Rate plus 0.50% and (c) the 1 month LIBOR, multiplied by the Statutory Reserve Rate (as defined in the Credit Agreement), plus 1.00%, (ii) in the case of a LIBOR rate loan, the LIBOR rate multiplied by the Statutory Reserve Rate plus 2.00%, (iii) in the case of a EURIBOR rate loan, the EURIBOR rate multiplied by the Statutory Reserve Rate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The interest rate in effect for the Revolver as of September 30, 2021 was 2.13%.</w:t>
      </w:r>
    </w:p>
    <w:p>
      <w:pPr>
        <w:spacing w:after="0" w:line="170" w:lineRule="exact"/>
        <w:rPr>
          <w:sz w:val="20"/>
          <w:szCs w:val="20"/>
          <w:color w:val="auto"/>
        </w:rPr>
      </w:pPr>
    </w:p>
    <w:p>
      <w:pPr>
        <w:ind w:right="120" w:firstLine="648"/>
        <w:spacing w:after="0" w:line="269" w:lineRule="auto"/>
        <w:rPr>
          <w:sz w:val="20"/>
          <w:szCs w:val="20"/>
          <w:color w:val="auto"/>
        </w:rPr>
      </w:pPr>
      <w:r>
        <w:rPr>
          <w:rFonts w:ascii="Arial" w:cs="Arial" w:eastAsia="Arial" w:hAnsi="Arial"/>
          <w:sz w:val="19"/>
          <w:szCs w:val="19"/>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September 20, 2026.</w:t>
      </w:r>
    </w:p>
    <w:p>
      <w:pPr>
        <w:spacing w:after="0" w:line="17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Revolver bears a fee on undrawn commitments equal to 0.25% per annum if total utilization of revolving commitments is greater than 50% and 0.35% per annum if total utilization of revolving commitments is less than 50%.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41" w:lineRule="exact"/>
        <w:rPr>
          <w:sz w:val="20"/>
          <w:szCs w:val="20"/>
          <w:color w:val="auto"/>
        </w:rPr>
      </w:pPr>
    </w:p>
    <w:p>
      <w:pPr>
        <w:ind w:right="20" w:firstLine="648"/>
        <w:spacing w:after="0" w:line="278" w:lineRule="auto"/>
        <w:rPr>
          <w:sz w:val="20"/>
          <w:szCs w:val="20"/>
          <w:color w:val="auto"/>
        </w:rPr>
      </w:pPr>
      <w:r>
        <w:rPr>
          <w:rFonts w:ascii="Arial" w:cs="Arial" w:eastAsia="Arial" w:hAnsi="Arial"/>
          <w:sz w:val="18"/>
          <w:szCs w:val="18"/>
          <w:color w:val="auto"/>
        </w:rPr>
        <w:t>Under the terms of the Credit Agreement, certain of our assets serve as pledged collateral. In addition, the Credit Agreement contains covenants that, among other things: limit our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us to maintain a total net leverage ratio, and a minimum total of fee-earning assets under management beginning with the quarter ending December 31, 2021.</w:t>
      </w:r>
    </w:p>
    <w:p>
      <w:pPr>
        <w:spacing w:after="0" w:line="165"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We can use available funding capacity under the Revolver to satisfy letters of credit in amounts up to $10.0 million. Amounts used to satisfy the letters of credit reduce the available capacity under the Revolver. As of September 30, 2021, we had outstanding letters of credit totaling $2.8 million.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 Transactions</w:t>
      </w:r>
    </w:p>
    <w:p>
      <w:pPr>
        <w:spacing w:after="0" w:line="222" w:lineRule="exact"/>
        <w:rPr>
          <w:sz w:val="20"/>
          <w:szCs w:val="20"/>
          <w:color w:val="auto"/>
        </w:rPr>
      </w:pPr>
    </w:p>
    <w:p>
      <w:pPr>
        <w:jc w:val="both"/>
        <w:ind w:right="180" w:firstLine="648"/>
        <w:spacing w:after="0" w:line="250" w:lineRule="auto"/>
        <w:rPr>
          <w:sz w:val="20"/>
          <w:szCs w:val="20"/>
          <w:color w:val="auto"/>
        </w:rPr>
      </w:pPr>
      <w:r>
        <w:rPr>
          <w:rFonts w:ascii="Arial" w:cs="Arial" w:eastAsia="Arial" w:hAnsi="Arial"/>
          <w:sz w:val="20"/>
          <w:szCs w:val="20"/>
          <w:color w:val="auto"/>
        </w:rPr>
        <w:t>In June 2020, StepStone Group Real Assets LP (“SRA”) completed a transaction to repurchase partnership interests in SRA from a former partner for approximately $3.3 million, and subsequently sold an equal number of partnership interests to certain employees of SRA for approximately $3.3 million, resulting in no net proceeds to SRA.</w:t>
      </w:r>
    </w:p>
    <w:p>
      <w:pPr>
        <w:spacing w:after="0" w:line="186" w:lineRule="exact"/>
        <w:rPr>
          <w:sz w:val="20"/>
          <w:szCs w:val="20"/>
          <w:color w:val="auto"/>
        </w:rPr>
      </w:pPr>
    </w:p>
    <w:p>
      <w:pPr>
        <w:jc w:val="both"/>
        <w:ind w:right="140" w:firstLine="648"/>
        <w:spacing w:after="0" w:line="250" w:lineRule="auto"/>
        <w:rPr>
          <w:sz w:val="20"/>
          <w:szCs w:val="20"/>
          <w:color w:val="auto"/>
        </w:rPr>
      </w:pPr>
      <w:r>
        <w:rPr>
          <w:rFonts w:ascii="Arial" w:cs="Arial" w:eastAsia="Arial" w:hAnsi="Arial"/>
          <w:sz w:val="20"/>
          <w:szCs w:val="20"/>
          <w:color w:val="auto"/>
        </w:rPr>
        <w:t>In connection with the consummation of the IPO, we issued new partnership interests to certain StepStone professionals in SRA in exchange for their partnership interests in SRA, which increased our interest in SRA to approximately 49% and decreased the interest of the StepStone professionals in SRA to approximately 51%.</w:t>
      </w:r>
    </w:p>
    <w:p>
      <w:pPr>
        <w:spacing w:after="0" w:line="186"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In March 2021, we conducted an underwritten public offering of 9,200,000 shares of Class A common stock, including 1,200,000 shares pursuant to the full exercise of the underwriters’ option to purchase additional shares, sold by selling stockholders at a public offering price of $29.50 per share. In connection with the offering, we issued 9,200,000 shares of Class A common stock to the selling stockholders in exchange for 9,200,000 Class B units. A corresponding number of shares of Class B common stock were automatically redeemed at par value and canceled in connection with such exchange. We did not receive any proceeds from the sale of shares by the selling stockholders.</w:t>
      </w:r>
    </w:p>
    <w:p>
      <w:pPr>
        <w:spacing w:after="0" w:line="165"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In June 2021, we issued 1,898,438 shares of Class A common stock to certain limited partners of the Partnership in exchange for 1,898,438 Class B units. A corresponding number of shares of Class B common stock were automatically redeemed at par value and canceled in connection with such exchange and a corresponding number of Class A units of the Partnership were issued to us.</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9"/>
          <w:szCs w:val="19"/>
          <w:color w:val="auto"/>
        </w:rPr>
        <w:t>In September 2021, we issued 12,686,756 shares of Class A common stock and 3,071,519 Class C units of the Partnership as partial consideration for the Greenspring acquisition. In connection with the transaction, we amended the limited partnership agreement to create a new Class C limited partnership interest and admit the new limited partners that received Class C units as consideration for the Greenspring acquisition. We also entered into an agreement with the Class C limited partners to allow for exchange of Class C units to shares of Class A common stock of the Company on a one for one basis. The Class C limited partners became parties to the Exchanges Tax Receivable Agreement as a result of the transaction.</w:t>
      </w:r>
    </w:p>
    <w:p>
      <w:pPr>
        <w:spacing w:after="0" w:line="178" w:lineRule="exact"/>
        <w:rPr>
          <w:sz w:val="20"/>
          <w:szCs w:val="20"/>
          <w:color w:val="auto"/>
        </w:rPr>
      </w:pPr>
    </w:p>
    <w:p>
      <w:pPr>
        <w:ind w:right="180" w:firstLine="648"/>
        <w:spacing w:after="0" w:line="291" w:lineRule="auto"/>
        <w:rPr>
          <w:sz w:val="20"/>
          <w:szCs w:val="20"/>
          <w:color w:val="auto"/>
        </w:rPr>
      </w:pPr>
      <w:r>
        <w:rPr>
          <w:rFonts w:ascii="Arial" w:cs="Arial" w:eastAsia="Arial" w:hAnsi="Arial"/>
          <w:sz w:val="18"/>
          <w:szCs w:val="18"/>
          <w:color w:val="auto"/>
        </w:rPr>
        <w:t>In September 2021, we issued 2,087,281 shares of Class A common stock to certain limited partners of the Partnership in exchange for 2,087,281 Class B units. A corresponding number of shares of Class B common stock were automatically redeemed at par value and canceled in connection with such exchange and a corresponding number of Class A units of the Partnership were issued to us.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Future Sources and Uses of Liquidity</w:t>
      </w:r>
    </w:p>
    <w:p>
      <w:pPr>
        <w:spacing w:after="0" w:line="222"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Dividend and Distribution Policy</w:t>
      </w:r>
    </w:p>
    <w:p>
      <w:pPr>
        <w:spacing w:after="0" w:line="216" w:lineRule="exact"/>
        <w:rPr>
          <w:sz w:val="20"/>
          <w:szCs w:val="20"/>
          <w:color w:val="auto"/>
        </w:rPr>
      </w:pPr>
    </w:p>
    <w:p>
      <w:pPr>
        <w:ind w:right="580" w:firstLine="648"/>
        <w:spacing w:after="0" w:line="260" w:lineRule="auto"/>
        <w:rPr>
          <w:sz w:val="20"/>
          <w:szCs w:val="20"/>
          <w:color w:val="auto"/>
        </w:rPr>
      </w:pPr>
      <w:r>
        <w:rPr>
          <w:rFonts w:ascii="Arial" w:cs="Arial" w:eastAsia="Arial" w:hAnsi="Arial"/>
          <w:sz w:val="20"/>
          <w:szCs w:val="20"/>
          <w:color w:val="auto"/>
        </w:rPr>
        <w:t>On June 15, 2021, we announced a dividend of $0.07 per share of Class A common stock, which was paid on July 15, 2021 to holders of record at the close of business on June 30, 2021.</w:t>
      </w:r>
    </w:p>
    <w:p>
      <w:pPr>
        <w:spacing w:after="0" w:line="177"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On August 10, 2021, we announced a dividend of $0.07 per share of Class A common stock, which was paid on September 15, 2021 to holders of record at the close of business on August 31, 2021.</w:t>
      </w:r>
    </w:p>
    <w:p>
      <w:pPr>
        <w:spacing w:after="0" w:line="177"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On November 9, 2021, we announced a dividend of $0.15 per share of Class A common stock, payable on December 15, 2021 to holders of record as of the close of business on November 30, 2021.</w:t>
      </w:r>
    </w:p>
    <w:p>
      <w:pPr>
        <w:spacing w:after="0" w:line="177" w:lineRule="exact"/>
        <w:rPr>
          <w:sz w:val="20"/>
          <w:szCs w:val="20"/>
          <w:color w:val="auto"/>
        </w:rPr>
      </w:pPr>
    </w:p>
    <w:p>
      <w:pPr>
        <w:ind w:right="80" w:firstLine="648"/>
        <w:spacing w:after="0" w:line="243" w:lineRule="auto"/>
        <w:rPr>
          <w:sz w:val="20"/>
          <w:szCs w:val="20"/>
          <w:color w:val="auto"/>
        </w:rPr>
      </w:pPr>
      <w:r>
        <w:rPr>
          <w:rFonts w:ascii="Arial" w:cs="Arial" w:eastAsia="Arial" w:hAnsi="Arial"/>
          <w:sz w:val="20"/>
          <w:szCs w:val="20"/>
          <w:color w:val="auto"/>
        </w:rPr>
        <w:t>We may pay additional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payments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Tax Receivable Agreements</w:t>
      </w:r>
    </w:p>
    <w:p>
      <w:pPr>
        <w:spacing w:after="0" w:line="216"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We have entered into an Exchanges Tax Receivable Agreement with the partners of the Partnership as of the date of the IPO and with the Class C limited partners, and a Reorganization Tax Receivable Agreement with certain pre-IPO institutional investors (collectively, the “Tax Receivable Agreements”). The Tax Receivable Agreements provide for payment by SSG to these continuing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continuing partner’s and institutional investor’s Partnership units in connection with the Reorganization and IPO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Contractual Obligations and Commitments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the ordinary course of business, we enter into contractual arrangements that require future cash payments.</w:t>
      </w:r>
    </w:p>
    <w:p>
      <w:pPr>
        <w:spacing w:after="0" w:line="216"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auto"/>
        </w:rPr>
        <w:t>In September 2021, we completed the acquisition of 100% of Greenspring. The transaction agreement included an earn-out of up to $75 million that is payable in 2025 subject to the achievement of certain management fee revenue targets for calendar year 2024. In connection with the Greenspring acquisition, we recorded a contingent consideration liability of $17.8 million during the three months ended September 30, 2021.</w:t>
      </w:r>
    </w:p>
    <w:p>
      <w:pPr>
        <w:spacing w:after="0" w:line="191" w:lineRule="exact"/>
        <w:rPr>
          <w:sz w:val="20"/>
          <w:szCs w:val="20"/>
          <w:color w:val="auto"/>
        </w:rPr>
      </w:pPr>
    </w:p>
    <w:p>
      <w:pPr>
        <w:ind w:right="20" w:firstLine="648"/>
        <w:spacing w:after="0" w:line="257" w:lineRule="auto"/>
        <w:rPr>
          <w:sz w:val="20"/>
          <w:szCs w:val="20"/>
          <w:color w:val="auto"/>
        </w:rPr>
      </w:pPr>
      <w:r>
        <w:rPr>
          <w:rFonts w:ascii="Arial" w:cs="Arial" w:eastAsia="Arial" w:hAnsi="Arial"/>
          <w:sz w:val="19"/>
          <w:szCs w:val="19"/>
          <w:color w:val="auto"/>
        </w:rPr>
        <w:t>Also in connection with the Greenspring acquisition, we, indirectly through our subsidiaries, became the sole and/or managing member of certain entities, each of which is the general partner of an investment fund (“legacy Greenspring general partner entities”). We did not acquire any direct economic interests attributable to the legacy Greenspring general partner entities, including legacy Greenspring investments in funds and carried interest allocations. However, certain arrangements negotiated as part of the acquisition represent variable interests that could be significant. We determined that the legacy Greenspring general partner entities are VIEs and it is the primary beneficiary of each such entity because it has a controlling financial interest in each entity. As a result, we consolidate these entities. As of September 30, 2021, there are $39.2 million of unfunded commitments held by the legacy Greenspring general partner entities in legacy Greenspring funds for which we do not hold an economic interest.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Off-Balance Sheet Arrangements</w:t>
      </w:r>
    </w:p>
    <w:p>
      <w:pPr>
        <w:spacing w:after="0" w:line="222" w:lineRule="exact"/>
        <w:rPr>
          <w:sz w:val="20"/>
          <w:szCs w:val="20"/>
          <w:color w:val="auto"/>
        </w:rPr>
      </w:pPr>
    </w:p>
    <w:p>
      <w:pPr>
        <w:ind w:right="340" w:firstLine="648"/>
        <w:spacing w:after="0" w:line="246" w:lineRule="auto"/>
        <w:rPr>
          <w:sz w:val="20"/>
          <w:szCs w:val="20"/>
          <w:color w:val="auto"/>
        </w:rPr>
      </w:pPr>
      <w:r>
        <w:rPr>
          <w:rFonts w:ascii="Arial" w:cs="Arial" w:eastAsia="Arial" w:hAnsi="Arial"/>
          <w:sz w:val="20"/>
          <w:szCs w:val="20"/>
          <w:color w:val="auto"/>
        </w:rPr>
        <w:t>We do not have any off-balance sheet arrangements that would expose us to any liability or require us to fund losses or guarantee target returns to clients in our funds that are not reflected in our condensed consolidated financial statements. See notes 4 and 15, respectively, to our condensed consolidated financial statements included elsewhere in this quarterly report for information on variable interest entities and commitments and contingencies.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Critical Accounting Policies</w:t>
      </w:r>
    </w:p>
    <w:p>
      <w:pPr>
        <w:spacing w:after="0" w:line="222"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We prepare our condensed consolidated financial statements in accordance with GAAP. In applying many of these accounting principles, we need to make assumptions, estimates and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w:t>
      </w:r>
    </w:p>
    <w:p>
      <w:pPr>
        <w:spacing w:after="0" w:line="165" w:lineRule="exact"/>
        <w:rPr>
          <w:sz w:val="20"/>
          <w:szCs w:val="20"/>
          <w:color w:val="auto"/>
        </w:rPr>
      </w:pPr>
    </w:p>
    <w:p>
      <w:pPr>
        <w:ind w:right="100" w:firstLine="648"/>
        <w:spacing w:after="0" w:line="385" w:lineRule="auto"/>
        <w:rPr>
          <w:sz w:val="20"/>
          <w:szCs w:val="20"/>
          <w:color w:val="auto"/>
        </w:rPr>
      </w:pPr>
      <w:r>
        <w:rPr>
          <w:rFonts w:ascii="Arial" w:cs="Arial" w:eastAsia="Arial" w:hAnsi="Arial"/>
          <w:sz w:val="16"/>
          <w:szCs w:val="16"/>
          <w:color w:val="auto"/>
        </w:rPr>
        <w:t>See note 2 to our condensed consolidated financial statements included elsewhere in this quarterly report, and note 2 to our audited consolidated financial statements in our Form 10-K for the year ended March 31, 2021 for a summary of our significant accounting policies.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Recent Accounting Developments</w:t>
      </w:r>
    </w:p>
    <w:p>
      <w:pPr>
        <w:spacing w:after="0" w:line="222"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Information regarding recent accounting developments and their effects to us can be found in note 2 to our condensed consolidated financial statements included elsewhere in this quarterly report.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22" w:lineRule="exact"/>
        <w:rPr>
          <w:sz w:val="20"/>
          <w:szCs w:val="20"/>
          <w:color w:val="auto"/>
        </w:rPr>
      </w:pPr>
    </w:p>
    <w:p>
      <w:pPr>
        <w:ind w:right="180" w:firstLine="648"/>
        <w:spacing w:after="0" w:line="260" w:lineRule="auto"/>
        <w:rPr>
          <w:sz w:val="20"/>
          <w:szCs w:val="20"/>
          <w:color w:val="auto"/>
        </w:rPr>
      </w:pPr>
      <w:r>
        <w:rPr>
          <w:rFonts w:ascii="Arial" w:cs="Arial" w:eastAsia="Arial" w:hAnsi="Arial"/>
          <w:sz w:val="19"/>
          <w:szCs w:val="19"/>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Market Risk</w:t>
      </w:r>
    </w:p>
    <w:p>
      <w:pPr>
        <w:spacing w:after="0" w:line="222"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w:t>
      </w:r>
    </w:p>
    <w:p>
      <w:pPr>
        <w:spacing w:after="0" w:line="186"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auto"/>
        </w:rPr>
        <w:t>Our management fee and advisory fee revenue is only marginally affected by changes in investment values because our management fees are generally based on commitments or net invested capital and our advisory fees are fixed. As of September 30, 2021, NAV-based management fees represented approximately 2% of total net management and advisory fees. We estimate that a 10% decline in market values of the investments held in our funds as of September 30, 2021 would result in an approximate $0.9 million decrease to annual management fees.</w:t>
      </w:r>
    </w:p>
    <w:p>
      <w:pPr>
        <w:spacing w:after="0" w:line="19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spacing w:after="0" w:line="186" w:lineRule="exact"/>
        <w:rPr>
          <w:sz w:val="20"/>
          <w:szCs w:val="20"/>
          <w:color w:val="auto"/>
        </w:rPr>
      </w:pPr>
    </w:p>
    <w:p>
      <w:pPr>
        <w:ind w:left="660" w:right="60" w:hanging="328"/>
        <w:spacing w:after="0" w:line="263" w:lineRule="auto"/>
        <w:tabs>
          <w:tab w:leader="none" w:pos="648" w:val="left"/>
        </w:tabs>
        <w:numPr>
          <w:ilvl w:val="0"/>
          <w:numId w:val="49"/>
        </w:numPr>
        <w:rPr>
          <w:rFonts w:ascii="Arial" w:cs="Arial" w:eastAsia="Arial" w:hAnsi="Arial"/>
          <w:sz w:val="19"/>
          <w:szCs w:val="19"/>
          <w:color w:val="auto"/>
        </w:rPr>
      </w:pPr>
      <w:r>
        <w:rPr>
          <w:rFonts w:ascii="Arial" w:cs="Arial" w:eastAsia="Arial" w:hAnsi="Arial"/>
          <w:sz w:val="19"/>
          <w:szCs w:val="19"/>
          <w:color w:val="auto"/>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September 30, 2021, we had $18.5 million of deferred incentive fee revenue recorded in accounts payable, accrued expenses and other liabilities in the condensed consolidated balance sheets.</w:t>
      </w:r>
    </w:p>
    <w:p>
      <w:pPr>
        <w:spacing w:after="0" w:line="176" w:lineRule="exact"/>
        <w:rPr>
          <w:rFonts w:ascii="Arial" w:cs="Arial" w:eastAsia="Arial" w:hAnsi="Arial"/>
          <w:sz w:val="19"/>
          <w:szCs w:val="19"/>
          <w:color w:val="auto"/>
        </w:rPr>
      </w:pPr>
    </w:p>
    <w:p>
      <w:pPr>
        <w:ind w:left="660" w:hanging="328"/>
        <w:spacing w:after="0" w:line="270"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are paid to employees as carried interest-related compensation, the overall net impact to our income would be mitigated by lower compensation payments. As of September 30, 2021, the maximum amount of carried interest allocations (excluding legacy Greenspring carried interest allocations) subject to contingent repayment was an estimated $156.0 million, net of tax, assuming the fair value of all investments was zero, a possibility that we view as remote.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41" w:lineRule="exact"/>
        <w:rPr>
          <w:sz w:val="20"/>
          <w:szCs w:val="20"/>
          <w:color w:val="auto"/>
        </w:rPr>
      </w:pPr>
    </w:p>
    <w:p>
      <w:pPr>
        <w:ind w:left="660" w:right="20" w:hanging="328"/>
        <w:spacing w:after="0" w:line="246" w:lineRule="auto"/>
        <w:tabs>
          <w:tab w:leader="none" w:pos="648" w:val="left"/>
        </w:tabs>
        <w:numPr>
          <w:ilvl w:val="0"/>
          <w:numId w:val="50"/>
        </w:numPr>
        <w:rPr>
          <w:rFonts w:ascii="Arial" w:cs="Arial" w:eastAsia="Arial" w:hAnsi="Arial"/>
          <w:sz w:val="20"/>
          <w:szCs w:val="20"/>
          <w:color w:val="auto"/>
        </w:rPr>
      </w:pPr>
      <w:r>
        <w:rPr>
          <w:rFonts w:ascii="Arial" w:cs="Arial" w:eastAsia="Arial" w:hAnsi="Arial"/>
          <w:sz w:val="20"/>
          <w:szCs w:val="20"/>
          <w:color w:val="auto"/>
        </w:rPr>
        <w:t>Investment income changes in relation to realized and unrealized gains and losses of the underlying investments in our funds in which we have a general partner commitment. Based on investments (excluding legacy Greenspring investments in funds) held as of September 30, 2021, we estimate that a 10% decline in fair value of the investments would result in a $9.0 million decrease in the amount of income.</w:t>
      </w:r>
    </w:p>
    <w:p>
      <w:pPr>
        <w:spacing w:after="0" w:line="18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b w:val="1"/>
          <w:bCs w:val="1"/>
          <w:color w:val="auto"/>
        </w:rPr>
        <w:t>Exchange Rate Risk</w:t>
      </w:r>
    </w:p>
    <w:p>
      <w:pPr>
        <w:spacing w:after="0" w:line="22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condensed consolidated financial statements.</w:t>
      </w:r>
    </w:p>
    <w:p>
      <w:pPr>
        <w:spacing w:after="0" w:line="161" w:lineRule="exact"/>
        <w:rPr>
          <w:sz w:val="20"/>
          <w:szCs w:val="20"/>
          <w:color w:val="auto"/>
        </w:rPr>
      </w:pPr>
    </w:p>
    <w:p>
      <w:pPr>
        <w:ind w:right="20" w:firstLine="648"/>
        <w:spacing w:after="0" w:line="244" w:lineRule="auto"/>
        <w:rPr>
          <w:sz w:val="20"/>
          <w:szCs w:val="20"/>
          <w:color w:val="auto"/>
        </w:rPr>
      </w:pPr>
      <w:r>
        <w:rPr>
          <w:rFonts w:ascii="Arial" w:cs="Arial" w:eastAsia="Arial" w:hAnsi="Arial"/>
          <w:sz w:val="20"/>
          <w:szCs w:val="20"/>
          <w:color w:val="auto"/>
        </w:rPr>
        <w:t>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one percent of total capital commitments. Changes in exchange rates are not expected to materially affect our condensed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Interest Rate Risk</w:t>
      </w:r>
    </w:p>
    <w:p>
      <w:pPr>
        <w:spacing w:after="0" w:line="222" w:lineRule="exact"/>
        <w:rPr>
          <w:sz w:val="20"/>
          <w:szCs w:val="20"/>
          <w:color w:val="auto"/>
        </w:rPr>
      </w:pPr>
    </w:p>
    <w:p>
      <w:pPr>
        <w:ind w:firstLine="648"/>
        <w:spacing w:after="0" w:line="328" w:lineRule="auto"/>
        <w:rPr>
          <w:sz w:val="20"/>
          <w:szCs w:val="20"/>
          <w:color w:val="auto"/>
        </w:rPr>
      </w:pPr>
      <w:r>
        <w:rPr>
          <w:rFonts w:ascii="Arial" w:cs="Arial" w:eastAsia="Arial" w:hAnsi="Arial"/>
          <w:sz w:val="16"/>
          <w:szCs w:val="16"/>
          <w:color w:val="auto"/>
        </w:rPr>
        <w:t>As of September 30, 2021, we had $115.0 million in borrowings outstanding under our Revolver. The Revolver accrues interest at a variable rate. As of September 30, 2021, we estimate that interest expense would increase by $1.2 million on an annualized basis as a result of a 100 basis point increase in interest rate. Of the $176.0 million of cash, cash equivalents and restricted cash as of September 30, 2021, we estimate that interest income would increase by $1.8 million on an annualized basis as a result of a 100 basis point increase in interest rates.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Credit Risk</w:t>
      </w:r>
    </w:p>
    <w:p>
      <w:pPr>
        <w:spacing w:after="0" w:line="222" w:lineRule="exact"/>
        <w:rPr>
          <w:sz w:val="20"/>
          <w:szCs w:val="20"/>
          <w:color w:val="auto"/>
        </w:rPr>
      </w:pPr>
    </w:p>
    <w:p>
      <w:pPr>
        <w:jc w:val="both"/>
        <w:ind w:right="80" w:firstLine="648"/>
        <w:spacing w:after="0" w:line="278" w:lineRule="auto"/>
        <w:rPr>
          <w:sz w:val="20"/>
          <w:szCs w:val="20"/>
          <w:color w:val="auto"/>
        </w:rPr>
      </w:pPr>
      <w:r>
        <w:rPr>
          <w:rFonts w:ascii="Arial" w:cs="Arial" w:eastAsia="Arial" w:hAnsi="Arial"/>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1" w:name="page82"/>
    <w:bookmarkEnd w:id="81"/>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4. Controls and Procedures.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Disclosure Controls and Procedures</w:t>
      </w:r>
    </w:p>
    <w:p>
      <w:pPr>
        <w:spacing w:after="0" w:line="216"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Co-Chief Executive Officers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90" w:lineRule="exact"/>
        <w:rPr>
          <w:sz w:val="20"/>
          <w:szCs w:val="20"/>
          <w:color w:val="auto"/>
        </w:rPr>
      </w:pPr>
    </w:p>
    <w:p>
      <w:pPr>
        <w:ind w:right="20" w:firstLine="648"/>
        <w:spacing w:after="0" w:line="273" w:lineRule="auto"/>
        <w:rPr>
          <w:sz w:val="20"/>
          <w:szCs w:val="20"/>
          <w:color w:val="auto"/>
        </w:rPr>
      </w:pPr>
      <w:r>
        <w:rPr>
          <w:rFonts w:ascii="Arial" w:cs="Arial" w:eastAsia="Arial" w:hAnsi="Arial"/>
          <w:sz w:val="18"/>
          <w:szCs w:val="18"/>
          <w:color w:val="auto"/>
        </w:rPr>
        <w:t>Our management, under the supervision and with the participation of our Co-Chief Executive Officers and Chief Financial Officer, evaluated the effectiveness of our disclosure controls and procedures pursuant to Rule 13a-15 under the Exchange Act as of the end of the period covered by this report. Based on that evaluation, our Co-Chief Executive Officers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Co-Chief Executive Officers and Chief Financial Officer, as appropriate, to allow timely decisions regarding required disclosure.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Changes in Internal Controls over Financial Reporting</w:t>
      </w:r>
    </w:p>
    <w:p>
      <w:pPr>
        <w:spacing w:after="0" w:line="216" w:lineRule="exact"/>
        <w:rPr>
          <w:sz w:val="20"/>
          <w:szCs w:val="20"/>
          <w:color w:val="auto"/>
        </w:rPr>
      </w:pPr>
    </w:p>
    <w:p>
      <w:pPr>
        <w:jc w:val="both"/>
        <w:ind w:right="60" w:firstLine="648"/>
        <w:spacing w:after="0" w:line="250" w:lineRule="auto"/>
        <w:rPr>
          <w:sz w:val="20"/>
          <w:szCs w:val="20"/>
          <w:color w:val="auto"/>
        </w:rPr>
      </w:pPr>
      <w:r>
        <w:rPr>
          <w:rFonts w:ascii="Arial" w:cs="Arial" w:eastAsia="Arial" w:hAnsi="Arial"/>
          <w:sz w:val="20"/>
          <w:szCs w:val="20"/>
          <w:color w:val="auto"/>
        </w:rPr>
        <w:t>There have been no changes in our internal control over financial reporting (as such term is defined in Rules 13a-15(f) and 15d-15(f) under the Exchange Act) during our most recent quarter ended September 30, 2021, that have materially affected, or are reasonably likely to materially affect, our internal control over financial reporting.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II—OTHER INFORMATION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1. Legal Proceedings.</w:t>
      </w:r>
    </w:p>
    <w:p>
      <w:pPr>
        <w:spacing w:after="0" w:line="222" w:lineRule="exact"/>
        <w:rPr>
          <w:sz w:val="20"/>
          <w:szCs w:val="20"/>
          <w:color w:val="auto"/>
        </w:rPr>
      </w:pPr>
    </w:p>
    <w:p>
      <w:pPr>
        <w:jc w:val="both"/>
        <w:ind w:right="600" w:firstLine="648"/>
        <w:spacing w:after="0" w:line="250" w:lineRule="auto"/>
        <w:rPr>
          <w:sz w:val="20"/>
          <w:szCs w:val="20"/>
          <w:color w:val="auto"/>
        </w:rPr>
      </w:pPr>
      <w:r>
        <w:rPr>
          <w:rFonts w:ascii="Arial" w:cs="Arial" w:eastAsia="Arial" w:hAnsi="Arial"/>
          <w:sz w:val="20"/>
          <w:szCs w:val="20"/>
          <w:color w:val="auto"/>
        </w:rPr>
        <w:t>The information required with respect to this item can be found under the heading “Litigation” in note 15, Commitments and Contingencies, to our condensed consolidated financial statements included elsewhere in this quarterly report, and such information is incorporated by reference into this Item 1.</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1A. Risk Factors.</w:t>
      </w:r>
    </w:p>
    <w:p>
      <w:pPr>
        <w:spacing w:after="0" w:line="22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There have been no material changes from the risk factors previously disclosed in Part 1, Item 1A of our annual report on Form 10-K for the fiscal year ended March 31,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22"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Except as previously disclosed in a Current Report on Form 8-K, no unregistered sales of the Company’s equity securities were made during the three months ended September 30, 2021.</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line="351" w:lineRule="exact"/>
        <w:rPr>
          <w:sz w:val="20"/>
          <w:szCs w:val="20"/>
          <w:color w:val="auto"/>
        </w:rPr>
      </w:pPr>
    </w:p>
    <w:p>
      <w:pPr>
        <w:jc w:val="right"/>
        <w:ind w:right="2819"/>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Item 4. Mine Safety Disclosures.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Item 5. 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79"/>
          </w:cols>
          <w:pgMar w:left="980" w:top="1440" w:right="1440" w:bottom="1440" w:gutter="0" w:footer="0" w:header="0"/>
        </w:sectPr>
      </w:pPr>
    </w:p>
    <w:bookmarkStart w:id="83" w:name="page84"/>
    <w:bookmarkEnd w:id="83"/>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6. Exhibits.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w w:val="92"/>
              </w:rPr>
              <w:t>Incorporated By Reference</w:t>
            </w:r>
          </w:p>
        </w:tc>
        <w:tc>
          <w:tcPr>
            <w:tcW w:w="10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vMerge w:val="continue"/>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 No.</w:t>
            </w:r>
          </w:p>
        </w:tc>
        <w:tc>
          <w:tcPr>
            <w:tcW w:w="4720" w:type="dxa"/>
            <w:vAlign w:val="bottom"/>
            <w:tcBorders>
              <w:bottom w:val="single" w:sz="8" w:color="auto"/>
            </w:tcBorders>
            <w:gridSpan w:val="32"/>
          </w:tcPr>
          <w:p>
            <w:pPr>
              <w:spacing w:after="0"/>
              <w:rPr>
                <w:sz w:val="20"/>
                <w:szCs w:val="20"/>
                <w:color w:val="auto"/>
              </w:rPr>
            </w:pPr>
            <w:r>
              <w:rPr>
                <w:rFonts w:ascii="Arial" w:cs="Arial" w:eastAsia="Arial" w:hAnsi="Arial"/>
                <w:sz w:val="18"/>
                <w:szCs w:val="18"/>
                <w:b w:val="1"/>
                <w:bCs w:val="1"/>
                <w:color w:val="auto"/>
              </w:rPr>
              <w:t>Description of Exhibit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Exhibit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60" w:type="dxa"/>
            <w:vAlign w:val="bottom"/>
            <w:gridSpan w:val="2"/>
          </w:tcPr>
          <w:p>
            <w:pPr>
              <w:ind w:left="20"/>
              <w:spacing w:after="0" w:line="182" w:lineRule="exact"/>
              <w:rPr>
                <w:rFonts w:ascii="Arial" w:cs="Arial" w:eastAsia="Arial" w:hAnsi="Arial"/>
                <w:sz w:val="18"/>
                <w:szCs w:val="18"/>
                <w:color w:val="0000FF"/>
                <w:w w:val="87"/>
              </w:rPr>
            </w:pPr>
            <w:hyperlink r:id="rId101">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720" w:type="dxa"/>
            <w:vAlign w:val="bottom"/>
            <w:gridSpan w:val="32"/>
          </w:tcPr>
          <w:p>
            <w:pPr>
              <w:spacing w:after="0" w:line="182" w:lineRule="exact"/>
              <w:rPr>
                <w:rFonts w:ascii="Arial" w:cs="Arial" w:eastAsia="Arial" w:hAnsi="Arial"/>
                <w:sz w:val="18"/>
                <w:szCs w:val="18"/>
                <w:color w:val="0000FF"/>
                <w:w w:val="99"/>
              </w:rPr>
            </w:pPr>
            <w:hyperlink r:id="rId101">
              <w:r>
                <w:rPr>
                  <w:rFonts w:ascii="Arial" w:cs="Arial" w:eastAsia="Arial" w:hAnsi="Arial"/>
                  <w:sz w:val="18"/>
                  <w:szCs w:val="18"/>
                  <w:color w:val="0000FF"/>
                  <w:w w:val="99"/>
                </w:rPr>
                <w:t>Transaction Agreement, dated July 7, 2021, by and among,</w:t>
              </w:r>
            </w:hyperlink>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0"/>
              </w:rPr>
            </w:pPr>
            <w:hyperlink r:id="rId101">
              <w:r>
                <w:rPr>
                  <w:rFonts w:ascii="Arial" w:cs="Arial" w:eastAsia="Arial" w:hAnsi="Arial"/>
                  <w:sz w:val="18"/>
                  <w:szCs w:val="18"/>
                  <w:color w:val="0000FF"/>
                  <w:w w:val="90"/>
                </w:rPr>
                <w:t>StepStone Group Inc., StepStone Group LP, certain wholly</w:t>
              </w:r>
            </w:hyperlink>
          </w:p>
        </w:tc>
        <w:tc>
          <w:tcPr>
            <w:tcW w:w="60" w:type="dxa"/>
            <w:vAlign w:val="bottom"/>
            <w:tcBorders>
              <w:bottom w:val="single" w:sz="8" w:color="0000FF"/>
            </w:tcBorders>
          </w:tcPr>
          <w:p>
            <w:pPr>
              <w:jc w:val="right"/>
              <w:spacing w:after="0" w:line="155" w:lineRule="exact"/>
              <w:rPr>
                <w:rFonts w:ascii="Arial" w:cs="Arial" w:eastAsia="Arial" w:hAnsi="Arial"/>
                <w:sz w:val="16"/>
                <w:szCs w:val="16"/>
                <w:color w:val="0000FF"/>
                <w:w w:val="74"/>
              </w:rPr>
            </w:pPr>
            <w:hyperlink r:id="rId101">
              <w:r>
                <w:rPr>
                  <w:rFonts w:ascii="Arial" w:cs="Arial" w:eastAsia="Arial" w:hAnsi="Arial"/>
                  <w:sz w:val="16"/>
                  <w:szCs w:val="16"/>
                  <w:color w:val="0000FF"/>
                  <w:w w:val="74"/>
                </w:rPr>
                <w:t>-</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300" w:type="dxa"/>
            <w:vAlign w:val="bottom"/>
            <w:tcBorders>
              <w:bottom w:val="single" w:sz="8" w:color="0000FF"/>
            </w:tcBorders>
            <w:gridSpan w:val="16"/>
          </w:tcPr>
          <w:p>
            <w:pPr>
              <w:spacing w:after="0" w:line="156" w:lineRule="exact"/>
              <w:rPr>
                <w:rFonts w:ascii="Arial" w:cs="Arial" w:eastAsia="Arial" w:hAnsi="Arial"/>
                <w:sz w:val="18"/>
                <w:szCs w:val="18"/>
                <w:color w:val="0000FF"/>
                <w:w w:val="88"/>
              </w:rPr>
            </w:pPr>
            <w:hyperlink r:id="rId101">
              <w:r>
                <w:rPr>
                  <w:rFonts w:ascii="Arial" w:cs="Arial" w:eastAsia="Arial" w:hAnsi="Arial"/>
                  <w:sz w:val="18"/>
                  <w:szCs w:val="18"/>
                  <w:color w:val="0000FF"/>
                  <w:w w:val="88"/>
                </w:rPr>
                <w:t>owned subsidiaries of StepStone Group LP, the sellers party</w:t>
              </w:r>
            </w:hyperlink>
          </w:p>
        </w:tc>
        <w:tc>
          <w:tcPr>
            <w:tcW w:w="2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720" w:type="dxa"/>
            <w:vAlign w:val="bottom"/>
            <w:gridSpan w:val="32"/>
          </w:tcPr>
          <w:p>
            <w:pPr>
              <w:spacing w:after="0" w:line="156" w:lineRule="exact"/>
              <w:rPr>
                <w:rFonts w:ascii="Arial" w:cs="Arial" w:eastAsia="Arial" w:hAnsi="Arial"/>
                <w:sz w:val="18"/>
                <w:szCs w:val="18"/>
                <w:color w:val="0000FF"/>
                <w:w w:val="93"/>
              </w:rPr>
            </w:pPr>
            <w:hyperlink r:id="rId101">
              <w:r>
                <w:rPr>
                  <w:rFonts w:ascii="Arial" w:cs="Arial" w:eastAsia="Arial" w:hAnsi="Arial"/>
                  <w:sz w:val="18"/>
                  <w:szCs w:val="18"/>
                  <w:color w:val="0000FF"/>
                  <w:w w:val="93"/>
                </w:rPr>
                <w:t>thereto, Greenspring Associates, Inc. and certain of its affiliates</w:t>
              </w:r>
            </w:hyperlink>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and Shareholder Representative Services LLC, as Seller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5"/>
              </w:rPr>
              <w:t>2.1</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7/07/2021</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Representative.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gridSpan w:val="2"/>
          </w:tcPr>
          <w:p>
            <w:pPr>
              <w:ind w:left="20"/>
              <w:spacing w:after="0"/>
              <w:rPr>
                <w:rFonts w:ascii="Arial" w:cs="Arial" w:eastAsia="Arial" w:hAnsi="Arial"/>
                <w:sz w:val="18"/>
                <w:szCs w:val="18"/>
                <w:color w:val="0000FF"/>
                <w:w w:val="87"/>
              </w:rPr>
            </w:pPr>
            <w:hyperlink r:id="rId10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32"/>
          </w:tcPr>
          <w:p>
            <w:pPr>
              <w:spacing w:after="0"/>
              <w:rPr>
                <w:rFonts w:ascii="Arial" w:cs="Arial" w:eastAsia="Arial" w:hAnsi="Arial"/>
                <w:sz w:val="18"/>
                <w:szCs w:val="18"/>
                <w:color w:val="0000FF"/>
                <w:w w:val="91"/>
              </w:rPr>
            </w:pPr>
            <w:hyperlink r:id="rId102">
              <w:r>
                <w:rPr>
                  <w:rFonts w:ascii="Arial" w:cs="Arial" w:eastAsia="Arial" w:hAnsi="Arial"/>
                  <w:sz w:val="18"/>
                  <w:szCs w:val="18"/>
                  <w:color w:val="0000FF"/>
                  <w:w w:val="91"/>
                </w:rPr>
                <w:t>Amended and Restated Certificate of Incorporation of StepStone</w:t>
              </w:r>
            </w:hyperlink>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5"/>
              </w:rPr>
              <w:t>3.1</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102">
              <w:r>
                <w:rPr>
                  <w:rFonts w:ascii="Arial" w:cs="Arial" w:eastAsia="Arial" w:hAnsi="Arial"/>
                  <w:sz w:val="18"/>
                  <w:szCs w:val="18"/>
                  <w:color w:val="0000FF"/>
                  <w:w w:val="90"/>
                </w:rPr>
                <w:t>Group Inc.</w:t>
              </w:r>
            </w:hyperlink>
          </w:p>
        </w:tc>
        <w:tc>
          <w:tcPr>
            <w:tcW w:w="392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60" w:type="dxa"/>
            <w:vAlign w:val="bottom"/>
            <w:gridSpan w:val="2"/>
          </w:tcPr>
          <w:p>
            <w:pPr>
              <w:ind w:left="20"/>
              <w:spacing w:after="0"/>
              <w:rPr>
                <w:rFonts w:ascii="Arial" w:cs="Arial" w:eastAsia="Arial" w:hAnsi="Arial"/>
                <w:sz w:val="18"/>
                <w:szCs w:val="18"/>
                <w:color w:val="0000FF"/>
                <w:w w:val="87"/>
              </w:rPr>
            </w:pPr>
            <w:hyperlink r:id="rId10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tcBorders>
              <w:bottom w:val="single" w:sz="8" w:color="0000FF"/>
            </w:tcBorders>
            <w:gridSpan w:val="12"/>
          </w:tcPr>
          <w:p>
            <w:pPr>
              <w:spacing w:after="0"/>
              <w:rPr>
                <w:rFonts w:ascii="Arial" w:cs="Arial" w:eastAsia="Arial" w:hAnsi="Arial"/>
                <w:sz w:val="18"/>
                <w:szCs w:val="18"/>
                <w:color w:val="0000FF"/>
                <w:w w:val="89"/>
              </w:rPr>
            </w:pPr>
            <w:hyperlink r:id="rId103">
              <w:r>
                <w:rPr>
                  <w:rFonts w:ascii="Arial" w:cs="Arial" w:eastAsia="Arial" w:hAnsi="Arial"/>
                  <w:sz w:val="18"/>
                  <w:szCs w:val="18"/>
                  <w:color w:val="0000FF"/>
                  <w:w w:val="89"/>
                </w:rPr>
                <w:t>Amended and Restated Bylaws of StepStone Group Inc.</w:t>
              </w:r>
            </w:hyperlink>
          </w:p>
        </w:tc>
        <w:tc>
          <w:tcPr>
            <w:tcW w:w="660" w:type="dxa"/>
            <w:vAlign w:val="bottom"/>
            <w:gridSpan w:val="20"/>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gridSpan w:val="4"/>
          </w:tcPr>
          <w:p>
            <w:pPr>
              <w:ind w:left="20"/>
              <w:spacing w:after="0"/>
              <w:rPr>
                <w:rFonts w:ascii="Arial" w:cs="Arial" w:eastAsia="Arial" w:hAnsi="Arial"/>
                <w:sz w:val="18"/>
                <w:szCs w:val="18"/>
                <w:color w:val="0000FF"/>
              </w:rPr>
            </w:pPr>
            <w:hyperlink r:id="rId104">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4720" w:type="dxa"/>
            <w:vAlign w:val="bottom"/>
            <w:gridSpan w:val="32"/>
          </w:tcPr>
          <w:p>
            <w:pPr>
              <w:spacing w:after="0"/>
              <w:rPr>
                <w:rFonts w:ascii="Arial" w:cs="Arial" w:eastAsia="Arial" w:hAnsi="Arial"/>
                <w:sz w:val="18"/>
                <w:szCs w:val="18"/>
                <w:color w:val="0000FF"/>
                <w:w w:val="98"/>
              </w:rPr>
            </w:pPr>
            <w:hyperlink r:id="rId104">
              <w:r>
                <w:rPr>
                  <w:rFonts w:ascii="Arial" w:cs="Arial" w:eastAsia="Arial" w:hAnsi="Arial"/>
                  <w:sz w:val="18"/>
                  <w:szCs w:val="18"/>
                  <w:color w:val="0000FF"/>
                  <w:w w:val="98"/>
                </w:rPr>
                <w:t>Commitment Letter, dated as of July 7, 2021, by and among</w:t>
              </w:r>
            </w:hyperlink>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7/07/2021</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89"/>
              </w:rPr>
            </w:pPr>
            <w:hyperlink r:id="rId104">
              <w:r>
                <w:rPr>
                  <w:rFonts w:ascii="Arial" w:cs="Arial" w:eastAsia="Arial" w:hAnsi="Arial"/>
                  <w:sz w:val="18"/>
                  <w:szCs w:val="18"/>
                  <w:color w:val="0000FF"/>
                  <w:w w:val="89"/>
                </w:rPr>
                <w:t>StepStone Group Inc. and JP Morgan Chase Bank, N.A.</w:t>
              </w:r>
            </w:hyperlink>
          </w:p>
        </w:tc>
        <w:tc>
          <w:tcPr>
            <w:tcW w:w="280" w:type="dxa"/>
            <w:vAlign w:val="bottom"/>
            <w:tcBorders>
              <w:top w:val="single" w:sz="8" w:color="0000FF"/>
            </w:tcBorders>
            <w:gridSpan w:val="6"/>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3"/>
          </w:tcPr>
          <w:p>
            <w:pPr>
              <w:spacing w:after="0"/>
              <w:rPr>
                <w:rFonts w:ascii="Arial" w:cs="Arial" w:eastAsia="Arial" w:hAnsi="Arial"/>
                <w:sz w:val="18"/>
                <w:szCs w:val="18"/>
                <w:color w:val="0000FF"/>
              </w:rPr>
            </w:pPr>
            <w:hyperlink r:id="rId105">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4720" w:type="dxa"/>
            <w:vAlign w:val="bottom"/>
            <w:gridSpan w:val="32"/>
          </w:tcPr>
          <w:p>
            <w:pPr>
              <w:spacing w:after="0"/>
              <w:rPr>
                <w:rFonts w:ascii="Arial" w:cs="Arial" w:eastAsia="Arial" w:hAnsi="Arial"/>
                <w:sz w:val="18"/>
                <w:szCs w:val="18"/>
                <w:color w:val="0000FF"/>
                <w:w w:val="99"/>
              </w:rPr>
            </w:pPr>
            <w:hyperlink r:id="rId105">
              <w:r>
                <w:rPr>
                  <w:rFonts w:ascii="Arial" w:cs="Arial" w:eastAsia="Arial" w:hAnsi="Arial"/>
                  <w:sz w:val="18"/>
                  <w:szCs w:val="18"/>
                  <w:color w:val="0000FF"/>
                  <w:w w:val="99"/>
                </w:rPr>
                <w:t>Credit Agreement, dated as of September 20, 2021, by and</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720" w:type="dxa"/>
            <w:vAlign w:val="bottom"/>
            <w:gridSpan w:val="32"/>
          </w:tcPr>
          <w:p>
            <w:pPr>
              <w:spacing w:after="0" w:line="156" w:lineRule="exact"/>
              <w:rPr>
                <w:rFonts w:ascii="Arial" w:cs="Arial" w:eastAsia="Arial" w:hAnsi="Arial"/>
                <w:sz w:val="18"/>
                <w:szCs w:val="18"/>
                <w:color w:val="0000FF"/>
                <w:w w:val="93"/>
              </w:rPr>
            </w:pPr>
            <w:hyperlink r:id="rId105">
              <w:r>
                <w:rPr>
                  <w:rFonts w:ascii="Arial" w:cs="Arial" w:eastAsia="Arial" w:hAnsi="Arial"/>
                  <w:sz w:val="18"/>
                  <w:szCs w:val="18"/>
                  <w:color w:val="0000FF"/>
                  <w:w w:val="93"/>
                </w:rPr>
                <w:t>among StepStone Group Inc., StepStone Group LP, JPMorgan</w:t>
              </w:r>
            </w:hyperlink>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500" w:type="dxa"/>
            <w:vAlign w:val="bottom"/>
            <w:tcBorders>
              <w:top w:val="single" w:sz="8" w:color="0000FF"/>
            </w:tcBorders>
            <w:gridSpan w:val="22"/>
          </w:tcPr>
          <w:p>
            <w:pPr>
              <w:spacing w:after="0" w:line="156" w:lineRule="exact"/>
              <w:rPr>
                <w:rFonts w:ascii="Arial" w:cs="Arial" w:eastAsia="Arial" w:hAnsi="Arial"/>
                <w:sz w:val="18"/>
                <w:szCs w:val="18"/>
                <w:color w:val="0000FF"/>
                <w:w w:val="91"/>
              </w:rPr>
            </w:pPr>
            <w:hyperlink r:id="rId105">
              <w:r>
                <w:rPr>
                  <w:rFonts w:ascii="Arial" w:cs="Arial" w:eastAsia="Arial" w:hAnsi="Arial"/>
                  <w:sz w:val="18"/>
                  <w:szCs w:val="18"/>
                  <w:color w:val="0000FF"/>
                  <w:w w:val="91"/>
                </w:rPr>
                <w:t>Chase Bank, N.A., as administrative and collateral agent, and</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9/20/2021</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certain other lenders party thereto.</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4"/>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4"/>
          </w:tcPr>
          <w:p>
            <w:pPr>
              <w:ind w:left="20"/>
              <w:spacing w:after="0"/>
              <w:rPr>
                <w:rFonts w:ascii="Arial" w:cs="Arial" w:eastAsia="Arial" w:hAnsi="Arial"/>
                <w:sz w:val="18"/>
                <w:szCs w:val="18"/>
                <w:color w:val="0000FF"/>
              </w:rPr>
            </w:pPr>
            <w:hyperlink r:id="rId106">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4720" w:type="dxa"/>
            <w:vAlign w:val="bottom"/>
            <w:gridSpan w:val="32"/>
          </w:tcPr>
          <w:p>
            <w:pPr>
              <w:spacing w:after="0"/>
              <w:rPr>
                <w:rFonts w:ascii="Arial" w:cs="Arial" w:eastAsia="Arial" w:hAnsi="Arial"/>
                <w:sz w:val="18"/>
                <w:szCs w:val="18"/>
                <w:color w:val="0000FF"/>
                <w:w w:val="93"/>
              </w:rPr>
            </w:pPr>
            <w:hyperlink r:id="rId106">
              <w:r>
                <w:rPr>
                  <w:rFonts w:ascii="Arial" w:cs="Arial" w:eastAsia="Arial" w:hAnsi="Arial"/>
                  <w:sz w:val="18"/>
                  <w:szCs w:val="18"/>
                  <w:color w:val="0000FF"/>
                  <w:w w:val="93"/>
                </w:rPr>
                <w:t>Amended and Restated Stockholders Agreement of StepStone</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80" w:type="dxa"/>
            <w:vAlign w:val="bottom"/>
            <w:tcBorders>
              <w:top w:val="single" w:sz="8" w:color="0000FF"/>
            </w:tcBorders>
            <w:gridSpan w:val="21"/>
          </w:tcPr>
          <w:p>
            <w:pPr>
              <w:spacing w:after="0" w:line="156" w:lineRule="exact"/>
              <w:rPr>
                <w:rFonts w:ascii="Arial" w:cs="Arial" w:eastAsia="Arial" w:hAnsi="Arial"/>
                <w:sz w:val="18"/>
                <w:szCs w:val="18"/>
                <w:color w:val="0000FF"/>
                <w:w w:val="96"/>
              </w:rPr>
            </w:pPr>
            <w:hyperlink r:id="rId106">
              <w:r>
                <w:rPr>
                  <w:rFonts w:ascii="Arial" w:cs="Arial" w:eastAsia="Arial" w:hAnsi="Arial"/>
                  <w:sz w:val="18"/>
                  <w:szCs w:val="18"/>
                  <w:color w:val="0000FF"/>
                  <w:w w:val="96"/>
                </w:rPr>
                <w:t>Group Inc., dated September 20, 2021, by and among the</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10.2</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9/20/2021</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8"/>
              </w:rPr>
            </w:pPr>
            <w:hyperlink r:id="rId106">
              <w:r>
                <w:rPr>
                  <w:rFonts w:ascii="Arial" w:cs="Arial" w:eastAsia="Arial" w:hAnsi="Arial"/>
                  <w:sz w:val="18"/>
                  <w:szCs w:val="18"/>
                  <w:color w:val="0000FF"/>
                  <w:w w:val="88"/>
                </w:rPr>
                <w:t>Company, the Partnership and the other parties thereto.</w:t>
              </w:r>
            </w:hyperlink>
          </w:p>
        </w:tc>
        <w:tc>
          <w:tcPr>
            <w:tcW w:w="160" w:type="dxa"/>
            <w:vAlign w:val="bottom"/>
            <w:tcBorders>
              <w:top w:val="single" w:sz="8" w:color="0000FF"/>
            </w:tcBorders>
            <w:gridSpan w:val="4"/>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20" w:type="dxa"/>
            <w:vAlign w:val="bottom"/>
            <w:gridSpan w:val="4"/>
          </w:tcPr>
          <w:p>
            <w:pPr>
              <w:ind w:left="20"/>
              <w:spacing w:after="0"/>
              <w:rPr>
                <w:rFonts w:ascii="Arial" w:cs="Arial" w:eastAsia="Arial" w:hAnsi="Arial"/>
                <w:sz w:val="18"/>
                <w:szCs w:val="18"/>
                <w:color w:val="0000FF"/>
              </w:rPr>
            </w:pPr>
            <w:hyperlink r:id="rId107">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4720" w:type="dxa"/>
            <w:vAlign w:val="bottom"/>
            <w:gridSpan w:val="32"/>
          </w:tcPr>
          <w:p>
            <w:pPr>
              <w:spacing w:after="0"/>
              <w:rPr>
                <w:rFonts w:ascii="Arial" w:cs="Arial" w:eastAsia="Arial" w:hAnsi="Arial"/>
                <w:sz w:val="18"/>
                <w:szCs w:val="18"/>
                <w:color w:val="0000FF"/>
                <w:w w:val="92"/>
              </w:rPr>
            </w:pPr>
            <w:hyperlink r:id="rId107">
              <w:r>
                <w:rPr>
                  <w:rFonts w:ascii="Arial" w:cs="Arial" w:eastAsia="Arial" w:hAnsi="Arial"/>
                  <w:sz w:val="18"/>
                  <w:szCs w:val="18"/>
                  <w:color w:val="0000FF"/>
                  <w:w w:val="92"/>
                </w:rPr>
                <w:t>Ninth Amended and Restated Limited Partnership Agreement of</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56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88"/>
              </w:rPr>
            </w:pPr>
            <w:hyperlink r:id="rId107">
              <w:r>
                <w:rPr>
                  <w:rFonts w:ascii="Arial" w:cs="Arial" w:eastAsia="Arial" w:hAnsi="Arial"/>
                  <w:sz w:val="18"/>
                  <w:szCs w:val="18"/>
                  <w:color w:val="0000FF"/>
                  <w:w w:val="88"/>
                </w:rPr>
                <w:t>StepStone Group LP, dated September 20, 2021, by and among</w:t>
              </w:r>
            </w:hyperlink>
          </w:p>
        </w:tc>
        <w:tc>
          <w:tcPr>
            <w:tcW w:w="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720" w:type="dxa"/>
            <w:vAlign w:val="bottom"/>
            <w:gridSpan w:val="32"/>
          </w:tcPr>
          <w:p>
            <w:pPr>
              <w:spacing w:after="0" w:line="156"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StepStone Group Holdings LLC, as General Partner, and each of</w:t>
              </w:r>
            </w:hyperlink>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10.3</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9/20/2021</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8"/>
              </w:rPr>
            </w:pPr>
            <w:hyperlink r:id="rId107">
              <w:r>
                <w:rPr>
                  <w:rFonts w:ascii="Arial" w:cs="Arial" w:eastAsia="Arial" w:hAnsi="Arial"/>
                  <w:sz w:val="18"/>
                  <w:szCs w:val="18"/>
                  <w:color w:val="0000FF"/>
                  <w:w w:val="88"/>
                </w:rPr>
                <w:t>the other persons and entities party thereto.</w:t>
              </w:r>
            </w:hyperlink>
          </w:p>
        </w:tc>
        <w:tc>
          <w:tcPr>
            <w:tcW w:w="156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3"/>
          </w:tcPr>
          <w:p>
            <w:pPr>
              <w:spacing w:after="0"/>
              <w:rPr>
                <w:rFonts w:ascii="Arial" w:cs="Arial" w:eastAsia="Arial" w:hAnsi="Arial"/>
                <w:sz w:val="18"/>
                <w:szCs w:val="18"/>
                <w:color w:val="0000FF"/>
              </w:rPr>
            </w:pPr>
            <w:hyperlink r:id="rId108">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4720" w:type="dxa"/>
            <w:vAlign w:val="bottom"/>
            <w:gridSpan w:val="32"/>
          </w:tcPr>
          <w:p>
            <w:pPr>
              <w:spacing w:after="0"/>
              <w:rPr>
                <w:rFonts w:ascii="Arial" w:cs="Arial" w:eastAsia="Arial" w:hAnsi="Arial"/>
                <w:sz w:val="18"/>
                <w:szCs w:val="18"/>
                <w:color w:val="0000FF"/>
                <w:w w:val="95"/>
              </w:rPr>
            </w:pPr>
            <w:hyperlink r:id="rId108">
              <w:r>
                <w:rPr>
                  <w:rFonts w:ascii="Arial" w:cs="Arial" w:eastAsia="Arial" w:hAnsi="Arial"/>
                  <w:sz w:val="18"/>
                  <w:szCs w:val="18"/>
                  <w:color w:val="0000FF"/>
                  <w:w w:val="95"/>
                </w:rPr>
                <w:t>Amended and Restated Registration Rights Agreement, dated</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720" w:type="dxa"/>
            <w:vAlign w:val="bottom"/>
            <w:gridSpan w:val="32"/>
          </w:tcPr>
          <w:p>
            <w:pPr>
              <w:spacing w:after="0" w:line="156" w:lineRule="exact"/>
              <w:rPr>
                <w:rFonts w:ascii="Arial" w:cs="Arial" w:eastAsia="Arial" w:hAnsi="Arial"/>
                <w:sz w:val="18"/>
                <w:szCs w:val="18"/>
                <w:color w:val="0000FF"/>
                <w:w w:val="92"/>
              </w:rPr>
            </w:pPr>
            <w:hyperlink r:id="rId108">
              <w:r>
                <w:rPr>
                  <w:rFonts w:ascii="Arial" w:cs="Arial" w:eastAsia="Arial" w:hAnsi="Arial"/>
                  <w:sz w:val="18"/>
                  <w:szCs w:val="18"/>
                  <w:color w:val="0000FF"/>
                  <w:w w:val="92"/>
                </w:rPr>
                <w:t>September 20, 2021, by and among the Company and the other</w:t>
              </w:r>
            </w:hyperlink>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10.4</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9/20/2021</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8"/>
              </w:rPr>
            </w:pPr>
            <w:hyperlink r:id="rId108">
              <w:r>
                <w:rPr>
                  <w:rFonts w:ascii="Arial" w:cs="Arial" w:eastAsia="Arial" w:hAnsi="Arial"/>
                  <w:sz w:val="18"/>
                  <w:szCs w:val="18"/>
                  <w:color w:val="0000FF"/>
                  <w:w w:val="88"/>
                </w:rPr>
                <w:t>persons and entities party thereto.</w:t>
              </w:r>
            </w:hyperlink>
          </w:p>
        </w:tc>
        <w:tc>
          <w:tcPr>
            <w:tcW w:w="208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20" w:type="dxa"/>
            <w:vAlign w:val="bottom"/>
            <w:gridSpan w:val="4"/>
          </w:tcPr>
          <w:p>
            <w:pPr>
              <w:ind w:left="20"/>
              <w:spacing w:after="0"/>
              <w:rPr>
                <w:rFonts w:ascii="Arial" w:cs="Arial" w:eastAsia="Arial" w:hAnsi="Arial"/>
                <w:sz w:val="18"/>
                <w:szCs w:val="18"/>
                <w:color w:val="0000FF"/>
              </w:rPr>
            </w:pPr>
            <w:hyperlink r:id="rId109">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4720" w:type="dxa"/>
            <w:vAlign w:val="bottom"/>
            <w:gridSpan w:val="32"/>
          </w:tcPr>
          <w:p>
            <w:pPr>
              <w:spacing w:after="0"/>
              <w:rPr>
                <w:rFonts w:ascii="Arial" w:cs="Arial" w:eastAsia="Arial" w:hAnsi="Arial"/>
                <w:sz w:val="18"/>
                <w:szCs w:val="18"/>
                <w:color w:val="0000FF"/>
                <w:w w:val="91"/>
              </w:rPr>
            </w:pPr>
            <w:hyperlink r:id="rId109">
              <w:r>
                <w:rPr>
                  <w:rFonts w:ascii="Arial" w:cs="Arial" w:eastAsia="Arial" w:hAnsi="Arial"/>
                  <w:sz w:val="18"/>
                  <w:szCs w:val="18"/>
                  <w:color w:val="0000FF"/>
                  <w:w w:val="91"/>
                </w:rPr>
                <w:t>Class C Exchange Agreement, dated as of September 20, 2021,</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560" w:type="dxa"/>
            <w:vAlign w:val="bottom"/>
            <w:tcBorders>
              <w:top w:val="single" w:sz="8" w:color="0000FF"/>
            </w:tcBorders>
            <w:gridSpan w:val="24"/>
          </w:tcPr>
          <w:p>
            <w:pPr>
              <w:spacing w:after="0" w:line="156" w:lineRule="exact"/>
              <w:rPr>
                <w:rFonts w:ascii="Arial" w:cs="Arial" w:eastAsia="Arial" w:hAnsi="Arial"/>
                <w:sz w:val="18"/>
                <w:szCs w:val="18"/>
                <w:color w:val="0000FF"/>
                <w:w w:val="96"/>
              </w:rPr>
            </w:pPr>
            <w:hyperlink r:id="rId109">
              <w:r>
                <w:rPr>
                  <w:rFonts w:ascii="Arial" w:cs="Arial" w:eastAsia="Arial" w:hAnsi="Arial"/>
                  <w:sz w:val="18"/>
                  <w:szCs w:val="18"/>
                  <w:color w:val="0000FF"/>
                  <w:w w:val="96"/>
                </w:rPr>
                <w:t>by and among the Company, the Partnership and the other</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10.5</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9/20/2021</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8"/>
              </w:rPr>
            </w:pPr>
            <w:hyperlink r:id="rId109">
              <w:r>
                <w:rPr>
                  <w:rFonts w:ascii="Arial" w:cs="Arial" w:eastAsia="Arial" w:hAnsi="Arial"/>
                  <w:sz w:val="18"/>
                  <w:szCs w:val="18"/>
                  <w:color w:val="0000FF"/>
                  <w:w w:val="88"/>
                </w:rPr>
                <w:t>persons and entities party thereto.</w:t>
              </w:r>
            </w:hyperlink>
          </w:p>
        </w:tc>
        <w:tc>
          <w:tcPr>
            <w:tcW w:w="1760" w:type="dxa"/>
            <w:vAlign w:val="bottom"/>
            <w:tcBorders>
              <w:top w:val="single" w:sz="8" w:color="0000FF"/>
            </w:tcBorders>
            <w:gridSpan w:val="10"/>
          </w:tcPr>
          <w:p>
            <w:pPr>
              <w:spacing w:after="0"/>
              <w:rPr>
                <w:sz w:val="13"/>
                <w:szCs w:val="13"/>
                <w:color w:val="auto"/>
              </w:rPr>
            </w:pPr>
          </w:p>
        </w:tc>
        <w:tc>
          <w:tcPr>
            <w:tcW w:w="16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3"/>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4720" w:type="dxa"/>
            <w:vAlign w:val="bottom"/>
            <w:gridSpan w:val="32"/>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Certification of Co-Chief Executive Officer pursuant to Rule</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gridSpan w:val="11"/>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720" w:type="dxa"/>
            <w:vAlign w:val="bottom"/>
            <w:gridSpan w:val="32"/>
          </w:tcPr>
          <w:p>
            <w:pPr>
              <w:spacing w:after="0" w:line="156" w:lineRule="exact"/>
              <w:rPr>
                <w:rFonts w:ascii="Arial" w:cs="Arial" w:eastAsia="Arial" w:hAnsi="Arial"/>
                <w:sz w:val="18"/>
                <w:szCs w:val="18"/>
                <w:color w:val="0000FF"/>
                <w:w w:val="90"/>
              </w:rPr>
            </w:pPr>
            <w:hyperlink w:anchor="page87">
              <w:r>
                <w:rPr>
                  <w:rFonts w:ascii="Arial" w:cs="Arial" w:eastAsia="Arial" w:hAnsi="Arial"/>
                  <w:sz w:val="18"/>
                  <w:szCs w:val="18"/>
                  <w:color w:val="0000FF"/>
                  <w:w w:val="90"/>
                </w:rPr>
                <w:t>13a-14(a) and Rule 15d-14(a) of the Securities Exchange Act, as</w:t>
              </w:r>
            </w:hyperlink>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w:anchor="page87">
              <w:r>
                <w:rPr>
                  <w:rFonts w:ascii="Arial" w:cs="Arial" w:eastAsia="Arial" w:hAnsi="Arial"/>
                  <w:sz w:val="18"/>
                  <w:szCs w:val="18"/>
                  <w:color w:val="0000FF"/>
                </w:rPr>
                <w:t>amended</w:t>
              </w:r>
            </w:hyperlink>
          </w:p>
        </w:tc>
        <w:tc>
          <w:tcPr>
            <w:tcW w:w="4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4"/>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3"/>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4720" w:type="dxa"/>
            <w:vAlign w:val="bottom"/>
            <w:gridSpan w:val="32"/>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Certification of Co-Chief Executive Officer pursuant to Rule</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gridSpan w:val="11"/>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720" w:type="dxa"/>
            <w:vAlign w:val="bottom"/>
            <w:gridSpan w:val="32"/>
          </w:tcPr>
          <w:p>
            <w:pPr>
              <w:spacing w:after="0" w:line="156" w:lineRule="exact"/>
              <w:rPr>
                <w:rFonts w:ascii="Arial" w:cs="Arial" w:eastAsia="Arial" w:hAnsi="Arial"/>
                <w:sz w:val="18"/>
                <w:szCs w:val="18"/>
                <w:color w:val="0000FF"/>
                <w:w w:val="90"/>
              </w:rPr>
            </w:pPr>
            <w:hyperlink w:anchor="page88">
              <w:r>
                <w:rPr>
                  <w:rFonts w:ascii="Arial" w:cs="Arial" w:eastAsia="Arial" w:hAnsi="Arial"/>
                  <w:sz w:val="18"/>
                  <w:szCs w:val="18"/>
                  <w:color w:val="0000FF"/>
                  <w:w w:val="90"/>
                </w:rPr>
                <w:t>13a-14(a) and Rule 15d-14(a) of the Securities Exchange Act, as</w:t>
              </w:r>
            </w:hyperlink>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w:anchor="page88">
              <w:r>
                <w:rPr>
                  <w:rFonts w:ascii="Arial" w:cs="Arial" w:eastAsia="Arial" w:hAnsi="Arial"/>
                  <w:sz w:val="18"/>
                  <w:szCs w:val="18"/>
                  <w:color w:val="0000FF"/>
                </w:rPr>
                <w:t>amended</w:t>
              </w:r>
            </w:hyperlink>
          </w:p>
        </w:tc>
        <w:tc>
          <w:tcPr>
            <w:tcW w:w="4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4"/>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4"/>
          </w:tcPr>
          <w:p>
            <w:pPr>
              <w:ind w:left="20"/>
              <w:spacing w:after="0"/>
              <w:rPr>
                <w:rFonts w:ascii="Arial" w:cs="Arial" w:eastAsia="Arial" w:hAnsi="Arial"/>
                <w:sz w:val="18"/>
                <w:szCs w:val="18"/>
                <w:color w:val="0000FF"/>
              </w:rPr>
            </w:pPr>
            <w:hyperlink w:anchor="page89">
              <w:r>
                <w:rPr>
                  <w:rFonts w:ascii="Arial" w:cs="Arial" w:eastAsia="Arial" w:hAnsi="Arial"/>
                  <w:sz w:val="18"/>
                  <w:szCs w:val="18"/>
                  <w:color w:val="0000FF"/>
                </w:rPr>
                <w:t>31.</w:t>
              </w:r>
              <w:r>
                <w:rPr>
                  <w:rFonts w:ascii="Arial" w:cs="Arial" w:eastAsia="Arial" w:hAnsi="Arial"/>
                  <w:sz w:val="18"/>
                  <w:szCs w:val="18"/>
                  <w:u w:val="single" w:color="auto"/>
                  <w:color w:val="0000FF"/>
                </w:rPr>
                <w:t>3</w:t>
              </w:r>
            </w:hyperlink>
          </w:p>
        </w:tc>
        <w:tc>
          <w:tcPr>
            <w:tcW w:w="4720" w:type="dxa"/>
            <w:vAlign w:val="bottom"/>
            <w:gridSpan w:val="32"/>
          </w:tcPr>
          <w:p>
            <w:pPr>
              <w:spacing w:after="0"/>
              <w:rPr>
                <w:rFonts w:ascii="Arial" w:cs="Arial" w:eastAsia="Arial" w:hAnsi="Arial"/>
                <w:sz w:val="18"/>
                <w:szCs w:val="18"/>
                <w:color w:val="0000FF"/>
                <w:w w:val="98"/>
              </w:rPr>
            </w:pPr>
            <w:hyperlink w:anchor="page89">
              <w:r>
                <w:rPr>
                  <w:rFonts w:ascii="Arial" w:cs="Arial" w:eastAsia="Arial" w:hAnsi="Arial"/>
                  <w:sz w:val="18"/>
                  <w:szCs w:val="18"/>
                  <w:color w:val="0000FF"/>
                  <w:w w:val="98"/>
                </w:rPr>
                <w:t>Certification of Chief Financial Officer pursuant to Rule 13a-</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60" w:type="dxa"/>
            <w:vAlign w:val="bottom"/>
            <w:tcBorders>
              <w:top w:val="single" w:sz="8" w:color="0000FF"/>
            </w:tcBorders>
            <w:gridSpan w:val="20"/>
          </w:tcPr>
          <w:p>
            <w:pPr>
              <w:spacing w:after="0" w:line="156" w:lineRule="exact"/>
              <w:rPr>
                <w:rFonts w:ascii="Arial" w:cs="Arial" w:eastAsia="Arial" w:hAnsi="Arial"/>
                <w:sz w:val="18"/>
                <w:szCs w:val="18"/>
                <w:color w:val="0000FF"/>
                <w:w w:val="91"/>
              </w:rPr>
            </w:pPr>
            <w:hyperlink w:anchor="page89">
              <w:r>
                <w:rPr>
                  <w:rFonts w:ascii="Arial" w:cs="Arial" w:eastAsia="Arial" w:hAnsi="Arial"/>
                  <w:sz w:val="18"/>
                  <w:szCs w:val="18"/>
                  <w:color w:val="0000FF"/>
                  <w:w w:val="91"/>
                </w:rPr>
                <w:t>14(a) and Rule 15d-14(a) of the Securities Exchange Act, as</w:t>
              </w:r>
            </w:hyperlink>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3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89">
              <w:r>
                <w:rPr>
                  <w:rFonts w:ascii="Arial" w:cs="Arial" w:eastAsia="Arial" w:hAnsi="Arial"/>
                  <w:sz w:val="18"/>
                  <w:szCs w:val="18"/>
                  <w:color w:val="0000FF"/>
                </w:rPr>
                <w:t>amended</w:t>
              </w:r>
            </w:hyperlink>
          </w:p>
        </w:tc>
        <w:tc>
          <w:tcPr>
            <w:tcW w:w="20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4"/>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1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4"/>
          </w:tcPr>
          <w:p>
            <w:pPr>
              <w:ind w:left="20"/>
              <w:spacing w:after="0"/>
              <w:rPr>
                <w:rFonts w:ascii="Arial" w:cs="Arial" w:eastAsia="Arial" w:hAnsi="Arial"/>
                <w:sz w:val="18"/>
                <w:szCs w:val="18"/>
                <w:color w:val="0000FF"/>
              </w:rPr>
            </w:pPr>
            <w:hyperlink w:anchor="page90">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4720" w:type="dxa"/>
            <w:vAlign w:val="bottom"/>
            <w:gridSpan w:val="32"/>
          </w:tcPr>
          <w:p>
            <w:pPr>
              <w:spacing w:after="0"/>
              <w:rPr>
                <w:rFonts w:ascii="Arial" w:cs="Arial" w:eastAsia="Arial" w:hAnsi="Arial"/>
                <w:sz w:val="18"/>
                <w:szCs w:val="18"/>
                <w:color w:val="0000FF"/>
                <w:w w:val="95"/>
              </w:rPr>
            </w:pPr>
            <w:hyperlink w:anchor="page90">
              <w:r>
                <w:rPr>
                  <w:rFonts w:ascii="Arial" w:cs="Arial" w:eastAsia="Arial" w:hAnsi="Arial"/>
                  <w:sz w:val="18"/>
                  <w:szCs w:val="18"/>
                  <w:color w:val="0000FF"/>
                  <w:w w:val="95"/>
                </w:rPr>
                <w:t>Certification of Co-Chief Executive Officer pursuant to Section</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w:anchor="page90">
              <w:r>
                <w:rPr>
                  <w:rFonts w:ascii="Arial" w:cs="Arial" w:eastAsia="Arial" w:hAnsi="Arial"/>
                  <w:sz w:val="18"/>
                  <w:szCs w:val="18"/>
                  <w:color w:val="0000FF"/>
                  <w:w w:val="90"/>
                </w:rPr>
                <w:t>906 of the Sarbanes-Oxley Act of 2002</w:t>
              </w:r>
            </w:hyperlink>
          </w:p>
        </w:tc>
        <w:tc>
          <w:tcPr>
            <w:tcW w:w="1780" w:type="dxa"/>
            <w:vAlign w:val="bottom"/>
            <w:tcBorders>
              <w:top w:val="single" w:sz="8" w:color="0000FF"/>
            </w:tcBorders>
            <w:gridSpan w:val="20"/>
          </w:tcPr>
          <w:p>
            <w:pPr>
              <w:spacing w:after="0"/>
              <w:rPr>
                <w:sz w:val="13"/>
                <w:szCs w:val="13"/>
                <w:color w:val="auto"/>
              </w:rPr>
            </w:pPr>
          </w:p>
        </w:tc>
        <w:tc>
          <w:tcPr>
            <w:tcW w:w="100" w:type="dxa"/>
            <w:vAlign w:val="bottom"/>
            <w:gridSpan w:val="5"/>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20" w:type="dxa"/>
            <w:vAlign w:val="bottom"/>
            <w:gridSpan w:val="4"/>
          </w:tcPr>
          <w:p>
            <w:pPr>
              <w:ind w:left="20"/>
              <w:spacing w:after="0"/>
              <w:rPr>
                <w:rFonts w:ascii="Arial" w:cs="Arial" w:eastAsia="Arial" w:hAnsi="Arial"/>
                <w:sz w:val="18"/>
                <w:szCs w:val="18"/>
                <w:color w:val="0000FF"/>
              </w:rPr>
            </w:pPr>
            <w:hyperlink w:anchor="page91">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4720" w:type="dxa"/>
            <w:vAlign w:val="bottom"/>
            <w:gridSpan w:val="32"/>
          </w:tcPr>
          <w:p>
            <w:pPr>
              <w:spacing w:after="0"/>
              <w:rPr>
                <w:rFonts w:ascii="Arial" w:cs="Arial" w:eastAsia="Arial" w:hAnsi="Arial"/>
                <w:sz w:val="18"/>
                <w:szCs w:val="18"/>
                <w:color w:val="0000FF"/>
                <w:w w:val="95"/>
              </w:rPr>
            </w:pPr>
            <w:hyperlink w:anchor="page91">
              <w:r>
                <w:rPr>
                  <w:rFonts w:ascii="Arial" w:cs="Arial" w:eastAsia="Arial" w:hAnsi="Arial"/>
                  <w:sz w:val="18"/>
                  <w:szCs w:val="18"/>
                  <w:color w:val="0000FF"/>
                  <w:w w:val="95"/>
                </w:rPr>
                <w:t>Certification of Co-Chief Executive Officer pursuant to Section</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6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w:anchor="page91">
              <w:r>
                <w:rPr>
                  <w:rFonts w:ascii="Arial" w:cs="Arial" w:eastAsia="Arial" w:hAnsi="Arial"/>
                  <w:sz w:val="18"/>
                  <w:szCs w:val="18"/>
                  <w:color w:val="0000FF"/>
                </w:rPr>
                <w:t>906 of the Sarbanes-Oxley Act of 2002</w:t>
              </w:r>
            </w:hyperlink>
          </w:p>
        </w:tc>
        <w:tc>
          <w:tcPr>
            <w:tcW w:w="100" w:type="dxa"/>
            <w:vAlign w:val="bottom"/>
            <w:gridSpan w:val="5"/>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4"/>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60" w:type="dxa"/>
            <w:vAlign w:val="bottom"/>
            <w:gridSpan w:val="1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4"/>
          </w:tcPr>
          <w:p>
            <w:pPr>
              <w:ind w:left="20"/>
              <w:spacing w:after="0"/>
              <w:rPr>
                <w:rFonts w:ascii="Arial" w:cs="Arial" w:eastAsia="Arial" w:hAnsi="Arial"/>
                <w:sz w:val="18"/>
                <w:szCs w:val="18"/>
                <w:color w:val="0000FF"/>
              </w:rPr>
            </w:pPr>
            <w:hyperlink w:anchor="page92">
              <w:r>
                <w:rPr>
                  <w:rFonts w:ascii="Arial" w:cs="Arial" w:eastAsia="Arial" w:hAnsi="Arial"/>
                  <w:sz w:val="18"/>
                  <w:szCs w:val="18"/>
                  <w:color w:val="0000FF"/>
                </w:rPr>
                <w:t>32.</w:t>
              </w:r>
              <w:r>
                <w:rPr>
                  <w:rFonts w:ascii="Arial" w:cs="Arial" w:eastAsia="Arial" w:hAnsi="Arial"/>
                  <w:sz w:val="18"/>
                  <w:szCs w:val="18"/>
                  <w:u w:val="single" w:color="auto"/>
                  <w:color w:val="0000FF"/>
                </w:rPr>
                <w:t>3</w:t>
              </w:r>
            </w:hyperlink>
          </w:p>
        </w:tc>
        <w:tc>
          <w:tcPr>
            <w:tcW w:w="4720" w:type="dxa"/>
            <w:vAlign w:val="bottom"/>
            <w:gridSpan w:val="32"/>
          </w:tcPr>
          <w:p>
            <w:pPr>
              <w:spacing w:after="0"/>
              <w:rPr>
                <w:rFonts w:ascii="Arial" w:cs="Arial" w:eastAsia="Arial" w:hAnsi="Arial"/>
                <w:sz w:val="18"/>
                <w:szCs w:val="18"/>
                <w:color w:val="0000FF"/>
                <w:w w:val="95"/>
              </w:rPr>
            </w:pPr>
            <w:hyperlink w:anchor="page92">
              <w:r>
                <w:rPr>
                  <w:rFonts w:ascii="Arial" w:cs="Arial" w:eastAsia="Arial" w:hAnsi="Arial"/>
                  <w:sz w:val="18"/>
                  <w:szCs w:val="18"/>
                  <w:color w:val="0000FF"/>
                  <w:w w:val="95"/>
                </w:rPr>
                <w:t>Certification of Chief Financial Officer pursuant to Section 906</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5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w:anchor="page92">
              <w:r>
                <w:rPr>
                  <w:rFonts w:ascii="Arial" w:cs="Arial" w:eastAsia="Arial" w:hAnsi="Arial"/>
                  <w:sz w:val="18"/>
                  <w:szCs w:val="18"/>
                  <w:color w:val="0000FF"/>
                </w:rPr>
                <w:t>of the Sarbanes-Oxley Act of 2002</w:t>
              </w:r>
            </w:hyperlink>
          </w:p>
        </w:tc>
        <w:tc>
          <w:tcPr>
            <w:tcW w:w="140" w:type="dxa"/>
            <w:vAlign w:val="bottom"/>
            <w:gridSpan w:val="7"/>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00" w:type="dxa"/>
            <w:vAlign w:val="bottom"/>
            <w:tcBorders>
              <w:top w:val="single" w:sz="8" w:color="0000FF"/>
            </w:tcBorders>
            <w:gridSpan w:val="5"/>
          </w:tcPr>
          <w:p>
            <w:pPr>
              <w:spacing w:after="0"/>
              <w:rPr>
                <w:sz w:val="24"/>
                <w:szCs w:val="24"/>
                <w:color w:val="auto"/>
              </w:rPr>
            </w:pPr>
          </w:p>
        </w:tc>
        <w:tc>
          <w:tcPr>
            <w:tcW w:w="2040" w:type="dxa"/>
            <w:vAlign w:val="bottom"/>
            <w:gridSpan w:val="18"/>
          </w:tcPr>
          <w:p>
            <w:pPr>
              <w:jc w:val="right"/>
              <w:ind w:right="4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400" w:lineRule="exact"/>
        <w:rPr>
          <w:sz w:val="20"/>
          <w:szCs w:val="20"/>
          <w:color w:val="auto"/>
        </w:rPr>
      </w:pPr>
    </w:p>
    <w:p>
      <w:pPr>
        <w:ind w:left="1200" w:right="4940" w:hanging="1194"/>
        <w:spacing w:after="0" w:line="232" w:lineRule="auto"/>
        <w:tabs>
          <w:tab w:leader="none" w:pos="12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 for the quarter ended September 30, 2021 formatted in Inline XBRL (Extensible Business Reporting Language): (i) the Condensed Consolidated Balance Sheets; (ii) the Condensed Consolidated Statements of Income; (iii) the Condensed Consolidated Statements of Comprehensive Income;</w:t>
      </w: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7500" w:type="dxa"/>
            <w:vAlign w:val="bottom"/>
          </w:tcPr>
          <w:p>
            <w:pPr>
              <w:ind w:left="460"/>
              <w:spacing w:after="0" w:line="163" w:lineRule="exact"/>
              <w:rPr>
                <w:sz w:val="20"/>
                <w:szCs w:val="20"/>
                <w:color w:val="auto"/>
              </w:rPr>
            </w:pPr>
            <w:r>
              <w:rPr>
                <w:rFonts w:ascii="Arial" w:cs="Arial" w:eastAsia="Arial" w:hAnsi="Arial"/>
                <w:sz w:val="18"/>
                <w:szCs w:val="18"/>
                <w:color w:val="auto"/>
              </w:rPr>
              <w:t>(iv) the Condensed Consolidated Statements of Stockholders’</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0" w:type="dxa"/>
            <w:vAlign w:val="bottom"/>
          </w:tcPr>
          <w:p>
            <w:pPr>
              <w:spacing w:after="0"/>
              <w:rPr>
                <w:sz w:val="15"/>
                <w:szCs w:val="15"/>
                <w:color w:val="auto"/>
              </w:rPr>
            </w:pPr>
          </w:p>
        </w:tc>
        <w:tc>
          <w:tcPr>
            <w:tcW w:w="7500" w:type="dxa"/>
            <w:vAlign w:val="bottom"/>
          </w:tcPr>
          <w:p>
            <w:pPr>
              <w:ind w:left="460"/>
              <w:spacing w:after="0" w:line="176" w:lineRule="exact"/>
              <w:rPr>
                <w:sz w:val="20"/>
                <w:szCs w:val="20"/>
                <w:color w:val="auto"/>
              </w:rPr>
            </w:pPr>
            <w:r>
              <w:rPr>
                <w:rFonts w:ascii="Arial" w:cs="Arial" w:eastAsia="Arial" w:hAnsi="Arial"/>
                <w:sz w:val="18"/>
                <w:szCs w:val="18"/>
                <w:color w:val="auto"/>
              </w:rPr>
              <w:t>Equity; (v) the Condensed Consolidated Statements of Cash</w:t>
            </w: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7500" w:type="dxa"/>
            <w:vAlign w:val="bottom"/>
          </w:tcPr>
          <w:p>
            <w:pPr>
              <w:ind w:left="460"/>
              <w:spacing w:after="0" w:line="176" w:lineRule="exact"/>
              <w:rPr>
                <w:sz w:val="20"/>
                <w:szCs w:val="20"/>
                <w:color w:val="auto"/>
              </w:rPr>
            </w:pPr>
            <w:r>
              <w:rPr>
                <w:rFonts w:ascii="Arial" w:cs="Arial" w:eastAsia="Arial" w:hAnsi="Arial"/>
                <w:sz w:val="18"/>
                <w:szCs w:val="18"/>
                <w:color w:val="auto"/>
              </w:rPr>
              <w:t>Flows; and (vi) Notes to Condensed Consolidated Financial</w:t>
            </w:r>
          </w:p>
        </w:tc>
        <w:tc>
          <w:tcPr>
            <w:tcW w:w="2520" w:type="dxa"/>
            <w:vAlign w:val="bottom"/>
            <w:vMerge w:val="restart"/>
          </w:tcPr>
          <w:p>
            <w:pPr>
              <w:ind w:left="2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740" w:type="dxa"/>
            <w:vAlign w:val="bottom"/>
          </w:tcPr>
          <w:p>
            <w:pPr>
              <w:spacing w:after="0"/>
              <w:rPr>
                <w:sz w:val="19"/>
                <w:szCs w:val="19"/>
                <w:color w:val="auto"/>
              </w:rPr>
            </w:pPr>
          </w:p>
        </w:tc>
        <w:tc>
          <w:tcPr>
            <w:tcW w:w="7500" w:type="dxa"/>
            <w:vAlign w:val="bottom"/>
          </w:tcPr>
          <w:p>
            <w:pPr>
              <w:ind w:left="460"/>
              <w:spacing w:after="0"/>
              <w:rPr>
                <w:sz w:val="20"/>
                <w:szCs w:val="20"/>
                <w:color w:val="auto"/>
              </w:rPr>
            </w:pPr>
            <w:r>
              <w:rPr>
                <w:rFonts w:ascii="Arial" w:cs="Arial" w:eastAsia="Arial" w:hAnsi="Arial"/>
                <w:sz w:val="18"/>
                <w:szCs w:val="18"/>
                <w:color w:val="auto"/>
              </w:rPr>
              <w:t>Statements.</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40" w:type="dxa"/>
            <w:vAlign w:val="bottom"/>
          </w:tcPr>
          <w:p>
            <w:pPr>
              <w:jc w:val="right"/>
              <w:ind w:right="370"/>
              <w:spacing w:after="0" w:line="176" w:lineRule="exact"/>
              <w:rPr>
                <w:sz w:val="20"/>
                <w:szCs w:val="20"/>
                <w:color w:val="auto"/>
              </w:rPr>
            </w:pPr>
            <w:r>
              <w:rPr>
                <w:rFonts w:ascii="Arial" w:cs="Arial" w:eastAsia="Arial" w:hAnsi="Arial"/>
                <w:sz w:val="18"/>
                <w:szCs w:val="18"/>
                <w:color w:val="auto"/>
                <w:w w:val="86"/>
              </w:rPr>
              <w:t>104</w:t>
            </w:r>
          </w:p>
        </w:tc>
        <w:tc>
          <w:tcPr>
            <w:tcW w:w="7500" w:type="dxa"/>
            <w:vAlign w:val="bottom"/>
          </w:tcPr>
          <w:p>
            <w:pPr>
              <w:ind w:left="460"/>
              <w:spacing w:after="0" w:line="176" w:lineRule="exact"/>
              <w:rPr>
                <w:sz w:val="20"/>
                <w:szCs w:val="20"/>
                <w:color w:val="auto"/>
              </w:rPr>
            </w:pPr>
            <w:r>
              <w:rPr>
                <w:rFonts w:ascii="Arial" w:cs="Arial" w:eastAsia="Arial" w:hAnsi="Arial"/>
                <w:sz w:val="18"/>
                <w:szCs w:val="18"/>
                <w:color w:val="auto"/>
              </w:rPr>
              <w:t>Cover Page Interactive Data File (formatted as Inline XBRL and</w:t>
            </w:r>
          </w:p>
        </w:tc>
        <w:tc>
          <w:tcPr>
            <w:tcW w:w="2520" w:type="dxa"/>
            <w:vAlign w:val="bottom"/>
            <w:vMerge w:val="restart"/>
          </w:tcPr>
          <w:p>
            <w:pPr>
              <w:ind w:left="2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7500" w:type="dxa"/>
            <w:vAlign w:val="bottom"/>
          </w:tcPr>
          <w:p>
            <w:pPr>
              <w:ind w:left="460"/>
              <w:spacing w:after="0"/>
              <w:rPr>
                <w:sz w:val="20"/>
                <w:szCs w:val="20"/>
                <w:color w:val="auto"/>
              </w:rPr>
            </w:pPr>
            <w:r>
              <w:rPr>
                <w:rFonts w:ascii="Arial" w:cs="Arial" w:eastAsia="Arial" w:hAnsi="Arial"/>
                <w:sz w:val="18"/>
                <w:szCs w:val="18"/>
                <w:color w:val="auto"/>
              </w:rPr>
              <w:t>contained in Exhibit 101)</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40" w:right="799" w:bottom="1440" w:gutter="0" w:footer="0" w:header="0"/>
        </w:sectPr>
      </w:pPr>
    </w:p>
    <w:bookmarkStart w:id="85" w:name="page86"/>
    <w:bookmarkEnd w:id="85"/>
    <w:p>
      <w:pPr>
        <w:spacing w:after="0" w:line="351" w:lineRule="exact"/>
        <w:rPr>
          <w:sz w:val="20"/>
          <w:szCs w:val="20"/>
          <w:color w:val="auto"/>
        </w:rPr>
      </w:pPr>
    </w:p>
    <w:p>
      <w:pPr>
        <w:jc w:val="center"/>
        <w:ind w:right="-31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 on November 12, 2021</w:t>
      </w:r>
      <w:r>
        <w:rPr>
          <w:rFonts w:ascii="Arial" w:cs="Arial" w:eastAsia="Arial" w:hAnsi="Arial"/>
          <w:sz w:val="20"/>
          <w:szCs w:val="20"/>
          <w:b w:val="1"/>
          <w:bCs w:val="1"/>
          <w:color w:val="auto"/>
        </w:rPr>
        <w:t>.</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20"/>
          <w:szCs w:val="20"/>
          <w:b w:val="1"/>
          <w:bCs w:val="1"/>
          <w:color w:val="auto"/>
        </w:rPr>
        <w:t>STEPSTONE GROUP INC.</w:t>
      </w:r>
    </w:p>
    <w:p>
      <w:pPr>
        <w:spacing w:after="0" w:line="289"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Johnny D. Randel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Johnny D. Randel</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Chief Financial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40"/>
          </w:cols>
          <w:pgMar w:left="320" w:top="1440" w:right="639" w:bottom="1440" w:gutter="0" w:footer="0" w:header="0"/>
        </w:sectPr>
      </w:pPr>
    </w:p>
    <w:bookmarkStart w:id="86" w:name="page87"/>
    <w:bookmarkEnd w:id="86"/>
    <w:p>
      <w:pPr>
        <w:jc w:val="right"/>
        <w:spacing w:after="0"/>
        <w:rPr>
          <w:sz w:val="20"/>
          <w:szCs w:val="20"/>
          <w:color w:val="auto"/>
        </w:rPr>
      </w:pPr>
      <w:r>
        <w:rPr>
          <w:rFonts w:ascii="Arial" w:cs="Arial" w:eastAsia="Arial" w:hAnsi="Arial"/>
          <w:sz w:val="20"/>
          <w:szCs w:val="20"/>
          <w:b w:val="1"/>
          <w:bCs w:val="1"/>
          <w:color w:val="auto"/>
        </w:rPr>
        <w:t>EXHIBIT 31.1</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CERTIFICATION BY THE CHIEF EXECUTIVE OFFICER PURSUANT TO SECTION 302 OF THE SARBANES-OXLEY ACT</w:t>
      </w: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I, Monte Brem, certify that:</w:t>
      </w:r>
    </w:p>
    <w:p>
      <w:pPr>
        <w:spacing w:after="0" w:line="216" w:lineRule="exact"/>
        <w:rPr>
          <w:sz w:val="20"/>
          <w:szCs w:val="20"/>
          <w:color w:val="auto"/>
        </w:rPr>
      </w:pPr>
    </w:p>
    <w:p>
      <w:pPr>
        <w:ind w:left="860" w:hanging="204"/>
        <w:spacing w:after="0"/>
        <w:tabs>
          <w:tab w:leader="none" w:pos="8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StepStone Group Inc.;</w:t>
      </w:r>
    </w:p>
    <w:p>
      <w:pPr>
        <w:spacing w:after="0" w:line="215" w:lineRule="exact"/>
        <w:rPr>
          <w:rFonts w:ascii="Arial" w:cs="Arial" w:eastAsia="Arial" w:hAnsi="Arial"/>
          <w:sz w:val="20"/>
          <w:szCs w:val="20"/>
          <w:color w:val="auto"/>
        </w:rPr>
      </w:pPr>
    </w:p>
    <w:p>
      <w:pPr>
        <w:ind w:left="660" w:right="220" w:hanging="4"/>
        <w:spacing w:after="0" w:line="250" w:lineRule="auto"/>
        <w:tabs>
          <w:tab w:leader="none" w:pos="858" w:val="left"/>
        </w:tabs>
        <w:numPr>
          <w:ilvl w:val="0"/>
          <w:numId w:val="5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ind w:left="660" w:right="60" w:hanging="4"/>
        <w:spacing w:after="0" w:line="250" w:lineRule="auto"/>
        <w:tabs>
          <w:tab w:leader="none" w:pos="858" w:val="left"/>
        </w:tabs>
        <w:numPr>
          <w:ilvl w:val="0"/>
          <w:numId w:val="5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ind w:left="660" w:right="80" w:hanging="4"/>
        <w:spacing w:after="0" w:line="260" w:lineRule="auto"/>
        <w:tabs>
          <w:tab w:leader="none" w:pos="858"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176" w:lineRule="exact"/>
        <w:rPr>
          <w:rFonts w:ascii="Arial" w:cs="Arial" w:eastAsia="Arial" w:hAnsi="Arial"/>
          <w:sz w:val="20"/>
          <w:szCs w:val="20"/>
          <w:color w:val="auto"/>
        </w:rPr>
      </w:pPr>
    </w:p>
    <w:p>
      <w:pPr>
        <w:jc w:val="both"/>
        <w:ind w:left="1300" w:right="20" w:firstLine="4"/>
        <w:spacing w:after="0" w:line="291" w:lineRule="auto"/>
        <w:tabs>
          <w:tab w:leader="none" w:pos="1487"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ind w:left="1300" w:right="420" w:firstLine="4"/>
        <w:spacing w:after="0" w:line="250" w:lineRule="auto"/>
        <w:tabs>
          <w:tab w:leader="none" w:pos="1498" w:val="left"/>
        </w:tabs>
        <w:numPr>
          <w:ilvl w:val="1"/>
          <w:numId w:val="5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ind w:left="1300" w:right="100" w:firstLine="4"/>
        <w:spacing w:after="0" w:line="250" w:lineRule="auto"/>
        <w:tabs>
          <w:tab w:leader="none" w:pos="1487" w:val="left"/>
        </w:tabs>
        <w:numPr>
          <w:ilvl w:val="1"/>
          <w:numId w:val="52"/>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5" w:lineRule="exact"/>
        <w:rPr>
          <w:rFonts w:ascii="Arial" w:cs="Arial" w:eastAsia="Arial" w:hAnsi="Arial"/>
          <w:sz w:val="20"/>
          <w:szCs w:val="20"/>
          <w:color w:val="auto"/>
        </w:rPr>
      </w:pPr>
    </w:p>
    <w:p>
      <w:pPr>
        <w:ind w:left="660" w:right="100" w:hanging="4"/>
        <w:spacing w:after="0" w:line="250" w:lineRule="auto"/>
        <w:tabs>
          <w:tab w:leader="none" w:pos="858"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20"/>
          <w:szCs w:val="20"/>
          <w:color w:val="auto"/>
        </w:rPr>
      </w:pPr>
    </w:p>
    <w:p>
      <w:pPr>
        <w:ind w:left="1300" w:right="140" w:firstLine="4"/>
        <w:spacing w:after="0" w:line="250" w:lineRule="auto"/>
        <w:tabs>
          <w:tab w:leader="none" w:pos="1487" w:val="left"/>
        </w:tabs>
        <w:numPr>
          <w:ilvl w:val="1"/>
          <w:numId w:val="5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300" w:right="560" w:firstLine="4"/>
        <w:spacing w:after="0" w:line="260" w:lineRule="auto"/>
        <w:tabs>
          <w:tab w:leader="none" w:pos="1498" w:val="left"/>
        </w:tabs>
        <w:numPr>
          <w:ilvl w:val="1"/>
          <w:numId w:val="5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600" w:type="dxa"/>
            <w:vAlign w:val="bottom"/>
          </w:tcPr>
          <w:p>
            <w:pPr>
              <w:spacing w:after="0"/>
              <w:rPr>
                <w:sz w:val="20"/>
                <w:szCs w:val="20"/>
                <w:color w:val="auto"/>
              </w:rPr>
            </w:pPr>
            <w:r>
              <w:rPr>
                <w:rFonts w:ascii="Arial" w:cs="Arial" w:eastAsia="Arial" w:hAnsi="Arial"/>
                <w:sz w:val="20"/>
                <w:szCs w:val="20"/>
                <w:color w:val="auto"/>
              </w:rPr>
              <w:t>Date: November 12, 2021</w:t>
            </w:r>
          </w:p>
        </w:tc>
        <w:tc>
          <w:tcPr>
            <w:tcW w:w="7620" w:type="dxa"/>
            <w:vAlign w:val="bottom"/>
            <w:gridSpan w:val="2"/>
          </w:tcPr>
          <w:p>
            <w:pPr>
              <w:ind w:left="1560"/>
              <w:spacing w:after="0"/>
              <w:rPr>
                <w:sz w:val="20"/>
                <w:szCs w:val="20"/>
                <w:color w:val="auto"/>
              </w:rPr>
            </w:pPr>
            <w:r>
              <w:rPr>
                <w:rFonts w:ascii="Arial" w:cs="Arial" w:eastAsia="Arial" w:hAnsi="Arial"/>
                <w:sz w:val="20"/>
                <w:szCs w:val="20"/>
                <w:color w:val="auto"/>
              </w:rPr>
              <w:t>By: /s/ Monte Brem</w:t>
            </w:r>
          </w:p>
        </w:tc>
      </w:tr>
      <w:tr>
        <w:trPr>
          <w:trHeight w:val="233"/>
        </w:trPr>
        <w:tc>
          <w:tcPr>
            <w:tcW w:w="36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Monte Brem</w:t>
            </w:r>
          </w:p>
        </w:tc>
      </w:tr>
      <w:tr>
        <w:trPr>
          <w:trHeight w:val="243"/>
        </w:trPr>
        <w:tc>
          <w:tcPr>
            <w:tcW w:w="36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color w:val="auto"/>
              </w:rPr>
              <w:t>Co-Chief Executive Officer</w:t>
            </w:r>
          </w:p>
        </w:tc>
      </w:tr>
      <w:tr>
        <w:trPr>
          <w:trHeight w:val="250"/>
        </w:trPr>
        <w:tc>
          <w:tcPr>
            <w:tcW w:w="36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20"/>
          <w:szCs w:val="20"/>
          <w:b w:val="1"/>
          <w:bCs w:val="1"/>
          <w:color w:val="auto"/>
        </w:rPr>
        <w:t>EXHIBIT 31.2</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CERTIFICATION BY THE CHIEF EXECUTIVE OFFICER PURSUANT TO SECTION 302 OF THE SARBANES-OXLEY ACT</w:t>
      </w: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I, Scott W. Hart, certify that:</w:t>
      </w:r>
    </w:p>
    <w:p>
      <w:pPr>
        <w:spacing w:after="0" w:line="216" w:lineRule="exact"/>
        <w:rPr>
          <w:sz w:val="20"/>
          <w:szCs w:val="20"/>
          <w:color w:val="auto"/>
        </w:rPr>
      </w:pPr>
    </w:p>
    <w:p>
      <w:pPr>
        <w:ind w:left="860" w:hanging="204"/>
        <w:spacing w:after="0"/>
        <w:tabs>
          <w:tab w:leader="none" w:pos="8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StepStone Group Inc.;</w:t>
      </w:r>
    </w:p>
    <w:p>
      <w:pPr>
        <w:spacing w:after="0" w:line="215" w:lineRule="exact"/>
        <w:rPr>
          <w:rFonts w:ascii="Arial" w:cs="Arial" w:eastAsia="Arial" w:hAnsi="Arial"/>
          <w:sz w:val="20"/>
          <w:szCs w:val="20"/>
          <w:color w:val="auto"/>
        </w:rPr>
      </w:pPr>
    </w:p>
    <w:p>
      <w:pPr>
        <w:ind w:left="660" w:right="220" w:hanging="4"/>
        <w:spacing w:after="0" w:line="250" w:lineRule="auto"/>
        <w:tabs>
          <w:tab w:leader="none" w:pos="858" w:val="left"/>
        </w:tabs>
        <w:numPr>
          <w:ilvl w:val="0"/>
          <w:numId w:val="5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ind w:left="660" w:right="60" w:hanging="4"/>
        <w:spacing w:after="0" w:line="250" w:lineRule="auto"/>
        <w:tabs>
          <w:tab w:leader="none" w:pos="858" w:val="left"/>
        </w:tabs>
        <w:numPr>
          <w:ilvl w:val="0"/>
          <w:numId w:val="5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ind w:left="660" w:right="80" w:hanging="4"/>
        <w:spacing w:after="0" w:line="260" w:lineRule="auto"/>
        <w:tabs>
          <w:tab w:leader="none" w:pos="858"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176" w:lineRule="exact"/>
        <w:rPr>
          <w:rFonts w:ascii="Arial" w:cs="Arial" w:eastAsia="Arial" w:hAnsi="Arial"/>
          <w:sz w:val="20"/>
          <w:szCs w:val="20"/>
          <w:color w:val="auto"/>
        </w:rPr>
      </w:pPr>
    </w:p>
    <w:p>
      <w:pPr>
        <w:jc w:val="both"/>
        <w:ind w:left="1300" w:right="20" w:firstLine="4"/>
        <w:spacing w:after="0" w:line="291" w:lineRule="auto"/>
        <w:tabs>
          <w:tab w:leader="none" w:pos="1487"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ind w:left="1300" w:right="420" w:firstLine="4"/>
        <w:spacing w:after="0" w:line="250" w:lineRule="auto"/>
        <w:tabs>
          <w:tab w:leader="none" w:pos="1498" w:val="left"/>
        </w:tabs>
        <w:numPr>
          <w:ilvl w:val="1"/>
          <w:numId w:val="5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ind w:left="1300" w:right="100" w:firstLine="4"/>
        <w:spacing w:after="0" w:line="250" w:lineRule="auto"/>
        <w:tabs>
          <w:tab w:leader="none" w:pos="1487" w:val="left"/>
        </w:tabs>
        <w:numPr>
          <w:ilvl w:val="1"/>
          <w:numId w:val="53"/>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5" w:lineRule="exact"/>
        <w:rPr>
          <w:rFonts w:ascii="Arial" w:cs="Arial" w:eastAsia="Arial" w:hAnsi="Arial"/>
          <w:sz w:val="20"/>
          <w:szCs w:val="20"/>
          <w:color w:val="auto"/>
        </w:rPr>
      </w:pPr>
    </w:p>
    <w:p>
      <w:pPr>
        <w:ind w:left="660" w:right="100" w:hanging="4"/>
        <w:spacing w:after="0" w:line="250" w:lineRule="auto"/>
        <w:tabs>
          <w:tab w:leader="none" w:pos="858"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20"/>
          <w:szCs w:val="20"/>
          <w:color w:val="auto"/>
        </w:rPr>
      </w:pPr>
    </w:p>
    <w:p>
      <w:pPr>
        <w:ind w:left="1300" w:right="140" w:firstLine="4"/>
        <w:spacing w:after="0" w:line="250" w:lineRule="auto"/>
        <w:tabs>
          <w:tab w:leader="none" w:pos="1487" w:val="left"/>
        </w:tabs>
        <w:numPr>
          <w:ilvl w:val="1"/>
          <w:numId w:val="5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300" w:right="560" w:firstLine="4"/>
        <w:spacing w:after="0" w:line="260" w:lineRule="auto"/>
        <w:tabs>
          <w:tab w:leader="none" w:pos="1498" w:val="left"/>
        </w:tabs>
        <w:numPr>
          <w:ilvl w:val="1"/>
          <w:numId w:val="5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600" w:type="dxa"/>
            <w:vAlign w:val="bottom"/>
          </w:tcPr>
          <w:p>
            <w:pPr>
              <w:spacing w:after="0"/>
              <w:rPr>
                <w:sz w:val="20"/>
                <w:szCs w:val="20"/>
                <w:color w:val="auto"/>
              </w:rPr>
            </w:pPr>
            <w:r>
              <w:rPr>
                <w:rFonts w:ascii="Arial" w:cs="Arial" w:eastAsia="Arial" w:hAnsi="Arial"/>
                <w:sz w:val="20"/>
                <w:szCs w:val="20"/>
                <w:color w:val="auto"/>
              </w:rPr>
              <w:t>Date: November 12, 2021</w:t>
            </w:r>
          </w:p>
        </w:tc>
        <w:tc>
          <w:tcPr>
            <w:tcW w:w="7620" w:type="dxa"/>
            <w:vAlign w:val="bottom"/>
            <w:gridSpan w:val="2"/>
          </w:tcPr>
          <w:p>
            <w:pPr>
              <w:ind w:left="1560"/>
              <w:spacing w:after="0"/>
              <w:rPr>
                <w:sz w:val="20"/>
                <w:szCs w:val="20"/>
                <w:color w:val="auto"/>
              </w:rPr>
            </w:pPr>
            <w:r>
              <w:rPr>
                <w:rFonts w:ascii="Arial" w:cs="Arial" w:eastAsia="Arial" w:hAnsi="Arial"/>
                <w:sz w:val="20"/>
                <w:szCs w:val="20"/>
                <w:color w:val="auto"/>
              </w:rPr>
              <w:t>By: /s/ Scott W. Hart</w:t>
            </w:r>
          </w:p>
        </w:tc>
      </w:tr>
      <w:tr>
        <w:trPr>
          <w:trHeight w:val="233"/>
        </w:trPr>
        <w:tc>
          <w:tcPr>
            <w:tcW w:w="36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Scott W. Hart</w:t>
            </w:r>
          </w:p>
        </w:tc>
      </w:tr>
      <w:tr>
        <w:trPr>
          <w:trHeight w:val="243"/>
        </w:trPr>
        <w:tc>
          <w:tcPr>
            <w:tcW w:w="36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color w:val="auto"/>
              </w:rPr>
              <w:t>Co-Chief Executive Officer</w:t>
            </w:r>
          </w:p>
        </w:tc>
      </w:tr>
      <w:tr>
        <w:trPr>
          <w:trHeight w:val="250"/>
        </w:trPr>
        <w:tc>
          <w:tcPr>
            <w:tcW w:w="36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88" w:name="page89"/>
    <w:bookmarkEnd w:id="88"/>
    <w:p>
      <w:pPr>
        <w:ind w:left="10000"/>
        <w:spacing w:after="0"/>
        <w:rPr>
          <w:sz w:val="20"/>
          <w:szCs w:val="20"/>
          <w:color w:val="auto"/>
        </w:rPr>
      </w:pPr>
      <w:r>
        <w:rPr>
          <w:rFonts w:ascii="Arial" w:cs="Arial" w:eastAsia="Arial" w:hAnsi="Arial"/>
          <w:sz w:val="20"/>
          <w:szCs w:val="20"/>
          <w:b w:val="1"/>
          <w:bCs w:val="1"/>
          <w:color w:val="auto"/>
        </w:rPr>
        <w:t>EXHIBIT 31.3</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CERTIFICATION BY THE CHIEF FINANCIAL OFFICER PURSUANT TO SECTION 302 OF THE SARBANES-OXLEY ACT</w:t>
      </w: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auto"/>
        </w:rPr>
        <w:t>I, Johnny D. Randel, certify that:</w:t>
      </w:r>
    </w:p>
    <w:p>
      <w:pPr>
        <w:spacing w:after="0" w:line="216" w:lineRule="exact"/>
        <w:rPr>
          <w:sz w:val="20"/>
          <w:szCs w:val="20"/>
          <w:color w:val="auto"/>
        </w:rPr>
      </w:pPr>
    </w:p>
    <w:p>
      <w:pPr>
        <w:ind w:left="860" w:hanging="204"/>
        <w:spacing w:after="0"/>
        <w:tabs>
          <w:tab w:leader="none" w:pos="8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StepStone Group Inc.;</w:t>
      </w:r>
    </w:p>
    <w:p>
      <w:pPr>
        <w:spacing w:after="0" w:line="215" w:lineRule="exact"/>
        <w:rPr>
          <w:rFonts w:ascii="Arial" w:cs="Arial" w:eastAsia="Arial" w:hAnsi="Arial"/>
          <w:sz w:val="20"/>
          <w:szCs w:val="20"/>
          <w:color w:val="auto"/>
        </w:rPr>
      </w:pPr>
    </w:p>
    <w:p>
      <w:pPr>
        <w:ind w:left="660" w:right="220" w:hanging="4"/>
        <w:spacing w:after="0" w:line="250" w:lineRule="auto"/>
        <w:tabs>
          <w:tab w:leader="none" w:pos="858" w:val="left"/>
        </w:tabs>
        <w:numPr>
          <w:ilvl w:val="0"/>
          <w:numId w:val="5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ind w:left="660" w:right="60" w:hanging="4"/>
        <w:spacing w:after="0" w:line="250" w:lineRule="auto"/>
        <w:tabs>
          <w:tab w:leader="none" w:pos="858" w:val="left"/>
        </w:tabs>
        <w:numPr>
          <w:ilvl w:val="0"/>
          <w:numId w:val="5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ind w:left="660" w:right="80" w:hanging="4"/>
        <w:spacing w:after="0" w:line="260" w:lineRule="auto"/>
        <w:tabs>
          <w:tab w:leader="none" w:pos="858"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176" w:lineRule="exact"/>
        <w:rPr>
          <w:rFonts w:ascii="Arial" w:cs="Arial" w:eastAsia="Arial" w:hAnsi="Arial"/>
          <w:sz w:val="20"/>
          <w:szCs w:val="20"/>
          <w:color w:val="auto"/>
        </w:rPr>
      </w:pPr>
    </w:p>
    <w:p>
      <w:pPr>
        <w:jc w:val="both"/>
        <w:ind w:left="1300" w:right="20" w:firstLine="4"/>
        <w:spacing w:after="0" w:line="291" w:lineRule="auto"/>
        <w:tabs>
          <w:tab w:leader="none" w:pos="1487"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ind w:left="1300" w:right="420" w:firstLine="4"/>
        <w:spacing w:after="0" w:line="250" w:lineRule="auto"/>
        <w:tabs>
          <w:tab w:leader="none" w:pos="1498" w:val="left"/>
        </w:tabs>
        <w:numPr>
          <w:ilvl w:val="1"/>
          <w:numId w:val="5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ind w:left="1300" w:right="100" w:firstLine="4"/>
        <w:spacing w:after="0" w:line="250" w:lineRule="auto"/>
        <w:tabs>
          <w:tab w:leader="none" w:pos="1487" w:val="left"/>
        </w:tabs>
        <w:numPr>
          <w:ilvl w:val="1"/>
          <w:numId w:val="54"/>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5" w:lineRule="exact"/>
        <w:rPr>
          <w:rFonts w:ascii="Arial" w:cs="Arial" w:eastAsia="Arial" w:hAnsi="Arial"/>
          <w:sz w:val="20"/>
          <w:szCs w:val="20"/>
          <w:color w:val="auto"/>
        </w:rPr>
      </w:pPr>
    </w:p>
    <w:p>
      <w:pPr>
        <w:ind w:left="660" w:right="100" w:hanging="4"/>
        <w:spacing w:after="0" w:line="250" w:lineRule="auto"/>
        <w:tabs>
          <w:tab w:leader="none" w:pos="858"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20"/>
          <w:szCs w:val="20"/>
          <w:color w:val="auto"/>
        </w:rPr>
      </w:pPr>
    </w:p>
    <w:p>
      <w:pPr>
        <w:ind w:left="1300" w:right="140" w:firstLine="4"/>
        <w:spacing w:after="0" w:line="250" w:lineRule="auto"/>
        <w:tabs>
          <w:tab w:leader="none" w:pos="1487" w:val="left"/>
        </w:tabs>
        <w:numPr>
          <w:ilvl w:val="1"/>
          <w:numId w:val="5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300" w:right="560" w:firstLine="4"/>
        <w:spacing w:after="0" w:line="260" w:lineRule="auto"/>
        <w:tabs>
          <w:tab w:leader="none" w:pos="1498" w:val="left"/>
        </w:tabs>
        <w:numPr>
          <w:ilvl w:val="1"/>
          <w:numId w:val="5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600" w:type="dxa"/>
            <w:vAlign w:val="bottom"/>
          </w:tcPr>
          <w:p>
            <w:pPr>
              <w:spacing w:after="0"/>
              <w:rPr>
                <w:sz w:val="20"/>
                <w:szCs w:val="20"/>
                <w:color w:val="auto"/>
              </w:rPr>
            </w:pPr>
            <w:r>
              <w:rPr>
                <w:rFonts w:ascii="Arial" w:cs="Arial" w:eastAsia="Arial" w:hAnsi="Arial"/>
                <w:sz w:val="20"/>
                <w:szCs w:val="20"/>
                <w:color w:val="auto"/>
              </w:rPr>
              <w:t>Date: November 12, 2021</w:t>
            </w:r>
          </w:p>
        </w:tc>
        <w:tc>
          <w:tcPr>
            <w:tcW w:w="7620" w:type="dxa"/>
            <w:vAlign w:val="bottom"/>
            <w:gridSpan w:val="2"/>
          </w:tcPr>
          <w:p>
            <w:pPr>
              <w:ind w:left="1560"/>
              <w:spacing w:after="0"/>
              <w:rPr>
                <w:sz w:val="20"/>
                <w:szCs w:val="20"/>
                <w:color w:val="auto"/>
              </w:rPr>
            </w:pPr>
            <w:r>
              <w:rPr>
                <w:rFonts w:ascii="Arial" w:cs="Arial" w:eastAsia="Arial" w:hAnsi="Arial"/>
                <w:sz w:val="20"/>
                <w:szCs w:val="20"/>
                <w:color w:val="auto"/>
              </w:rPr>
              <w:t>By: /s/ Johnny D. Randel</w:t>
            </w:r>
          </w:p>
        </w:tc>
      </w:tr>
      <w:tr>
        <w:trPr>
          <w:trHeight w:val="233"/>
        </w:trPr>
        <w:tc>
          <w:tcPr>
            <w:tcW w:w="36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Johnny D. Randel</w:t>
            </w:r>
          </w:p>
        </w:tc>
      </w:tr>
      <w:tr>
        <w:trPr>
          <w:trHeight w:val="243"/>
        </w:trPr>
        <w:tc>
          <w:tcPr>
            <w:tcW w:w="36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r>
        <w:trPr>
          <w:trHeight w:val="250"/>
        </w:trPr>
        <w:tc>
          <w:tcPr>
            <w:tcW w:w="36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i w:val="1"/>
                <w:iCs w:val="1"/>
                <w:color w:val="auto"/>
              </w:rPr>
              <w:t>(Principal Financial Officer)</w:t>
            </w:r>
          </w:p>
        </w:tc>
      </w:tr>
    </w:tbl>
    <w:p>
      <w:pPr>
        <w:sectPr>
          <w:pgSz w:w="11900" w:h="16838" w:orient="portrait"/>
          <w:cols w:equalWidth="0" w:num="1">
            <w:col w:w="11240"/>
          </w:cols>
          <w:pgMar w:left="320" w:top="118"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20"/>
          <w:szCs w:val="20"/>
          <w:b w:val="1"/>
          <w:bCs w:val="1"/>
          <w:color w:val="auto"/>
        </w:rPr>
        <w:t>EXHIBIT 32.1</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ind w:left="4100"/>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In connection with the Quarterly Report of StepStone Group Inc. (the “Company”) on Form 10-Q for the three months ended September 30, 2021, as filed with the Securities and Exchange Commission (the “SEC”) on or about the date hereof (the “Report”), I, Monte Brem, Co-Chief Executive Officer of the Company certify, pursuant to 18 U.S.C. Section 1350, as adopted pursuant to Section 906 of the Sarbanes-Oxley Act of 2002, that to my knowledge:</w:t>
      </w:r>
    </w:p>
    <w:p>
      <w:pPr>
        <w:spacing w:after="0" w:line="191" w:lineRule="exact"/>
        <w:rPr>
          <w:sz w:val="20"/>
          <w:szCs w:val="20"/>
          <w:color w:val="auto"/>
        </w:rPr>
      </w:pPr>
    </w:p>
    <w:p>
      <w:pPr>
        <w:ind w:left="640" w:hanging="30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 November 12, 2021</w:t>
      </w:r>
    </w:p>
    <w:p>
      <w:pPr>
        <w:spacing w:after="0" w:line="40" w:lineRule="exact"/>
        <w:rPr>
          <w:sz w:val="20"/>
          <w:szCs w:val="20"/>
          <w:color w:val="auto"/>
        </w:rPr>
      </w:pPr>
    </w:p>
    <w:tbl>
      <w:tblPr>
        <w:tblLayout w:type="fixed"/>
        <w:tblInd w:w="5300" w:type="dxa"/>
        <w:tblCellMar>
          <w:top w:w="0" w:type="dxa"/>
          <w:left w:w="0" w:type="dxa"/>
          <w:bottom w:w="0" w:type="dxa"/>
          <w:right w:w="0" w:type="dxa"/>
        </w:tblCellMar>
      </w:tblPr>
      <w:tr>
        <w:trPr>
          <w:trHeight w:val="246"/>
        </w:trPr>
        <w:tc>
          <w:tcPr>
            <w:tcW w:w="320" w:type="dxa"/>
            <w:vAlign w:val="bottom"/>
          </w:tcPr>
          <w:p>
            <w:pPr>
              <w:spacing w:after="0"/>
              <w:rPr>
                <w:sz w:val="20"/>
                <w:szCs w:val="20"/>
                <w:color w:val="auto"/>
              </w:rPr>
            </w:pPr>
            <w:r>
              <w:rPr>
                <w:rFonts w:ascii="Arial" w:cs="Arial" w:eastAsia="Arial" w:hAnsi="Arial"/>
                <w:sz w:val="20"/>
                <w:szCs w:val="20"/>
                <w:color w:val="auto"/>
              </w:rPr>
              <w:t>By:</w:t>
            </w:r>
          </w:p>
        </w:tc>
        <w:tc>
          <w:tcPr>
            <w:tcW w:w="5620" w:type="dxa"/>
            <w:vAlign w:val="bottom"/>
            <w:tcBorders>
              <w:bottom w:val="single" w:sz="8" w:color="auto"/>
            </w:tcBorders>
          </w:tcPr>
          <w:p>
            <w:pPr>
              <w:ind w:left="660"/>
              <w:spacing w:after="0"/>
              <w:rPr>
                <w:sz w:val="20"/>
                <w:szCs w:val="20"/>
                <w:color w:val="auto"/>
              </w:rPr>
            </w:pPr>
            <w:r>
              <w:rPr>
                <w:rFonts w:ascii="Arial" w:cs="Arial" w:eastAsia="Arial" w:hAnsi="Arial"/>
                <w:sz w:val="20"/>
                <w:szCs w:val="20"/>
                <w:color w:val="auto"/>
              </w:rPr>
              <w:t>/s/ Monte Brem</w:t>
            </w:r>
          </w:p>
        </w:tc>
      </w:tr>
      <w:tr>
        <w:trPr>
          <w:trHeight w:val="233"/>
        </w:trPr>
        <w:tc>
          <w:tcPr>
            <w:tcW w:w="320" w:type="dxa"/>
            <w:vAlign w:val="bottom"/>
          </w:tcPr>
          <w:p>
            <w:pPr>
              <w:spacing w:after="0"/>
              <w:rPr>
                <w:sz w:val="20"/>
                <w:szCs w:val="20"/>
                <w:color w:val="auto"/>
              </w:rPr>
            </w:pPr>
          </w:p>
        </w:tc>
        <w:tc>
          <w:tcPr>
            <w:tcW w:w="5620" w:type="dxa"/>
            <w:vAlign w:val="bottom"/>
          </w:tcPr>
          <w:p>
            <w:pPr>
              <w:ind w:left="660"/>
              <w:spacing w:after="0"/>
              <w:rPr>
                <w:sz w:val="20"/>
                <w:szCs w:val="20"/>
                <w:color w:val="auto"/>
              </w:rPr>
            </w:pPr>
            <w:r>
              <w:rPr>
                <w:rFonts w:ascii="Arial" w:cs="Arial" w:eastAsia="Arial" w:hAnsi="Arial"/>
                <w:sz w:val="20"/>
                <w:szCs w:val="20"/>
                <w:color w:val="auto"/>
              </w:rPr>
              <w:t>Monte Brem</w:t>
            </w:r>
          </w:p>
        </w:tc>
      </w:tr>
      <w:tr>
        <w:trPr>
          <w:trHeight w:val="243"/>
        </w:trPr>
        <w:tc>
          <w:tcPr>
            <w:tcW w:w="320" w:type="dxa"/>
            <w:vAlign w:val="bottom"/>
          </w:tcPr>
          <w:p>
            <w:pPr>
              <w:spacing w:after="0"/>
              <w:rPr>
                <w:sz w:val="21"/>
                <w:szCs w:val="21"/>
                <w:color w:val="auto"/>
              </w:rPr>
            </w:pPr>
          </w:p>
        </w:tc>
        <w:tc>
          <w:tcPr>
            <w:tcW w:w="5620" w:type="dxa"/>
            <w:vAlign w:val="bottom"/>
          </w:tcPr>
          <w:p>
            <w:pPr>
              <w:ind w:left="660"/>
              <w:spacing w:after="0"/>
              <w:rPr>
                <w:sz w:val="20"/>
                <w:szCs w:val="20"/>
                <w:color w:val="auto"/>
              </w:rPr>
            </w:pPr>
            <w:r>
              <w:rPr>
                <w:rFonts w:ascii="Arial" w:cs="Arial" w:eastAsia="Arial" w:hAnsi="Arial"/>
                <w:sz w:val="20"/>
                <w:szCs w:val="20"/>
                <w:color w:val="auto"/>
              </w:rPr>
              <w:t>Co-Chief Executive Officer</w:t>
            </w:r>
          </w:p>
        </w:tc>
      </w:tr>
      <w:tr>
        <w:trPr>
          <w:trHeight w:val="250"/>
        </w:trPr>
        <w:tc>
          <w:tcPr>
            <w:tcW w:w="320" w:type="dxa"/>
            <w:vAlign w:val="bottom"/>
          </w:tcPr>
          <w:p>
            <w:pPr>
              <w:spacing w:after="0"/>
              <w:rPr>
                <w:sz w:val="21"/>
                <w:szCs w:val="21"/>
                <w:color w:val="auto"/>
              </w:rPr>
            </w:pPr>
          </w:p>
        </w:tc>
        <w:tc>
          <w:tcPr>
            <w:tcW w:w="5620" w:type="dxa"/>
            <w:vAlign w:val="bottom"/>
          </w:tcPr>
          <w:p>
            <w:pPr>
              <w:ind w:left="660"/>
              <w:spacing w:after="0"/>
              <w:rPr>
                <w:sz w:val="20"/>
                <w:szCs w:val="20"/>
                <w:color w:val="auto"/>
              </w:rPr>
            </w:pPr>
            <w:r>
              <w:rPr>
                <w:rFonts w:ascii="Arial" w:cs="Arial" w:eastAsia="Arial" w:hAnsi="Arial"/>
                <w:sz w:val="20"/>
                <w:szCs w:val="20"/>
                <w:i w:val="1"/>
                <w:iCs w:val="1"/>
                <w:color w:val="auto"/>
              </w:rPr>
              <w:t>(Principal Executive Officer)</w:t>
            </w:r>
          </w:p>
        </w:tc>
      </w:tr>
    </w:tbl>
    <w:p>
      <w:pPr>
        <w:spacing w:after="0" w:line="290"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40"/>
          </w:cols>
          <w:pgMar w:left="320" w:top="118"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20"/>
          <w:szCs w:val="20"/>
          <w:b w:val="1"/>
          <w:bCs w:val="1"/>
          <w:color w:val="auto"/>
        </w:rPr>
        <w:t>EXHIBIT 32.2</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ind w:left="4100"/>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80" w:firstLine="648"/>
        <w:spacing w:after="0" w:line="246" w:lineRule="auto"/>
        <w:rPr>
          <w:sz w:val="20"/>
          <w:szCs w:val="20"/>
          <w:color w:val="auto"/>
        </w:rPr>
      </w:pPr>
      <w:r>
        <w:rPr>
          <w:rFonts w:ascii="Arial" w:cs="Arial" w:eastAsia="Arial" w:hAnsi="Arial"/>
          <w:sz w:val="20"/>
          <w:szCs w:val="20"/>
          <w:color w:val="auto"/>
        </w:rPr>
        <w:t>In connection with the Quarterly Report of StepStone Group Inc. (the “Company”) on Form 10-Q for the three months ended September 30, 2021, as filed with the Securities and Exchange Commission (the “SEC”) on or about the date hereof (the “Report”), I, Scott W. Hart, Co-Chief Executive Officer of the Company certify, pursuant to 18 U.S.C. Section 1350, as adopted pursuant to Section 906 of the Sarbanes-Oxley Act of 2002, that to my knowledge:</w:t>
      </w:r>
    </w:p>
    <w:p>
      <w:pPr>
        <w:spacing w:after="0" w:line="191" w:lineRule="exact"/>
        <w:rPr>
          <w:sz w:val="20"/>
          <w:szCs w:val="20"/>
          <w:color w:val="auto"/>
        </w:rPr>
      </w:pPr>
    </w:p>
    <w:p>
      <w:pPr>
        <w:ind w:left="640" w:hanging="308"/>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Date: November 12, 2021</w:t>
      </w:r>
    </w:p>
    <w:p>
      <w:pPr>
        <w:spacing w:after="0" w:line="256"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Scott W.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Scott W. Hart</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Co-Chief Executive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i w:val="1"/>
          <w:iCs w:val="1"/>
          <w:color w:val="auto"/>
        </w:rPr>
        <w:t>(Principal Executive Officer)</w:t>
      </w:r>
    </w:p>
    <w:p>
      <w:pPr>
        <w:spacing w:after="0" w:line="303"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40"/>
          </w:cols>
          <w:pgMar w:left="320" w:top="118"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0"/>
          <w:szCs w:val="20"/>
          <w:b w:val="1"/>
          <w:bCs w:val="1"/>
          <w:color w:val="auto"/>
        </w:rPr>
        <w:t>EXHIBIT 32.3</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ind w:left="4100"/>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In connection with the Quarterly Report of StepStone Group Inc. (the “Company”) on Form 10-Q for the three months ended September 30, 2021, as filed with the Securities and Exchange Commission (the “SEC”) on or about the date hereof (the “Report”), I, Johnny D. Randel, Chief Financial Officer of the Company certify, pursuant to 18 U.S.C. Section 1350, as adopted pursuant to Section 906 of the Sarbanes-Oxley Act of 2002, that to my knowledge:</w:t>
      </w:r>
    </w:p>
    <w:p>
      <w:pPr>
        <w:spacing w:after="0" w:line="191" w:lineRule="exact"/>
        <w:rPr>
          <w:sz w:val="20"/>
          <w:szCs w:val="20"/>
          <w:color w:val="auto"/>
        </w:rPr>
      </w:pPr>
    </w:p>
    <w:p>
      <w:pPr>
        <w:ind w:left="640" w:hanging="30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Date: November 12, 2021</w:t>
      </w:r>
    </w:p>
    <w:p>
      <w:pPr>
        <w:spacing w:after="0" w:line="256"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Johnny D. Randel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Johnny D. Randel</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Chief Financial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i w:val="1"/>
          <w:iCs w:val="1"/>
          <w:color w:val="auto"/>
        </w:rPr>
        <w:t>(Principal Financial Officer)</w:t>
      </w:r>
    </w:p>
    <w:p>
      <w:pPr>
        <w:spacing w:after="0" w:line="303"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 or its staff 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1."/>
      <w:numFmt w:val="decimal"/>
      <w:start w:val="2"/>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endash "/>
      <w:numFmt w:val="bullet"/>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decimal"/>
      <w:start w:val="4"/>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14"/>
    </w:lvl>
  </w:abstractNum>
  <w:abstractNum w:abstractNumId="19">
    <w:nsid w:val="2463B9EA"/>
    <w:multiLevelType w:val="hybridMultilevel"/>
    <w:lvl w:ilvl="0">
      <w:lvlJc w:val="left"/>
      <w:lvlText w:val="(%1)"/>
      <w:numFmt w:val="lowerRoman"/>
      <w:start w:val="3"/>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1."/>
      <w:numFmt w:val="decimal"/>
      <w:start w:val="14"/>
    </w:lvl>
    <w:lvl w:ilvl="1">
      <w:lvlJc w:val="left"/>
      <w:lvlText w:val="•"/>
      <w:numFmt w:val="bullet"/>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decimal"/>
      <w:start w:val="1"/>
    </w:lvl>
    <w:lvl w:ilvl="1">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4"/>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4"/>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1)"/>
      <w:numFmt w:val="decimal"/>
      <w:start w:val="1"/>
    </w:lvl>
    <w:lvl w:ilvl="1">
      <w:lvlJc w:val="left"/>
      <w:lvlText w:val="%2."/>
      <w:numFmt w:val="lowerRoman"/>
      <w:start w:val="1"/>
    </w:lvl>
  </w:abstractNum>
  <w:abstractNum w:abstractNumId="44">
    <w:nsid w:val="1BA026FA"/>
    <w:multiLevelType w:val="hybridMultilevel"/>
    <w:lvl w:ilvl="0">
      <w:lvlJc w:val="left"/>
      <w:lvlText w:val="(%1)"/>
      <w:numFmt w:val="decimal"/>
      <w:start w:val="3"/>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1"/>
      <w:numFmt w:val="decimal"/>
      <w:start w:val="101"/>
    </w:lvl>
  </w:abstractNum>
  <w:abstractNum w:abstractNumId="51">
    <w:nsid w:val="4F4EF005"/>
    <w:multiLevelType w:val="hybridMultilevel"/>
    <w:lvl w:ilvl="0">
      <w:lvlJc w:val="left"/>
      <w:lvlText w:val="%1."/>
      <w:numFmt w:val="decimal"/>
      <w:start w:val="1"/>
    </w:lvl>
    <w:lvl w:ilvl="1">
      <w:lvlJc w:val="left"/>
      <w:lvlText w:val="%2."/>
      <w:numFmt w:val="lowerLetter"/>
      <w:start w:val="1"/>
    </w:lvl>
  </w:abstractNum>
  <w:abstractNum w:abstractNumId="52">
    <w:nsid w:val="23F9C13C"/>
    <w:multiLevelType w:val="hybridMultilevel"/>
    <w:lvl w:ilvl="0">
      <w:lvlJc w:val="left"/>
      <w:lvlText w:val="%1."/>
      <w:numFmt w:val="decimal"/>
      <w:start w:val="1"/>
    </w:lvl>
    <w:lvl w:ilvl="1">
      <w:lvlJc w:val="left"/>
      <w:lvlText w:val="%2."/>
      <w:numFmt w:val="lowerLetter"/>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01" Type="http://schemas.openxmlformats.org/officeDocument/2006/relationships/hyperlink" Target="https://www.sec.gov/Archives/edgar/data/1796022/000119312521209305/d197424dex21.htm" TargetMode="External"/><Relationship Id="rId102" Type="http://schemas.openxmlformats.org/officeDocument/2006/relationships/hyperlink" Target="https://www.sec.gov/Archives/edgar/data/1796022/000119312520248881/d23934dex31.htm" TargetMode="External"/><Relationship Id="rId103" Type="http://schemas.openxmlformats.org/officeDocument/2006/relationships/hyperlink" Target="https://www.sec.gov/Archives/edgar/data/1796022/000119312520248881/d23934dex32.htm" TargetMode="External"/><Relationship Id="rId104" Type="http://schemas.openxmlformats.org/officeDocument/2006/relationships/hyperlink" Target="https://www.sec.gov/Archives/edgar/data/1796022/000119312521209305/d197424dex101.htm" TargetMode="External"/><Relationship Id="rId105" Type="http://schemas.openxmlformats.org/officeDocument/2006/relationships/hyperlink" Target="https://www.sec.gov/Archives/edgar/data/1796022/000119312521277301/d173286dex101.htm" TargetMode="External"/><Relationship Id="rId106" Type="http://schemas.openxmlformats.org/officeDocument/2006/relationships/hyperlink" Target="https://www.sec.gov/Archives/edgar/data/1796022/000119312521277301/d173286dex102.htm" TargetMode="External"/><Relationship Id="rId107" Type="http://schemas.openxmlformats.org/officeDocument/2006/relationships/hyperlink" Target="https://www.sec.gov/Archives/edgar/data/1796022/000119312521277301/d173286dex103.htm" TargetMode="External"/><Relationship Id="rId108" Type="http://schemas.openxmlformats.org/officeDocument/2006/relationships/hyperlink" Target="https://www.sec.gov/Archives/edgar/data/1796022/000119312521277301/d173286dex104.htm" TargetMode="External"/><Relationship Id="rId109" Type="http://schemas.openxmlformats.org/officeDocument/2006/relationships/hyperlink" Target="https://www.sec.gov/Archives/edgar/data/1796022/000119312521277301/d173286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2021-11-12T10:54:33Z</dcterms:created>
  <dcterms:modified xsi:type="dcterms:W3CDTF">2021-11-12T10:54:33Z</dcterms:modified>
</cp:coreProperties>
</file>