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4"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98" w:lineRule="exact"/>
        <w:rPr>
          <w:sz w:val="24"/>
          <w:szCs w:val="24"/>
          <w:color w:val="auto"/>
        </w:rPr>
      </w:pPr>
    </w:p>
    <w:p>
      <w:pPr>
        <w:ind w:left="380" w:hanging="314"/>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3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6"/>
          <w:szCs w:val="16"/>
          <w:color w:val="auto"/>
        </w:rPr>
        <w:t>For the transition period from _______________________ to 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001-39510</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STEPSTONE GROUP INC.</w:t>
      </w:r>
    </w:p>
    <w:p>
      <w:pPr>
        <w:spacing w:after="0" w:line="235" w:lineRule="exact"/>
        <w:rPr>
          <w:sz w:val="24"/>
          <w:szCs w:val="24"/>
          <w:color w:val="auto"/>
        </w:rPr>
      </w:pPr>
    </w:p>
    <w:tbl>
      <w:tblPr>
        <w:tblLayout w:type="fixed"/>
        <w:tblInd w:w="144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5300" w:type="dxa"/>
            <w:vAlign w:val="bottom"/>
          </w:tcPr>
          <w:p>
            <w:pPr>
              <w:jc w:val="center"/>
              <w:ind w:right="172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16"/>
        </w:trPr>
        <w:tc>
          <w:tcPr>
            <w:tcW w:w="24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84-3868757</w:t>
            </w:r>
          </w:p>
        </w:tc>
      </w:tr>
      <w:tr>
        <w:trPr>
          <w:trHeight w:val="163"/>
        </w:trPr>
        <w:tc>
          <w:tcPr>
            <w:tcW w:w="24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300" w:type="dxa"/>
            <w:vAlign w:val="bottom"/>
          </w:tcPr>
          <w:p>
            <w:pPr>
              <w:jc w:val="center"/>
              <w:ind w:left="414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4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300" w:type="dxa"/>
            <w:vAlign w:val="bottom"/>
          </w:tcPr>
          <w:p>
            <w:pPr>
              <w:jc w:val="center"/>
              <w:ind w:left="414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0"/>
        </w:trPr>
        <w:tc>
          <w:tcPr>
            <w:tcW w:w="24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277 Park Avenue, 45</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tc>
        <w:tc>
          <w:tcPr>
            <w:tcW w:w="5300" w:type="dxa"/>
            <w:vAlign w:val="bottom"/>
          </w:tcPr>
          <w:p>
            <w:pPr>
              <w:spacing w:after="0"/>
              <w:rPr>
                <w:sz w:val="24"/>
                <w:szCs w:val="24"/>
                <w:color w:val="auto"/>
              </w:rPr>
            </w:pPr>
          </w:p>
        </w:tc>
      </w:tr>
      <w:tr>
        <w:trPr>
          <w:trHeight w:val="190"/>
        </w:trPr>
        <w:tc>
          <w:tcPr>
            <w:tcW w:w="24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53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10172</w:t>
            </w:r>
          </w:p>
        </w:tc>
      </w:tr>
      <w:tr>
        <w:trPr>
          <w:trHeight w:val="203"/>
        </w:trPr>
        <w:tc>
          <w:tcPr>
            <w:tcW w:w="24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300" w:type="dxa"/>
            <w:vAlign w:val="bottom"/>
          </w:tcPr>
          <w:p>
            <w:pPr>
              <w:jc w:val="center"/>
              <w:ind w:left="4148"/>
              <w:spacing w:after="0"/>
              <w:rPr>
                <w:sz w:val="20"/>
                <w:szCs w:val="20"/>
                <w:color w:val="auto"/>
              </w:rPr>
            </w:pPr>
            <w:r>
              <w:rPr>
                <w:rFonts w:ascii="Times New Roman" w:cs="Times New Roman" w:eastAsia="Times New Roman" w:hAnsi="Times New Roman"/>
                <w:sz w:val="14"/>
                <w:szCs w:val="14"/>
                <w:color w:val="auto"/>
              </w:rPr>
              <w:t>(Zip Code)</w:t>
            </w:r>
          </w:p>
        </w:tc>
      </w:tr>
      <w:tr>
        <w:trPr>
          <w:trHeight w:val="500"/>
        </w:trPr>
        <w:tc>
          <w:tcPr>
            <w:tcW w:w="2440" w:type="dxa"/>
            <w:vAlign w:val="bottom"/>
          </w:tcPr>
          <w:p>
            <w:pPr>
              <w:spacing w:after="0"/>
              <w:rPr>
                <w:sz w:val="24"/>
                <w:szCs w:val="24"/>
                <w:color w:val="auto"/>
              </w:rPr>
            </w:pPr>
          </w:p>
        </w:tc>
        <w:tc>
          <w:tcPr>
            <w:tcW w:w="5300" w:type="dxa"/>
            <w:vAlign w:val="bottom"/>
          </w:tcPr>
          <w:p>
            <w:pPr>
              <w:jc w:val="right"/>
              <w:ind w:right="3028"/>
              <w:spacing w:after="0"/>
              <w:rPr>
                <w:sz w:val="20"/>
                <w:szCs w:val="20"/>
                <w:color w:val="auto"/>
              </w:rPr>
            </w:pPr>
            <w:r>
              <w:rPr>
                <w:rFonts w:ascii="Times New Roman" w:cs="Times New Roman" w:eastAsia="Times New Roman" w:hAnsi="Times New Roman"/>
                <w:sz w:val="14"/>
                <w:szCs w:val="14"/>
                <w:b w:val="1"/>
                <w:bCs w:val="1"/>
                <w:color w:val="auto"/>
              </w:rPr>
              <w:t>(212) 351-6100</w:t>
            </w:r>
          </w:p>
        </w:tc>
      </w:tr>
    </w:tbl>
    <w:p>
      <w:pPr>
        <w:spacing w:after="0" w:line="20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4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2" w:lineRule="exact"/>
        <w:rPr>
          <w:sz w:val="24"/>
          <w:szCs w:val="24"/>
          <w:color w:val="auto"/>
        </w:rPr>
      </w:pPr>
    </w:p>
    <w:tbl>
      <w:tblPr>
        <w:tblLayout w:type="fixed"/>
        <w:tblInd w:w="1540" w:type="dxa"/>
        <w:tblCellMar>
          <w:top w:w="0" w:type="dxa"/>
          <w:left w:w="0" w:type="dxa"/>
          <w:bottom w:w="0" w:type="dxa"/>
          <w:right w:w="0" w:type="dxa"/>
        </w:tblCellMar>
      </w:tblPr>
      <w:tr>
        <w:trPr>
          <w:trHeight w:val="188"/>
        </w:trPr>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Title of each class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84"/>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309"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Accelerated filer</w:t>
            </w:r>
          </w:p>
        </w:tc>
        <w:tc>
          <w:tcPr>
            <w:tcW w:w="30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2"/>
        </w:trPr>
        <w:tc>
          <w:tcPr>
            <w:tcW w:w="1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40" w:type="dxa"/>
            <w:vAlign w:val="bottom"/>
            <w:vMerge w:val="continue"/>
          </w:tcPr>
          <w:p>
            <w:pPr>
              <w:spacing w:after="0"/>
              <w:rPr>
                <w:sz w:val="5"/>
                <w:szCs w:val="5"/>
                <w:color w:val="auto"/>
              </w:rPr>
            </w:pPr>
          </w:p>
        </w:tc>
        <w:tc>
          <w:tcPr>
            <w:tcW w:w="3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3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6"/>
        </w:trPr>
        <w:tc>
          <w:tcPr>
            <w:tcW w:w="11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1" w:lineRule="exact"/>
        <w:rPr>
          <w:sz w:val="20"/>
          <w:szCs w:val="20"/>
          <w:color w:val="auto"/>
        </w:rPr>
      </w:pPr>
    </w:p>
    <w:p>
      <w:pPr>
        <w:ind w:right="660"/>
        <w:spacing w:after="0" w:line="272" w:lineRule="auto"/>
        <w:rPr>
          <w:sz w:val="20"/>
          <w:szCs w:val="20"/>
          <w:color w:val="auto"/>
        </w:rPr>
      </w:pPr>
      <w:r>
        <w:rPr>
          <w:rFonts w:ascii="Times New Roman" w:cs="Times New Roman" w:eastAsia="Times New Roman" w:hAnsi="Times New Roman"/>
          <w:sz w:val="16"/>
          <w:szCs w:val="16"/>
          <w:color w:val="auto"/>
        </w:rPr>
        <w:t>Indicate the number of shares outstanding of each of the registrant’s classes of common stock, as of the latest practicable date: As of November 4, 2025, there were 79,124,247 shares of the registrant’s Class A common stock, par value $0.001, and 39,133,716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1133475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 w:name="page3"/>
    <w:bookmarkEnd w:id="2"/>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20" w:type="dxa"/>
            <w:vAlign w:val="bottom"/>
            <w:gridSpan w:val="10"/>
            <w:shd w:val="clear" w:color="auto" w:fill="CCEEFF"/>
          </w:tcPr>
          <w:p>
            <w:pPr>
              <w:jc w:val="center"/>
              <w:ind w:right="176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300" w:type="dxa"/>
            <w:vAlign w:val="bottom"/>
            <w:tcBorders>
              <w:bottom w:val="single" w:sz="8" w:color="0000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as of September 30, 2025 and March 31, 2025</w:t>
            </w:r>
          </w:p>
        </w:tc>
        <w:tc>
          <w:tcPr>
            <w:tcW w:w="3300" w:type="dxa"/>
            <w:vAlign w:val="bottom"/>
            <w:tcBorders>
              <w:bottom w:val="single" w:sz="8" w:color="CCEEFF"/>
            </w:tcBorders>
            <w:gridSpan w:val="6"/>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(Loss) for the Three and Six Months Ended September 30, 2025 and 2024</w:t>
            </w:r>
          </w:p>
        </w:tc>
        <w:tc>
          <w:tcPr>
            <w:tcW w:w="620" w:type="dxa"/>
            <w:vAlign w:val="bottom"/>
            <w:gridSpan w:val="3"/>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Six Months Ended September 30, 2025</w:t>
            </w:r>
          </w:p>
        </w:tc>
        <w:tc>
          <w:tcPr>
            <w:tcW w:w="480" w:type="dxa"/>
            <w:vAlign w:val="bottom"/>
            <w:tcBorders>
              <w:right w:val="single" w:sz="8" w:color="CCEEFF"/>
            </w:tcBorders>
            <w:gridSpan w:val="2"/>
            <w:vMerge w:val="restart"/>
            <w:shd w:val="clear" w:color="auto" w:fill="CCEEFF"/>
          </w:tcPr>
          <w:p>
            <w:pPr>
              <w:spacing w:after="0"/>
              <w:rPr>
                <w:sz w:val="16"/>
                <w:szCs w:val="16"/>
                <w:color w:val="auto"/>
              </w:rPr>
            </w:pPr>
          </w:p>
        </w:tc>
        <w:tc>
          <w:tcPr>
            <w:tcW w:w="1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660" w:type="dxa"/>
            <w:vAlign w:val="bottom"/>
            <w:tcBorders>
              <w:top w:val="single" w:sz="8" w:color="0000FF"/>
              <w:bottom w:val="single" w:sz="8" w:color="0000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6"/>
              </w:rPr>
              <w:t>and 2024</w:t>
            </w:r>
          </w:p>
        </w:tc>
        <w:tc>
          <w:tcPr>
            <w:tcW w:w="842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top w:val="single" w:sz="8" w:color="CCEEFF"/>
              <w:bottom w:val="single" w:sz="8" w:color="0000FF"/>
              <w:right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September 30, 2025 and 2024</w:t>
            </w:r>
          </w:p>
        </w:tc>
        <w:tc>
          <w:tcPr>
            <w:tcW w:w="620" w:type="dxa"/>
            <w:vAlign w:val="bottom"/>
            <w:gridSpan w:val="3"/>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September 30, 2025 and 2024</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FF"/>
                <w:w w:val="99"/>
              </w:rPr>
              <w:t>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7800" w:type="dxa"/>
            <w:vAlign w:val="bottom"/>
            <w:tcBorders>
              <w:top w:val="single" w:sz="8" w:color="0000FF"/>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800" w:type="dxa"/>
            <w:vAlign w:val="bottom"/>
            <w:tcBorders>
              <w:top w:val="single" w:sz="8" w:color="CCEEFF"/>
            </w:tcBorders>
            <w:gridSpan w:val="4"/>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14</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80" w:type="dxa"/>
            <w:vAlign w:val="bottom"/>
            <w:tcBorders>
              <w:bottom w:val="single" w:sz="8" w:color="CCEEFF"/>
            </w:tcBorders>
            <w:gridSpan w:val="5"/>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49</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Item 3. Qualitative and Quantitative Disclosures about Market Risk</w:t>
            </w:r>
          </w:p>
        </w:tc>
        <w:tc>
          <w:tcPr>
            <w:tcW w:w="620" w:type="dxa"/>
            <w:vAlign w:val="bottom"/>
            <w:gridSpan w:val="3"/>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FF"/>
                <w:w w:val="99"/>
              </w:rPr>
              <w:t>88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7220" w:type="dxa"/>
            <w:vAlign w:val="bottom"/>
            <w:tcBorders>
              <w:top w:val="single" w:sz="8" w:color="CCEEFF"/>
            </w:tcBorders>
            <w:gridSpan w:val="10"/>
          </w:tcPr>
          <w:p>
            <w:pPr>
              <w:jc w:val="center"/>
              <w:ind w:right="178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200" w:type="dxa"/>
            <w:vAlign w:val="bottom"/>
            <w:tcBorders>
              <w:bottom w:val="single" w:sz="8" w:color="CCEEFF"/>
            </w:tcBorders>
            <w:gridSpan w:val="13"/>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90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620" w:type="dxa"/>
            <w:vAlign w:val="bottom"/>
            <w:gridSpan w:val="3"/>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200" w:type="dxa"/>
            <w:vAlign w:val="bottom"/>
            <w:tcBorders>
              <w:top w:val="single" w:sz="8" w:color="CCEEFF"/>
            </w:tcBorders>
            <w:gridSpan w:val="7"/>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91</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FF"/>
                <w:w w:val="99"/>
              </w:rPr>
              <w:t>91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7780" w:type="dxa"/>
            <w:vAlign w:val="bottom"/>
            <w:tcBorders>
              <w:top w:val="single" w:sz="8" w:color="CCEEFF"/>
            </w:tcBorders>
            <w:gridSpan w:val="11"/>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91</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FF"/>
                <w:w w:val="99"/>
              </w:rPr>
              <w:t>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940" w:type="dxa"/>
            <w:vAlign w:val="bottom"/>
            <w:tcBorders>
              <w:top w:val="single" w:sz="8" w:color="CCEEFF"/>
            </w:tcBorders>
            <w:gridSpan w:val="17"/>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93</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3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indicated or the context otherwise requires:</w:t>
      </w:r>
    </w:p>
    <w:p>
      <w:pPr>
        <w:spacing w:after="0" w:line="225" w:lineRule="exact"/>
        <w:rPr>
          <w:sz w:val="20"/>
          <w:szCs w:val="20"/>
          <w:color w:val="auto"/>
        </w:rPr>
      </w:pPr>
    </w:p>
    <w:p>
      <w:pPr>
        <w:ind w:left="660" w:right="104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Group Inc.</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SSG</w:t>
      </w:r>
      <w:r>
        <w:rPr>
          <w:rFonts w:ascii="Times New Roman" w:cs="Times New Roman" w:eastAsia="Times New Roman" w:hAnsi="Times New Roman"/>
          <w:sz w:val="20"/>
          <w:szCs w:val="20"/>
          <w:color w:val="auto"/>
        </w:rPr>
        <w:t>” refers solely to StepStone Group Inc., a Delaware corporation, and not to any of its subsidiaries;</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Partnership</w:t>
      </w:r>
      <w:r>
        <w:rPr>
          <w:rFonts w:ascii="Times New Roman" w:cs="Times New Roman" w:eastAsia="Times New Roman" w:hAnsi="Times New Roman"/>
          <w:sz w:val="20"/>
          <w:szCs w:val="20"/>
          <w:color w:val="auto"/>
        </w:rPr>
        <w:t>” refers solely to StepStone Group LP, a Delaware limited partnership, and not to any of its subsidiaries;</w:t>
      </w:r>
    </w:p>
    <w:p>
      <w:pPr>
        <w:spacing w:after="0" w:line="229" w:lineRule="exact"/>
        <w:rPr>
          <w:rFonts w:ascii="Times New Roman" w:cs="Times New Roman" w:eastAsia="Times New Roman" w:hAnsi="Times New Roman"/>
          <w:sz w:val="20"/>
          <w:szCs w:val="20"/>
          <w:color w:val="auto"/>
        </w:rPr>
      </w:pPr>
    </w:p>
    <w:p>
      <w:pPr>
        <w:ind w:left="660" w:right="60" w:hanging="4"/>
        <w:spacing w:after="0" w:line="273"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Partner</w:t>
      </w:r>
      <w:r>
        <w:rPr>
          <w:rFonts w:ascii="Times New Roman" w:cs="Times New Roman" w:eastAsia="Times New Roman" w:hAnsi="Times New Roman"/>
          <w:sz w:val="20"/>
          <w:szCs w:val="20"/>
          <w:color w:val="auto"/>
        </w:rPr>
        <w:t>” refers to StepStone Group Holdings LLC, a Delaware limited liability company, and the sole general partner of the Partnership;</w:t>
      </w:r>
    </w:p>
    <w:p>
      <w:pPr>
        <w:spacing w:after="0" w:line="165" w:lineRule="exact"/>
        <w:rPr>
          <w:rFonts w:ascii="Times New Roman" w:cs="Times New Roman" w:eastAsia="Times New Roman" w:hAnsi="Times New Roman"/>
          <w:sz w:val="20"/>
          <w:szCs w:val="20"/>
          <w:color w:val="auto"/>
        </w:rPr>
      </w:pPr>
    </w:p>
    <w:p>
      <w:pPr>
        <w:ind w:left="66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 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StepStone</w:t>
      </w:r>
      <w:r>
        <w:rPr>
          <w:rFonts w:ascii="Times New Roman" w:cs="Times New Roman" w:eastAsia="Times New Roman" w:hAnsi="Times New Roman"/>
          <w:sz w:val="20"/>
          <w:szCs w:val="20"/>
          <w:color w:val="auto"/>
        </w:rPr>
        <w:t>” and similar terms refer to SSG and its consolidated subsidiaries, including the Partnership;</w:t>
      </w:r>
    </w:p>
    <w:p>
      <w:pPr>
        <w:spacing w:after="0" w:line="138" w:lineRule="exact"/>
        <w:rPr>
          <w:rFonts w:ascii="Times New Roman" w:cs="Times New Roman" w:eastAsia="Times New Roman" w:hAnsi="Times New Roman"/>
          <w:sz w:val="20"/>
          <w:szCs w:val="20"/>
          <w:color w:val="auto"/>
        </w:rPr>
      </w:pPr>
    </w:p>
    <w:p>
      <w:pPr>
        <w:ind w:left="660" w:right="10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Funds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our funds</w:t>
      </w:r>
      <w:r>
        <w:rPr>
          <w:rFonts w:ascii="Times New Roman" w:cs="Times New Roman" w:eastAsia="Times New Roman" w:hAnsi="Times New Roman"/>
          <w:sz w:val="20"/>
          <w:szCs w:val="20"/>
          <w:color w:val="auto"/>
        </w:rPr>
        <w:t>” refer to our focused commingled funds and our separately managed accounts for which we act as both investment adviser and general partner or managing member;</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Greenspring acquisition</w:t>
      </w:r>
      <w:r>
        <w:rPr>
          <w:rFonts w:ascii="Times New Roman" w:cs="Times New Roman" w:eastAsia="Times New Roman" w:hAnsi="Times New Roman"/>
          <w:sz w:val="20"/>
          <w:szCs w:val="20"/>
          <w:color w:val="auto"/>
        </w:rPr>
        <w:t>” refer to the acquisition of Greenspring Associates, Inc. and certain of its affiliates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Greenspring</w:t>
      </w:r>
      <w:r>
        <w:rPr>
          <w:rFonts w:ascii="Times New Roman" w:cs="Times New Roman" w:eastAsia="Times New Roman" w:hAnsi="Times New Roman"/>
          <w:sz w:val="20"/>
          <w:szCs w:val="20"/>
          <w:color w:val="auto"/>
        </w:rPr>
        <w:t>”) that was completed on September 20, 2021;</w:t>
      </w:r>
    </w:p>
    <w:p>
      <w:pPr>
        <w:spacing w:after="0" w:line="210" w:lineRule="exact"/>
        <w:rPr>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FY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fiscal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are to the fiscal year ended March 31 of the applicable year;</w:t>
      </w:r>
    </w:p>
    <w:p>
      <w:pPr>
        <w:spacing w:after="0" w:line="215" w:lineRule="exact"/>
        <w:rPr>
          <w:rFonts w:ascii="Times New Roman" w:cs="Times New Roman" w:eastAsia="Times New Roman" w:hAnsi="Times New Roman"/>
          <w:sz w:val="20"/>
          <w:szCs w:val="20"/>
          <w:color w:val="auto"/>
        </w:rPr>
      </w:pPr>
    </w:p>
    <w:p>
      <w:pPr>
        <w:ind w:left="660" w:right="44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Reorganization</w:t>
      </w:r>
      <w:r>
        <w:rPr>
          <w:rFonts w:ascii="Times New Roman" w:cs="Times New Roman" w:eastAsia="Times New Roman" w:hAnsi="Times New Roman"/>
          <w:sz w:val="20"/>
          <w:szCs w:val="20"/>
          <w:color w:val="auto"/>
        </w:rPr>
        <w:t>” refer to the series of transactions immediately before the Company’s initial public offering (“</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which was completed on September 18, 2020;</w:t>
      </w:r>
    </w:p>
    <w:p>
      <w:pPr>
        <w:spacing w:after="0" w:line="138" w:lineRule="exact"/>
        <w:rPr>
          <w:rFonts w:ascii="Times New Roman" w:cs="Times New Roman" w:eastAsia="Times New Roman" w:hAnsi="Times New Roman"/>
          <w:sz w:val="20"/>
          <w:szCs w:val="20"/>
          <w:color w:val="auto"/>
        </w:rPr>
      </w:pPr>
    </w:p>
    <w:p>
      <w:pPr>
        <w:ind w:left="660" w:right="38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private markets allocations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total capital responsibility</w:t>
      </w:r>
      <w:r>
        <w:rPr>
          <w:rFonts w:ascii="Times New Roman" w:cs="Times New Roman" w:eastAsia="Times New Roman" w:hAnsi="Times New Roman"/>
          <w:sz w:val="20"/>
          <w:szCs w:val="20"/>
          <w:color w:val="auto"/>
        </w:rPr>
        <w:t>” refer to the aggregate amount of our assets under management (“</w:t>
      </w:r>
      <w:r>
        <w:rPr>
          <w:rFonts w:ascii="Times New Roman" w:cs="Times New Roman" w:eastAsia="Times New Roman" w:hAnsi="Times New Roman"/>
          <w:sz w:val="20"/>
          <w:szCs w:val="20"/>
          <w:b w:val="1"/>
          <w:bCs w:val="1"/>
          <w:color w:val="auto"/>
        </w:rPr>
        <w:t>AUM</w:t>
      </w:r>
      <w:r>
        <w:rPr>
          <w:rFonts w:ascii="Times New Roman" w:cs="Times New Roman" w:eastAsia="Times New Roman" w:hAnsi="Times New Roman"/>
          <w:sz w:val="20"/>
          <w:szCs w:val="20"/>
          <w:color w:val="auto"/>
        </w:rPr>
        <w:t>”) and our assets under advisement (“</w:t>
      </w:r>
      <w:r>
        <w:rPr>
          <w:rFonts w:ascii="Times New Roman" w:cs="Times New Roman" w:eastAsia="Times New Roman" w:hAnsi="Times New Roman"/>
          <w:sz w:val="20"/>
          <w:szCs w:val="20"/>
          <w:b w:val="1"/>
          <w:bCs w:val="1"/>
          <w:color w:val="auto"/>
        </w:rPr>
        <w:t>AUA”</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high-net-worth</w:t>
      </w:r>
      <w:r>
        <w:rPr>
          <w:rFonts w:ascii="Times New Roman" w:cs="Times New Roman" w:eastAsia="Times New Roman" w:hAnsi="Times New Roman"/>
          <w:sz w:val="20"/>
          <w:szCs w:val="20"/>
          <w:color w:val="auto"/>
        </w:rPr>
        <w:t>” individuals refer to individuals with net worth of over $5 million, excluding primary residence;</w:t>
      </w:r>
    </w:p>
    <w:p>
      <w:pPr>
        <w:spacing w:after="0" w:line="215" w:lineRule="exact"/>
        <w:rPr>
          <w:rFonts w:ascii="Times New Roman" w:cs="Times New Roman" w:eastAsia="Times New Roman" w:hAnsi="Times New Roman"/>
          <w:sz w:val="20"/>
          <w:szCs w:val="20"/>
          <w:color w:val="auto"/>
        </w:rPr>
      </w:pPr>
    </w:p>
    <w:p>
      <w:pPr>
        <w:ind w:left="660" w:right="22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mass affluent</w:t>
      </w:r>
      <w:r>
        <w:rPr>
          <w:rFonts w:ascii="Times New Roman" w:cs="Times New Roman" w:eastAsia="Times New Roman" w:hAnsi="Times New Roman"/>
          <w:sz w:val="20"/>
          <w:szCs w:val="20"/>
          <w:color w:val="auto"/>
        </w:rPr>
        <w:t>” individuals refer to individuals with annual income over $200,000 or net worth between $1 million and $5 million, excluding primary residence;</w:t>
      </w:r>
    </w:p>
    <w:p>
      <w:pPr>
        <w:spacing w:after="0" w:line="138" w:lineRule="exact"/>
        <w:rPr>
          <w:rFonts w:ascii="Times New Roman" w:cs="Times New Roman" w:eastAsia="Times New Roman" w:hAnsi="Times New Roman"/>
          <w:sz w:val="20"/>
          <w:szCs w:val="20"/>
          <w:color w:val="auto"/>
        </w:rPr>
      </w:pPr>
    </w:p>
    <w:p>
      <w:pPr>
        <w:ind w:left="660" w:right="10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Consolidated Funds</w:t>
      </w:r>
      <w:r>
        <w:rPr>
          <w:rFonts w:ascii="Times New Roman" w:cs="Times New Roman" w:eastAsia="Times New Roman" w:hAnsi="Times New Roman"/>
          <w:sz w:val="20"/>
          <w:szCs w:val="20"/>
          <w:color w:val="auto"/>
        </w:rPr>
        <w:t>” refer to the StepStone Funds that we are required to consolidate as of the applicable reporting period; and</w:t>
      </w:r>
    </w:p>
    <w:p>
      <w:pPr>
        <w:spacing w:after="0" w:line="138" w:lineRule="exact"/>
        <w:rPr>
          <w:rFonts w:ascii="Times New Roman" w:cs="Times New Roman" w:eastAsia="Times New Roman" w:hAnsi="Times New Roman"/>
          <w:sz w:val="20"/>
          <w:szCs w:val="20"/>
          <w:color w:val="auto"/>
        </w:rPr>
      </w:pPr>
    </w:p>
    <w:p>
      <w:pPr>
        <w:ind w:left="660" w:right="200" w:hanging="4"/>
        <w:spacing w:after="0" w:line="270"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SRA</w:t>
      </w:r>
      <w:r>
        <w:rPr>
          <w:rFonts w:ascii="Times New Roman" w:cs="Times New Roman" w:eastAsia="Times New Roman" w:hAnsi="Times New Roman"/>
          <w:sz w:val="20"/>
          <w:szCs w:val="20"/>
          <w:color w:val="auto"/>
        </w:rPr>
        <w:t>” refer to StepStone Group Real Assets LP, references to “</w:t>
      </w:r>
      <w:r>
        <w:rPr>
          <w:rFonts w:ascii="Times New Roman" w:cs="Times New Roman" w:eastAsia="Times New Roman" w:hAnsi="Times New Roman"/>
          <w:sz w:val="20"/>
          <w:szCs w:val="20"/>
          <w:b w:val="1"/>
          <w:bCs w:val="1"/>
          <w:color w:val="auto"/>
        </w:rPr>
        <w:t>SRE</w:t>
      </w:r>
      <w:r>
        <w:rPr>
          <w:rFonts w:ascii="Times New Roman" w:cs="Times New Roman" w:eastAsia="Times New Roman" w:hAnsi="Times New Roman"/>
          <w:sz w:val="20"/>
          <w:szCs w:val="20"/>
          <w:color w:val="auto"/>
        </w:rPr>
        <w:t>” refer to StepStone Group Real Estate LP, references to “</w:t>
      </w:r>
      <w:r>
        <w:rPr>
          <w:rFonts w:ascii="Times New Roman" w:cs="Times New Roman" w:eastAsia="Times New Roman" w:hAnsi="Times New Roman"/>
          <w:sz w:val="20"/>
          <w:szCs w:val="20"/>
          <w:b w:val="1"/>
          <w:bCs w:val="1"/>
          <w:color w:val="auto"/>
        </w:rPr>
        <w:t>SPD</w:t>
      </w:r>
      <w:r>
        <w:rPr>
          <w:rFonts w:ascii="Times New Roman" w:cs="Times New Roman" w:eastAsia="Times New Roman" w:hAnsi="Times New Roman"/>
          <w:sz w:val="20"/>
          <w:szCs w:val="20"/>
          <w:color w:val="auto"/>
        </w:rPr>
        <w:t>” refer to StepStone Group Private Debt AG, and references to “</w:t>
      </w:r>
      <w:r>
        <w:rPr>
          <w:rFonts w:ascii="Times New Roman" w:cs="Times New Roman" w:eastAsia="Times New Roman" w:hAnsi="Times New Roman"/>
          <w:sz w:val="20"/>
          <w:szCs w:val="20"/>
          <w:b w:val="1"/>
          <w:bCs w:val="1"/>
          <w:color w:val="auto"/>
        </w:rPr>
        <w:t>SPW</w:t>
      </w:r>
      <w:r>
        <w:rPr>
          <w:rFonts w:ascii="Times New Roman" w:cs="Times New Roman" w:eastAsia="Times New Roman" w:hAnsi="Times New Roman"/>
          <w:sz w:val="20"/>
          <w:szCs w:val="20"/>
          <w:color w:val="auto"/>
        </w:rPr>
        <w:t>” refer to StepStone Group Private Wealth LLC.</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TRADEMARKS, SERVICE MARKS AND TRADE NAMES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19"/>
          <w:szCs w:val="19"/>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the favorability of the private markets fundraising environment, successful integration of acquired businesses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2025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0"/>
              </w:rPr>
              <w:t>As of</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September 30, 2025</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0" w:type="dxa"/>
            <w:vAlign w:val="bottom"/>
          </w:tcPr>
          <w:p>
            <w:pPr>
              <w:spacing w:after="0"/>
              <w:rPr>
                <w:sz w:val="1"/>
                <w:szCs w:val="1"/>
                <w:color w:val="auto"/>
              </w:rPr>
            </w:pPr>
          </w:p>
        </w:tc>
      </w:tr>
      <w:tr>
        <w:trPr>
          <w:trHeight w:val="16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229,824</w:t>
            </w:r>
          </w:p>
        </w:tc>
        <w:tc>
          <w:tcPr>
            <w:tcW w:w="4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244,791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and accounts receivable</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81,435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80,871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117,621</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92,723</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in funds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210,162</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183,694</w:t>
            </w:r>
          </w:p>
        </w:tc>
        <w:tc>
          <w:tcPr>
            <w:tcW w:w="0" w:type="dxa"/>
            <w:vAlign w:val="bottom"/>
          </w:tcPr>
          <w:p>
            <w:pPr>
              <w:spacing w:after="0"/>
              <w:rPr>
                <w:sz w:val="1"/>
                <w:szCs w:val="1"/>
                <w:color w:val="auto"/>
              </w:rPr>
            </w:pPr>
          </w:p>
        </w:tc>
      </w:tr>
      <w:tr>
        <w:trPr>
          <w:trHeight w:val="170"/>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carried interest allocations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1,733,922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1,495,664</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investments in funds and accrued carried interest allocations</w:t>
            </w:r>
            <w:r>
              <w:rPr>
                <w:rFonts w:ascii="Times New Roman" w:cs="Times New Roman" w:eastAsia="Times New Roman" w:hAnsi="Times New Roman"/>
                <w:sz w:val="16"/>
                <w:szCs w:val="16"/>
                <w:color w:val="auto"/>
                <w:vertAlign w:val="superscript"/>
              </w:rPr>
              <w:t>(1)</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679,470</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629,228</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524,320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382,886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right-of-use assets, net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86,646</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91,841</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 and receivables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57,661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62,869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Intangibles, net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243,458</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263,872</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Assets of Consolidated Funds: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136,353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44,511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647,827</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415,011</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2,335</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17,688</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5,332,107</w:t>
            </w: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4,586,693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93,310</w:t>
            </w:r>
          </w:p>
        </w:tc>
        <w:tc>
          <w:tcPr>
            <w:tcW w:w="460" w:type="dxa"/>
            <w:vAlign w:val="bottom"/>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89,731</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1,826,201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736,695</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carried interest-related compensation</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891,485</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757,968</w:t>
            </w:r>
          </w:p>
        </w:tc>
        <w:tc>
          <w:tcPr>
            <w:tcW w:w="0" w:type="dxa"/>
            <w:vAlign w:val="bottom"/>
          </w:tcPr>
          <w:p>
            <w:pPr>
              <w:spacing w:after="0"/>
              <w:rPr>
                <w:sz w:val="1"/>
                <w:szCs w:val="1"/>
                <w:color w:val="auto"/>
              </w:rPr>
            </w:pPr>
          </w:p>
        </w:tc>
      </w:tr>
      <w:tr>
        <w:trPr>
          <w:trHeight w:val="176"/>
        </w:trPr>
        <w:tc>
          <w:tcPr>
            <w:tcW w:w="81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accrued carried interest-related compensation</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544,919</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495,739</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346,952</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331,821</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109,458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113,519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obligations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269,920</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269,268</w:t>
            </w: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Liabilities of Consolidated Funds:</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liabilities</w:t>
            </w: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24,076</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17,580</w:t>
            </w:r>
          </w:p>
        </w:tc>
        <w:tc>
          <w:tcPr>
            <w:tcW w:w="0" w:type="dxa"/>
            <w:vAlign w:val="bottom"/>
          </w:tcPr>
          <w:p>
            <w:pPr>
              <w:spacing w:after="0"/>
              <w:rPr>
                <w:sz w:val="1"/>
                <w:szCs w:val="1"/>
                <w:color w:val="auto"/>
              </w:rPr>
            </w:pPr>
          </w:p>
        </w:tc>
      </w:tr>
      <w:tr>
        <w:trPr>
          <w:trHeight w:val="163"/>
        </w:trPr>
        <w:tc>
          <w:tcPr>
            <w:tcW w:w="814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4,106,321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2,812,321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14)</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Consolidated Funds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671,705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377,897</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subsidiaries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7,290</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6,327</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1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7"/>
              </w:rPr>
              <w:t>Class A common stock, $0.001 par value, 650,000,000 authorized; 79,124,247 and 76,761,399 issued and outstanding as of September 30, 2025 and March 31,</w:t>
            </w: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2025, respectively</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21"/>
        </w:trPr>
        <w:tc>
          <w:tcPr>
            <w:tcW w:w="81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Class B common stock, $0.001 par value, 125,000,000 authorized; 39,133,716 and 39,656,954 issued and outstanding as of September 30, 2025 and March 31,</w:t>
            </w: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2025, respectively</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485,919</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421,057</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(720,431)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(242,546)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0" w:type="dxa"/>
            <w:vAlign w:val="bottom"/>
          </w:tcPr>
          <w:p>
            <w:pPr>
              <w:spacing w:after="0"/>
              <w:rPr>
                <w:sz w:val="1"/>
                <w:szCs w:val="1"/>
                <w:color w:val="auto"/>
              </w:rPr>
            </w:pPr>
          </w:p>
        </w:tc>
      </w:tr>
      <w:tr>
        <w:trPr>
          <w:trHeight w:val="163"/>
        </w:trPr>
        <w:tc>
          <w:tcPr>
            <w:tcW w:w="81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StepStone Group Inc. stockholders’ equity</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(233,459)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179,356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 in subsidiaries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927,728</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1,056,510</w:t>
            </w:r>
          </w:p>
        </w:tc>
        <w:tc>
          <w:tcPr>
            <w:tcW w:w="0" w:type="dxa"/>
            <w:vAlign w:val="bottom"/>
          </w:tcPr>
          <w:p>
            <w:pPr>
              <w:spacing w:after="0"/>
              <w:rPr>
                <w:sz w:val="1"/>
                <w:szCs w:val="1"/>
                <w:color w:val="auto"/>
              </w:rPr>
            </w:pPr>
          </w:p>
        </w:tc>
      </w:tr>
      <w:tr>
        <w:trPr>
          <w:trHeight w:val="175"/>
        </w:trPr>
        <w:tc>
          <w:tcPr>
            <w:tcW w:w="81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Non-controlling interests in legacy Greenspring entities</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134,551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133,489</w:t>
            </w: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 in the Partnership</w:t>
            </w: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(282,029)</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20,793</w:t>
            </w:r>
          </w:p>
        </w:tc>
        <w:tc>
          <w:tcPr>
            <w:tcW w:w="0" w:type="dxa"/>
            <w:vAlign w:val="bottom"/>
          </w:tcPr>
          <w:p>
            <w:pPr>
              <w:spacing w:after="0"/>
              <w:rPr>
                <w:sz w:val="1"/>
                <w:szCs w:val="1"/>
                <w:color w:val="auto"/>
              </w:rPr>
            </w:pPr>
          </w:p>
        </w:tc>
      </w:tr>
      <w:tr>
        <w:trPr>
          <w:trHeight w:val="163"/>
        </w:trPr>
        <w:tc>
          <w:tcPr>
            <w:tcW w:w="814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stockholders’ equity</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546,791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1,390,148</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5,332,107</w:t>
            </w: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4,586,693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amounts attributable to consolidated VIEs for which the Company did not acquire any direct economic interests. See notes 2 and 5 for more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 w:name="page7"/>
    <w:bookmarkEnd w:id="6"/>
    <w:p>
      <w:pPr>
        <w:ind w:left="504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51"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The following presents the portion of the condensed consolidated balances presented above attributable to consolidated variable interest entities.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Pr>
          <w:p>
            <w:pPr>
              <w:spacing w:after="0"/>
              <w:rPr>
                <w:sz w:val="18"/>
                <w:szCs w:val="18"/>
                <w:color w:val="auto"/>
              </w:rPr>
            </w:pPr>
          </w:p>
        </w:tc>
        <w:tc>
          <w:tcPr>
            <w:tcW w:w="1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1"/>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73,040</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43,830</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679,470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629,228</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136,353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44,511</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647,827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415,011</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17,688</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1,760,343</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1,376,034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1,764,869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699,015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accrued carried interest-related compensation</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544,919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495,739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24,076</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17,580</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2,409,981</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1,278,704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 (Loss) (Unaudited)</w:t>
      </w:r>
    </w:p>
    <w:p>
      <w:pPr>
        <w:spacing w:after="0" w:line="1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00" w:type="dxa"/>
            <w:vAlign w:val="bottom"/>
          </w:tcPr>
          <w:p>
            <w:pPr>
              <w:spacing w:after="0"/>
              <w:rPr>
                <w:sz w:val="15"/>
                <w:szCs w:val="15"/>
                <w:color w:val="auto"/>
              </w:rPr>
            </w:pPr>
          </w:p>
        </w:tc>
        <w:tc>
          <w:tcPr>
            <w:tcW w:w="2520" w:type="dxa"/>
            <w:vAlign w:val="bottom"/>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Six Months Ended September 30,</w:t>
            </w:r>
          </w:p>
        </w:tc>
      </w:tr>
      <w:tr>
        <w:trPr>
          <w:trHeight w:val="171"/>
        </w:trPr>
        <w:tc>
          <w:tcPr>
            <w:tcW w:w="53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0"/>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215,489</w:t>
            </w:r>
          </w:p>
        </w:tc>
        <w:tc>
          <w:tcPr>
            <w:tcW w:w="24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184,758</w:t>
            </w:r>
          </w:p>
        </w:tc>
        <w:tc>
          <w:tcPr>
            <w:tcW w:w="26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426,662</w:t>
            </w:r>
          </w:p>
        </w:tc>
        <w:tc>
          <w:tcPr>
            <w:tcW w:w="26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362,773</w:t>
            </w:r>
          </w:p>
        </w:tc>
      </w:tr>
      <w:tr>
        <w:trPr>
          <w:trHeight w:val="18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0"/>
        </w:trPr>
        <w:tc>
          <w:tcPr>
            <w:tcW w:w="5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Incentive fees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3,996</w:t>
            </w:r>
          </w:p>
        </w:tc>
      </w:tr>
      <w:tr>
        <w:trPr>
          <w:trHeight w:val="181"/>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0"/>
        </w:trPr>
        <w:tc>
          <w:tcPr>
            <w:tcW w:w="534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58,878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83,282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59,436</w:t>
            </w:r>
          </w:p>
        </w:tc>
      </w:tr>
      <w:tr>
        <w:trPr>
          <w:trHeight w:val="181"/>
        </w:trPr>
        <w:tc>
          <w:tcPr>
            <w:tcW w:w="5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147,813</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52,215</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236,696</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27,045</w:t>
            </w:r>
          </w:p>
        </w:tc>
      </w:tr>
      <w:tr>
        <w:trPr>
          <w:trHeight w:val="163"/>
        </w:trPr>
        <w:tc>
          <w:tcPr>
            <w:tcW w:w="5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206,691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69,847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319,978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86,481</w:t>
            </w:r>
          </w:p>
        </w:tc>
      </w:tr>
      <w:tr>
        <w:trPr>
          <w:trHeight w:val="181"/>
        </w:trPr>
        <w:tc>
          <w:tcPr>
            <w:tcW w:w="534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27,143</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13,917</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66,780</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4,828</w:t>
            </w:r>
          </w:p>
        </w:tc>
      </w:tr>
      <w:tr>
        <w:trPr>
          <w:trHeight w:val="163"/>
        </w:trPr>
        <w:tc>
          <w:tcPr>
            <w:tcW w:w="5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performance fees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238,736</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86,919</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391,850</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95,305</w:t>
            </w:r>
          </w:p>
        </w:tc>
      </w:tr>
      <w:tr>
        <w:trPr>
          <w:trHeight w:val="175"/>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454,225</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271,677</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818,512</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458,078</w:t>
            </w:r>
          </w:p>
        </w:tc>
      </w:tr>
      <w:tr>
        <w:trPr>
          <w:trHeight w:val="151"/>
        </w:trPr>
        <w:tc>
          <w:tcPr>
            <w:tcW w:w="53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0"/>
        </w:trPr>
        <w:tc>
          <w:tcPr>
            <w:tcW w:w="5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100,348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82,871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196,333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161,095</w:t>
            </w:r>
          </w:p>
        </w:tc>
      </w:tr>
      <w:tr>
        <w:trPr>
          <w:trHeight w:val="181"/>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884,470</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37,332</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1,073,188</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56,511</w:t>
            </w:r>
          </w:p>
        </w:tc>
      </w:tr>
      <w:tr>
        <w:trPr>
          <w:trHeight w:val="170"/>
        </w:trPr>
        <w:tc>
          <w:tcPr>
            <w:tcW w:w="5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1"/>
        </w:trPr>
        <w:tc>
          <w:tcPr>
            <w:tcW w:w="5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30,995</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8,767</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42,700</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29,615</w:t>
            </w:r>
          </w:p>
        </w:tc>
      </w:tr>
      <w:tr>
        <w:trPr>
          <w:trHeight w:val="170"/>
        </w:trPr>
        <w:tc>
          <w:tcPr>
            <w:tcW w:w="53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88,727</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27,748</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133,084</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16,825</w:t>
            </w:r>
          </w:p>
        </w:tc>
      </w:tr>
      <w:tr>
        <w:trPr>
          <w:trHeight w:val="175"/>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119,722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36,515</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175,784</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46,440</w:t>
            </w:r>
          </w:p>
        </w:tc>
      </w:tr>
      <w:tr>
        <w:trPr>
          <w:trHeight w:val="175"/>
        </w:trPr>
        <w:tc>
          <w:tcPr>
            <w:tcW w:w="5340" w:type="dxa"/>
            <w:vAlign w:val="bottom"/>
            <w:tcBorders>
              <w:bottom w:val="single" w:sz="8" w:color="CCEEFF"/>
            </w:tcBorders>
          </w:tcPr>
          <w:p>
            <w:pPr>
              <w:ind w:left="400"/>
              <w:spacing w:after="0" w:line="175" w:lineRule="exact"/>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27,143</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13,917</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66,780</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4,828</w:t>
            </w:r>
          </w:p>
        </w:tc>
      </w:tr>
      <w:tr>
        <w:trPr>
          <w:trHeight w:val="16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1,131,683</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170,635</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1,512,085</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268,874</w:t>
            </w:r>
          </w:p>
        </w:tc>
      </w:tr>
      <w:tr>
        <w:trPr>
          <w:trHeight w:val="17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45,292</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50,061</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88,206</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91,072</w:t>
            </w:r>
          </w:p>
        </w:tc>
      </w:tr>
      <w:tr>
        <w:trPr>
          <w:trHeight w:val="175"/>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1,176,975</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220,696</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1,600,291</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359,946</w:t>
            </w:r>
          </w:p>
        </w:tc>
      </w:tr>
      <w:tr>
        <w:trPr>
          <w:trHeight w:val="151"/>
        </w:trPr>
        <w:tc>
          <w:tcPr>
            <w:tcW w:w="53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(loss)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4,646</w:t>
            </w:r>
          </w:p>
        </w:tc>
      </w:tr>
      <w:tr>
        <w:trPr>
          <w:trHeight w:val="175"/>
        </w:trPr>
        <w:tc>
          <w:tcPr>
            <w:tcW w:w="53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investment income (loss)</w:t>
            </w:r>
            <w:r>
              <w:rPr>
                <w:rFonts w:ascii="Times New Roman" w:cs="Times New Roman" w:eastAsia="Times New Roman" w:hAnsi="Times New Roman"/>
                <w:sz w:val="16"/>
                <w:szCs w:val="16"/>
                <w:color w:val="auto"/>
                <w:vertAlign w:val="superscript"/>
              </w:rPr>
              <w:t>(1)</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(5,286)</w:t>
            </w:r>
          </w:p>
        </w:tc>
      </w:tr>
      <w:tr>
        <w:trPr>
          <w:trHeight w:val="17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46,044</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8,206</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67,715</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15,841</w:t>
            </w:r>
          </w:p>
        </w:tc>
      </w:tr>
      <w:tr>
        <w:trPr>
          <w:trHeight w:val="170"/>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5,073</w:t>
            </w:r>
          </w:p>
        </w:tc>
      </w:tr>
      <w:tr>
        <w:trPr>
          <w:trHeight w:val="18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(4,425)</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(8,959)</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(6,502)</w:t>
            </w:r>
          </w:p>
        </w:tc>
      </w:tr>
      <w:tr>
        <w:trPr>
          <w:trHeight w:val="17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7,130</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w:t>
            </w:r>
          </w:p>
        </w:tc>
      </w:tr>
      <w:tr>
        <w:trPr>
          <w:trHeight w:val="175"/>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other income</w:t>
            </w: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46,924</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6,907</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85,603</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14,598</w:t>
            </w:r>
          </w:p>
        </w:tc>
      </w:tr>
      <w:tr>
        <w:trPr>
          <w:trHeight w:val="163"/>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(675,826)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57,888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(696,176)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112,730</w:t>
            </w:r>
          </w:p>
        </w:tc>
      </w:tr>
      <w:tr>
        <w:trPr>
          <w:trHeight w:val="18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(100,336)</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(108,675)</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11,547</w:t>
            </w:r>
          </w:p>
        </w:tc>
      </w:tr>
      <w:tr>
        <w:trPr>
          <w:trHeight w:val="163"/>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(575,490)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53,138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(587,501)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101,183</w:t>
            </w:r>
          </w:p>
        </w:tc>
      </w:tr>
      <w:tr>
        <w:trPr>
          <w:trHeight w:val="181"/>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19,125</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37,859</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35,740</w:t>
            </w:r>
          </w:p>
        </w:tc>
      </w:tr>
      <w:tr>
        <w:trPr>
          <w:trHeight w:val="175"/>
        </w:trPr>
        <w:tc>
          <w:tcPr>
            <w:tcW w:w="5340" w:type="dxa"/>
            <w:vAlign w:val="bottom"/>
          </w:tcPr>
          <w:p>
            <w:pPr>
              <w:ind w:left="400"/>
              <w:spacing w:after="0" w:line="175" w:lineRule="exact"/>
              <w:rPr>
                <w:sz w:val="20"/>
                <w:szCs w:val="20"/>
                <w:color w:val="auto"/>
              </w:rPr>
            </w:pPr>
            <w:r>
              <w:rPr>
                <w:rFonts w:ascii="Times New Roman" w:cs="Times New Roman" w:eastAsia="Times New Roman" w:hAnsi="Times New Roman"/>
                <w:sz w:val="13"/>
                <w:szCs w:val="13"/>
                <w:color w:val="auto"/>
                <w:w w:val="98"/>
              </w:rPr>
              <w:t>Less: Net income (loss) attributable to non-controlling interests in legacy Greenspring entities</w:t>
            </w:r>
            <w:r>
              <w:rPr>
                <w:rFonts w:ascii="Times New Roman" w:cs="Times New Roman" w:eastAsia="Times New Roman" w:hAnsi="Times New Roman"/>
                <w:sz w:val="16"/>
                <w:szCs w:val="16"/>
                <w:color w:val="auto"/>
                <w:w w:val="98"/>
                <w:vertAlign w:val="superscript"/>
              </w:rPr>
              <w:t>(1)</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(5,286)</w:t>
            </w:r>
          </w:p>
        </w:tc>
      </w:tr>
      <w:tr>
        <w:trPr>
          <w:trHeight w:val="175"/>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in the Partnership</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(259,946)</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13,580</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(287,068)</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26,904</w:t>
            </w:r>
          </w:p>
        </w:tc>
      </w:tr>
      <w:tr>
        <w:trPr>
          <w:trHeight w:val="170"/>
        </w:trPr>
        <w:tc>
          <w:tcPr>
            <w:tcW w:w="5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39,659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60,616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12,196</w:t>
            </w:r>
          </w:p>
        </w:tc>
      </w:tr>
      <w:tr>
        <w:trPr>
          <w:trHeight w:val="175"/>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subsidiaries</w:t>
            </w: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w:t>
            </w:r>
          </w:p>
        </w:tc>
      </w:tr>
      <w:tr>
        <w:trPr>
          <w:trHeight w:val="175"/>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StepStone Group Inc.</w:t>
            </w: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(366,142)</w:t>
            </w:r>
          </w:p>
        </w:tc>
        <w:tc>
          <w:tcPr>
            <w:tcW w:w="24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17,632</w:t>
            </w:r>
          </w:p>
        </w:tc>
        <w:tc>
          <w:tcPr>
            <w:tcW w:w="26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(404,566)</w:t>
            </w:r>
          </w:p>
        </w:tc>
        <w:tc>
          <w:tcPr>
            <w:tcW w:w="26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30,960</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170"/>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per share of Class A common stock:</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1"/>
        </w:trPr>
        <w:tc>
          <w:tcPr>
            <w:tcW w:w="5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0.46</w:t>
            </w:r>
          </w:p>
        </w:tc>
      </w:tr>
      <w:tr>
        <w:trPr>
          <w:trHeight w:val="170"/>
        </w:trPr>
        <w:tc>
          <w:tcPr>
            <w:tcW w:w="53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24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26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26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0.46</w:t>
            </w:r>
          </w:p>
        </w:tc>
      </w:tr>
      <w:tr>
        <w:trPr>
          <w:trHeight w:val="18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of Class A common stock:</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0"/>
        </w:trPr>
        <w:tc>
          <w:tcPr>
            <w:tcW w:w="53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78,561,587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68,772,051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78,206,102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67,486,964</w:t>
            </w:r>
          </w:p>
        </w:tc>
      </w:tr>
      <w:tr>
        <w:trPr>
          <w:trHeight w:val="181"/>
        </w:trPr>
        <w:tc>
          <w:tcPr>
            <w:tcW w:w="5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78,561,587</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69,695,315</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78,206,102</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69,147,549</w:t>
            </w:r>
          </w:p>
        </w:tc>
      </w:tr>
    </w:tbl>
    <w:p>
      <w:pPr>
        <w:spacing w:after="0" w:line="292" w:lineRule="exact"/>
        <w:rPr>
          <w:sz w:val="20"/>
          <w:szCs w:val="20"/>
          <w:color w:val="auto"/>
        </w:rPr>
      </w:pPr>
    </w:p>
    <w:p>
      <w:pPr>
        <w:ind w:left="-8" w:right="2300" w:firstLine="8"/>
        <w:spacing w:after="0" w:line="348" w:lineRule="auto"/>
        <w:tabs>
          <w:tab w:leader="none" w:pos="63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amounts attributable to consolidated VIEs for which the Company did not acquire any direct economic interests. See notes 2, 3 and 5 for more information. </w:t>
      </w: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2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4"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Income (Loss) (Unaudited)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86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480" w:type="dxa"/>
            <w:vAlign w:val="bottom"/>
            <w:gridSpan w:val="4"/>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r>
      <w:tr>
        <w:trPr>
          <w:trHeight w:val="211"/>
        </w:trPr>
        <w:tc>
          <w:tcPr>
            <w:tcW w:w="57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(575,490)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(587,501)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101,183</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before non-controlling interests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(575,513)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(588,301)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100,976</w:t>
            </w:r>
          </w:p>
        </w:tc>
      </w:tr>
      <w:tr>
        <w:trPr>
          <w:trHeight w:val="176"/>
        </w:trPr>
        <w:tc>
          <w:tcPr>
            <w:tcW w:w="572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attributable to non-controlling interests in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subsidiaries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35,645</w:t>
            </w:r>
          </w:p>
        </w:tc>
      </w:tr>
      <w:tr>
        <w:trPr>
          <w:trHeight w:val="175"/>
        </w:trPr>
        <w:tc>
          <w:tcPr>
            <w:tcW w:w="572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5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interests in legacy Greenspring entities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r>
      <w:tr>
        <w:trPr>
          <w:trHeight w:val="175"/>
        </w:trPr>
        <w:tc>
          <w:tcPr>
            <w:tcW w:w="572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interests in the Partnership</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(259,951)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(287,240)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26,860</w:t>
            </w:r>
          </w:p>
        </w:tc>
      </w:tr>
      <w:tr>
        <w:trPr>
          <w:trHeight w:val="176"/>
        </w:trPr>
        <w:tc>
          <w:tcPr>
            <w:tcW w:w="572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attributable to redeemable non-controlling</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5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interests in Consolidated Funds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39,659</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60,616</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r>
      <w:tr>
        <w:trPr>
          <w:trHeight w:val="176"/>
        </w:trPr>
        <w:tc>
          <w:tcPr>
            <w:tcW w:w="572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attributable to redeemable non-controlling</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7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interests in subsidiaries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StepStone Group Inc.</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(366,151)</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(404,869)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40" w:type="dxa"/>
            <w:vAlign w:val="bottom"/>
          </w:tcPr>
          <w:p>
            <w:pPr>
              <w:spacing w:after="0"/>
              <w:rPr>
                <w:sz w:val="9"/>
                <w:szCs w:val="9"/>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0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Legacy</w:t>
            </w: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0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Entities</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June 30, 2025</w:t>
            </w: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484,859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(331,990)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946,033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134,332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1,230,579</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(366,142)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9,242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(259,946)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(615,533)</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451</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2,960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1,635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4,777</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(23,298)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(54,169)</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(22,299)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(22,299)</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Class A common stock issued under ESPP</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1,728</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Class C and Class D units for</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rPr>
              <w:t>Class A common stock and redemption of</w:t>
            </w: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corresponding Class B common stock</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40" w:type="dxa"/>
            <w:vAlign w:val="bottom"/>
          </w:tcPr>
          <w:p>
            <w:pPr>
              <w:spacing w:after="0"/>
              <w:rPr>
                <w:sz w:val="9"/>
                <w:szCs w:val="9"/>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(4,294)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1,606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2,688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1,281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1,281</w:t>
            </w: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September 30, 2025</w:t>
            </w: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485,919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(720,431)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935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927,728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134,551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(282,029)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546,791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2025</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421,057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(242,546)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1,056,510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133,489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20,793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1,390,148</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(404,566)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37,859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(287,068)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(649,080)</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2,391</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5,826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3,256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9,446</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(117,297)</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(73,319)</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Class A common stock issued under ESPP</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1,728</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Class C and Class D units for</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rPr>
              <w:t>Class A common stock and redemption of</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corresponding Class B common stock</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 of non-controlling interests</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(10,339)</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w w:val="99"/>
              </w:rPr>
              <w:t>Class A common stock issued for purchase of asset class</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non-controlling interests</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40" w:type="dxa"/>
            <w:vAlign w:val="bottom"/>
          </w:tcPr>
          <w:p>
            <w:pPr>
              <w:spacing w:after="0"/>
              <w:rPr>
                <w:sz w:val="9"/>
                <w:szCs w:val="9"/>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70,577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510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(116,974)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45,887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(6,086)</w:t>
            </w: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September 30, 2025</w:t>
            </w: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485,919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(720,431)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935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927,728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134,551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(282,029)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546,791</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40" w:type="dxa"/>
            <w:vAlign w:val="bottom"/>
          </w:tcPr>
          <w:p>
            <w:pPr>
              <w:spacing w:after="0"/>
              <w:rPr>
                <w:sz w:val="9"/>
                <w:szCs w:val="9"/>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4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Legacy</w:t>
            </w: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Entities</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June 30, 2024</w:t>
            </w: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363,529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2,995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1,027,558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147,536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248,954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1,790,983</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17,632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19,125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13,580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46,306</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11,614</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2,992</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2,133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5,329</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(52,576)</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(16,635)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(16,635)</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RSUs, net of shares withheld for taxes</w:t>
            </w:r>
          </w:p>
        </w:tc>
        <w:tc>
          <w:tcPr>
            <w:tcW w:w="1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Class A common stock issued under ESPP</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1,115</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and Class C units for Class A</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w w:val="99"/>
              </w:rPr>
              <w:t>common stock and redemption of corresponding Class</w:t>
            </w:r>
          </w:p>
        </w:tc>
        <w:tc>
          <w:tcPr>
            <w:tcW w:w="14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B common stock</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Settlement of non-controlling interests related to awards</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of carried interest allocations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22,333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(21,189)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4,254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4,254</w:t>
            </w: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September 30, 2024</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393,115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3,992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1,021,775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150,852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218,391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1,788,477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2024</w:t>
            </w: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310,293</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13,768</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974,559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147,042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208,514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1,654,591</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30,960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35,740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26,904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88,318</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18,746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18,746</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6,113</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4,487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11,008</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(88,073)</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(40,736)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(40,736)</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RSUs, net of shares withheld for taxes</w:t>
            </w:r>
          </w:p>
        </w:tc>
        <w:tc>
          <w:tcPr>
            <w:tcW w:w="1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Class A common stock issued under ESPP</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1,115</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and Class C units for Class A</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w w:val="99"/>
              </w:rPr>
              <w:t>common stock and redemption of corresponding Class</w:t>
            </w:r>
          </w:p>
        </w:tc>
        <w:tc>
          <w:tcPr>
            <w:tcW w:w="14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B common stock</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Vesting of Class B2 units and issuance of corresponding</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Class B common stock at par value</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 of non-controlling interests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(5,398)</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Settlement of non-controlling interests related to awards</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54,977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54,977</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of carried interest allocations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Redemption of redeemable non-controlling interests in</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55,879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41,504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97,383</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subsidiaries</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26,096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(12,666)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(13,430)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(2,122)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(2,122)</w:t>
            </w: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September 30, 2024</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393,115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1,021,775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150,852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218,391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1,788,477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10 and 13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r>
      <w:tr>
        <w:trPr>
          <w:trHeight w:val="211"/>
        </w:trPr>
        <w:tc>
          <w:tcPr>
            <w:tcW w:w="78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(587,501)</w:t>
            </w:r>
          </w:p>
        </w:tc>
        <w:tc>
          <w:tcPr>
            <w:tcW w:w="2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101,183</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22,703</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carried interest allocations and investment income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(254,297)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(28,655)</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legacy Greenspring carried interest allocations and investment (income) loss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(50,771)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21,867</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performance fee-related compensation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133,084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16,825</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legacy Greenspring performance fee-related compensation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(13,723)</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1,057,152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53,523</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deferred income taxes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(126,795)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for acquisition-related contingent consideration</w:t>
            </w:r>
          </w:p>
        </w:tc>
        <w:tc>
          <w:tcPr>
            <w:tcW w:w="3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13,666</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Adjustments to reconcile net income (loss) to net cash used in operating activities of Consolidated Funds: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income of Consolidated Funds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(66,318)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(15,569)</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 of Consolidated Funds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(166,498)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(88,458)</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 of Consolidated Funds</w:t>
            </w:r>
          </w:p>
        </w:tc>
        <w:tc>
          <w:tcPr>
            <w:tcW w:w="3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Fees and accounts receivable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(11,334)</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Due from affiliates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(12,749)</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assets and receivables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31,361</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Due to affiliates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 right-of-use assets, net and lease liabilities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 of Consolidated Funds: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assets and receivables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liabilities and payables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(11,004)</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w:t>
            </w:r>
          </w:p>
        </w:tc>
      </w:tr>
      <w:tr>
        <w:trPr>
          <w:trHeight w:val="207"/>
        </w:trPr>
        <w:tc>
          <w:tcPr>
            <w:tcW w:w="7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62,523</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103,866</w:t>
            </w: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to investments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(25,864)</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received from investments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to investments in legacy Greenspring entities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(18,746)</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received from investments in legacy Greenspring entities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6,791</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(21,575)</w:t>
            </w:r>
          </w:p>
        </w:tc>
        <w:tc>
          <w:tcPr>
            <w:tcW w:w="2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(34,089)</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0" w:type="dxa"/>
            <w:vAlign w:val="bottom"/>
          </w:tcPr>
          <w:p>
            <w:pPr>
              <w:spacing w:after="0"/>
              <w:rPr>
                <w:sz w:val="1"/>
                <w:szCs w:val="1"/>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capital contributions from non-controlling interests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2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non-controlling interests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redeemable non-controlling interests</w:t>
            </w:r>
          </w:p>
        </w:tc>
        <w:tc>
          <w:tcPr>
            <w:tcW w:w="3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Class A common stock of shares under ESPP</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(112,854)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(78,423)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capital contributions to legacy Greenspring entities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18,746</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legacy Greenspring entities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to common stockholders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(72,261)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(40,110)</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taxes related to net settlement of RSUs</w:t>
            </w:r>
          </w:p>
        </w:tc>
        <w:tc>
          <w:tcPr>
            <w:tcW w:w="3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to related parties under Tax Receivable Agreements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Cash flows from financing activities of Consolidated Funds: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borrowings on fund credit facility</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redeemable non-controlling interests in Consolidated Funds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281,447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90,805</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Redemptions of redeemable non-controlling interests in Consolidated Funds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(48,255)</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43,419</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(23,623)</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currency exchange rate changes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76,904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43,069</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289,804</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182,312</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366,708</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225,381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operating, investing, and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dividends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162"/>
        </w:trPr>
        <w:tc>
          <w:tcPr>
            <w:tcW w:w="78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Deferred tax effect resulting from transactions affecting ownership in the Partnership, including net amounts</w:t>
            </w:r>
          </w:p>
        </w:tc>
        <w:tc>
          <w:tcPr>
            <w:tcW w:w="3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(6,086)</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0" w:type="dxa"/>
            <w:vAlign w:val="bottom"/>
          </w:tcPr>
          <w:p>
            <w:pPr>
              <w:spacing w:after="0"/>
              <w:rPr>
                <w:sz w:val="1"/>
                <w:szCs w:val="1"/>
                <w:color w:val="auto"/>
              </w:rPr>
            </w:pPr>
          </w:p>
        </w:tc>
      </w:tr>
      <w:tr>
        <w:trPr>
          <w:trHeight w:val="129"/>
        </w:trPr>
        <w:tc>
          <w:tcPr>
            <w:tcW w:w="786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payable under Tax Receivable Agreements</w:t>
            </w:r>
          </w:p>
        </w:tc>
        <w:tc>
          <w:tcPr>
            <w:tcW w:w="3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8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Settlement of non-controlling interests related to awards of carried interest allocations</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54,977</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issued for redemption of redeemable non-controlling interests</w:t>
            </w:r>
          </w:p>
        </w:tc>
        <w:tc>
          <w:tcPr>
            <w:tcW w:w="3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issued for purchase of non-controlling interests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160,876</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229,824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179,066</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 of Consolidated Funds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136,353</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45,552</w:t>
            </w:r>
          </w:p>
        </w:tc>
        <w:tc>
          <w:tcPr>
            <w:tcW w:w="0" w:type="dxa"/>
            <w:vAlign w:val="bottom"/>
          </w:tcPr>
          <w:p>
            <w:pPr>
              <w:spacing w:after="0"/>
              <w:rPr>
                <w:sz w:val="1"/>
                <w:szCs w:val="1"/>
                <w:color w:val="auto"/>
              </w:rPr>
            </w:pPr>
          </w:p>
        </w:tc>
      </w:tr>
      <w:tr>
        <w:trPr>
          <w:trHeight w:val="207"/>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366,708</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225,381</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Organization</w:t>
      </w:r>
    </w:p>
    <w:p>
      <w:pPr>
        <w:spacing w:after="0" w:line="233" w:lineRule="exact"/>
        <w:rPr>
          <w:sz w:val="20"/>
          <w:szCs w:val="20"/>
          <w:color w:val="auto"/>
        </w:rPr>
      </w:pPr>
    </w:p>
    <w:p>
      <w:pPr>
        <w:ind w:right="300" w:firstLine="648"/>
        <w:spacing w:after="0" w:line="253" w:lineRule="auto"/>
        <w:rPr>
          <w:sz w:val="20"/>
          <w:szCs w:val="20"/>
          <w:color w:val="auto"/>
        </w:rPr>
      </w:pPr>
      <w:r>
        <w:rPr>
          <w:rFonts w:ascii="Times New Roman" w:cs="Times New Roman" w:eastAsia="Times New Roman" w:hAnsi="Times New Roman"/>
          <w:sz w:val="20"/>
          <w:szCs w:val="20"/>
          <w:color w:val="auto"/>
        </w:rPr>
        <w:t>StepStone Group Inc. (“SSG”) was incorporated in the state of Delaware on November 20, 2019 and, following its initial public offering in 2020, acts as a holding company for StepStone Group LP (the “Partnership”).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spacing w:after="0" w:line="192"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2" w:lineRule="exact"/>
        <w:rPr>
          <w:sz w:val="20"/>
          <w:szCs w:val="20"/>
          <w:color w:val="auto"/>
        </w:rPr>
      </w:pPr>
    </w:p>
    <w:p>
      <w:pPr>
        <w:ind w:right="660" w:firstLine="648"/>
        <w:spacing w:after="0" w:line="283" w:lineRule="auto"/>
        <w:rPr>
          <w:sz w:val="20"/>
          <w:szCs w:val="20"/>
          <w:color w:val="auto"/>
        </w:rPr>
      </w:pPr>
      <w:r>
        <w:rPr>
          <w:rFonts w:ascii="Times New Roman" w:cs="Times New Roman" w:eastAsia="Times New Roman" w:hAnsi="Times New Roman"/>
          <w:sz w:val="20"/>
          <w:szCs w:val="20"/>
          <w:color w:val="auto"/>
        </w:rPr>
        <w:t>The Company, through its subsidiaries, acts as the investment advisor and general partner or managing member to separately managed accounts (“SMAs”) and focused commingled funds (collectively, the “StepStone Funds”).</w:t>
      </w:r>
    </w:p>
    <w:p>
      <w:pPr>
        <w:spacing w:after="0" w:line="16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Class C and Class D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and Class B common stock is entitled to one vote. As of September 30, 2025, SSG held approximately 64.9% of the economic interest in the Partnership. As the Partnership’s limited partners exchange their Class B, Class C and Class D units into SSG’s Class A common stock in the future, SSG’s economic interest in the Partnership will increase relative to that of the Class B, Class C and Class D unitholders.</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2025 filed with the Securities and Exchange Commission (“SEC”).</w:t>
      </w:r>
    </w:p>
    <w:p>
      <w:pPr>
        <w:spacing w:after="0" w:line="17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3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19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spacing w:after="0" w:line="19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Company has determined that certain of its operating subsidiaries, including StepStone Group Real Assets LP (“SRA”), StepStone Group Real Estate LP (“SRE”), StepStone Group Private Debt AG (“SPD”),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79"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acquisition of Greenspring Associates Inc. and certain of its affiliates (“Greenspring”) that was completed on September 20, 2021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95"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The Company and its subsidiaries manages or controls certain entities that constitute client investment funds that have been consolidated in the accompanying condensed consolidated financial statements (“Consolidated Funds”). Including the results of the Consolidated Funds increases the reported amounts of the assets, liabilities, expenses and cash flows in the accompanying condensed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(loss), is presented net of the portion of net income (loss) attributable to holders of non-controlling interests. See note 13 for more information on ownership interests in the Company.</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right="18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and employees.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4"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legacy Greenspring entities </w:t>
      </w:r>
      <w:r>
        <w:rPr>
          <w:rFonts w:ascii="Times New Roman" w:cs="Times New Roman" w:eastAsia="Times New Roman" w:hAnsi="Times New Roman"/>
          <w:sz w:val="20"/>
          <w:szCs w:val="20"/>
          <w:color w:val="auto"/>
        </w:rPr>
        <w:t>represent the economic interests in the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The Company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78"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the Partnership </w:t>
      </w:r>
      <w:r>
        <w:rPr>
          <w:rFonts w:ascii="Times New Roman" w:cs="Times New Roman" w:eastAsia="Times New Roman" w:hAnsi="Times New Roman"/>
          <w:sz w:val="20"/>
          <w:szCs w:val="20"/>
          <w:color w:val="auto"/>
        </w:rPr>
        <w:t>represent the economic interests related to the Class B, Class C and Class D units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6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SSG, but are held by the client investors in the funds. These interests are presented as redeemable non-controlling interests in Consolidated Funds within the condensed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8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subsidiaries </w:t>
      </w:r>
      <w:r>
        <w:rPr>
          <w:rFonts w:ascii="Times New Roman" w:cs="Times New Roman" w:eastAsia="Times New Roman" w:hAnsi="Times New Roman"/>
          <w:sz w:val="20"/>
          <w:szCs w:val="20"/>
          <w:color w:val="auto"/>
        </w:rPr>
        <w:t>represent the redeemable economic interests in the consolidated subsidiaries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Partnership held by third parties and employees in those entities that were established in connection with the Transaction Agreements as described in note 13.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Accounting for Differing Fiscal Periods</w:t>
      </w:r>
    </w:p>
    <w:p>
      <w:pPr>
        <w:spacing w:after="0" w:line="22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0"/>
          <w:szCs w:val="20"/>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ended September 30, 2025, the Company used the June 30, 2025 unaudited financial statements of the StepStone Funds, which reflect the underlying private market funds as of June 30, 2025, to record its investments (including any carried interest allocated from those investments), as adjusted for capital contributions and distributions during the three-month lag period ended September 30, 2025.</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does not account for management and advisory fees or incentive fees on a three-month lag.</w:t>
      </w:r>
    </w:p>
    <w:p>
      <w:pPr>
        <w:spacing w:after="0" w:line="216" w:lineRule="exact"/>
        <w:rPr>
          <w:sz w:val="20"/>
          <w:szCs w:val="20"/>
          <w:color w:val="auto"/>
        </w:rPr>
      </w:pPr>
    </w:p>
    <w:p>
      <w:pPr>
        <w:ind w:right="400" w:firstLine="648"/>
        <w:spacing w:after="0" w:line="283" w:lineRule="auto"/>
        <w:rPr>
          <w:sz w:val="20"/>
          <w:szCs w:val="20"/>
          <w:color w:val="auto"/>
        </w:rPr>
      </w:pPr>
      <w:r>
        <w:rPr>
          <w:rFonts w:ascii="Times New Roman" w:cs="Times New Roman" w:eastAsia="Times New Roman" w:hAnsi="Times New Roman"/>
          <w:sz w:val="20"/>
          <w:szCs w:val="20"/>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In early 2025, financial markets experienced significant volatility in response to the uncertainty of the economic impact from U.S. trade policy developments including the announcement and implementation of increases on tariffs charged by the U.S. on certain imports and the weakening of the U.S. dollar against several major foreign currencies. Despite persistent elevated inflation, unemployment has remained low, and the U.S. economy has continued to grow throughout calendar year 2025.</w:t>
      </w:r>
    </w:p>
    <w:p>
      <w:pPr>
        <w:spacing w:after="0" w:line="187"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20"/>
          <w:szCs w:val="20"/>
          <w:color w:val="auto"/>
        </w:rPr>
        <w:t>On July 4, 2025, the One Big Beautiful Bill Act was enacted in the United States, which includes extensive amendments to existing tax laws applicable to businesses. The relevant provisions were included in the Company’s income tax provision for the three and six months ended September 30, 2025 and did not have a significant impact on the Company’s condensed consolidated financial statements. The Company will continue to evaluate the effect of the new legislation but does not expect the legislation to have a significant effect on the condensed consolidated financial statements for the full year ending March 31, 2026.</w:t>
      </w:r>
    </w:p>
    <w:p>
      <w:pPr>
        <w:spacing w:after="0" w:line="18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9"/>
          <w:szCs w:val="19"/>
          <w:color w:val="auto"/>
        </w:rPr>
        <w:t>The Company is continuing to closely monitor developments related to inflation, decreasing but still elevated interest rates, trade, regulatory and other governmental policy, fluctuations in foreign currency exchange rates, banking system volatility, geopolitical tension, unrest or conflicts, including in or with China, Russia, Ukraine, and the Middle East,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overall economy and the Company’s condensed consolidated financial statements.</w:t>
      </w:r>
    </w:p>
    <w:p>
      <w:pPr>
        <w:spacing w:after="0" w:line="18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0"/>
          <w:szCs w:val="20"/>
          <w:color w:val="auto"/>
        </w:rPr>
        <w:t>On October 1, 2025, the U.S. government entered a shutdown, which is ongoing. A prolonged U.S. federal government shutdown could adversely affect the Company’s operations, investments, regulatory approvals, and financial performance and could cause volatility in the capital markets which may interrupt the Company’s access to capital. The Company currently does not expect the shutdown to have a significant impact on its condensed consolidated financial statements.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3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75"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73" w:lineRule="exact"/>
        <w:rPr>
          <w:sz w:val="20"/>
          <w:szCs w:val="20"/>
          <w:color w:val="auto"/>
        </w:rPr>
      </w:pPr>
    </w:p>
    <w:p>
      <w:pPr>
        <w:jc w:val="center"/>
        <w:ind w:left="5520" w:right="200" w:hanging="5188"/>
        <w:spacing w:after="0" w:line="874" w:lineRule="auto"/>
        <w:tabs>
          <w:tab w:leader="none" w:pos="63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 – Pricing inputs are unadjusted, quoted prices in active markets for identical assets or liabilities as of the measurement date.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right="120" w:hanging="328"/>
        <w:spacing w:after="0" w:line="258"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72" w:lineRule="exact"/>
        <w:rPr>
          <w:rFonts w:ascii="Times New Roman" w:cs="Times New Roman" w:eastAsia="Times New Roman" w:hAnsi="Times New Roman"/>
          <w:sz w:val="20"/>
          <w:szCs w:val="20"/>
          <w:color w:val="auto"/>
        </w:rPr>
      </w:pPr>
    </w:p>
    <w:p>
      <w:pPr>
        <w:ind w:left="660" w:right="380" w:hanging="328"/>
        <w:spacing w:after="0" w:line="268"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6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8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7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 Company considers its cash, cash equivalents, restricted cash, fees and accounts receivable, accounts payable, investments, notes payable, and revolving credit facility to be financial instruments. The carrying amounts of cash, cash equivalents, restricted cash, fees and accounts receivable and accounts payable equal or approximate their fair values due to their nature and/or the relatively short period over which they are held. See note 8 for additional details regarding the fair value of the Company’s notes payable and revolving credit facility balances.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Restricted Cash</w:t>
      </w:r>
    </w:p>
    <w:p>
      <w:pPr>
        <w:spacing w:after="0" w:line="233"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Restricted cash consists of cash that the Company is contractually obligated to maintain to secure its letters of credit used primarily related to its office facilities and other obligations.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220"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Investments of Consolidated Funds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condensed consolidated statements of income (loss). In addition, the Consolidated Funds do not consolidate their majority-owned and controlled investments in underlying portfolio companies.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33"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9"/>
          <w:szCs w:val="19"/>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16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0"/>
          <w:szCs w:val="20"/>
          <w:color w:val="auto"/>
        </w:rPr>
        <w:t>Operating lease expense associated with minimum lease payments is recognized on a straight-line basis over the lease term in general, administrative and other expenses in the condensed consolidated statements of income (loss). Minimum lease payments for leases with an initial term of twelve months or less are not recorded in the condensed consolidated balance sheets. See note 14 for more information.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Intangibles and Goodwill</w:t>
      </w:r>
    </w:p>
    <w:p>
      <w:pPr>
        <w:spacing w:after="0" w:line="220" w:lineRule="exact"/>
        <w:rPr>
          <w:sz w:val="20"/>
          <w:szCs w:val="20"/>
          <w:color w:val="auto"/>
        </w:rPr>
      </w:pPr>
    </w:p>
    <w:p>
      <w:pPr>
        <w:ind w:right="540" w:firstLine="648"/>
        <w:spacing w:after="0" w:line="268" w:lineRule="auto"/>
        <w:rPr>
          <w:sz w:val="20"/>
          <w:szCs w:val="20"/>
          <w:color w:val="auto"/>
        </w:rPr>
      </w:pPr>
      <w:r>
        <w:rPr>
          <w:rFonts w:ascii="Times New Roman" w:cs="Times New Roman" w:eastAsia="Times New Roman" w:hAnsi="Times New Roman"/>
          <w:sz w:val="20"/>
          <w:szCs w:val="20"/>
          <w:color w:val="auto"/>
        </w:rPr>
        <w:t>The Company’s finite-lived intangible assets consist of acquired contractual rights to earn future management and advisory fee income and client relationships. Finite-lived intangible assets are amortized over their estimated useful lives, which is 10 years. The Company did not have any intangible assets that were deemed to have an indefinite life as of September 30, 2025.</w:t>
      </w:r>
    </w:p>
    <w:p>
      <w:pPr>
        <w:spacing w:after="0" w:line="16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and six months ended September 30, 2025 and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Accounting Standards Codification Topic 606 (“ASC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Revenue is recognized in a manner that depicts the transfer of promised goods or services to customers and for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 Management fees include income-based incentive fees, which are based on net investment income of certain funds.</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Based on certain facts and circumstances specific to each individual fund structure, the Company has determined that for accounting purposes, either the StepStone Fund or the individual investors in the fund may be considered to be the customer for arrangements with focused commingled funds.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7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may incur certain costs in connection with satisfying its performance obligations for investment management services</w:t>
      </w:r>
    </w:p>
    <w:p>
      <w:pPr>
        <w:spacing w:after="0" w:line="4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 primarily employee travel costs – for which it receives reimbursements from its customers. For reimbursable employee travel costs, the Company concluded it controls the services provided by its employees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(loss). For reimbursable costs incurred in connection with satisfying its performance obligations for administration services, the Company concluded it does not control the services provided by other third parties and, therefore, is acting as agent. Accordingly, the Company records the reimbursement for these costs incurred on a net basis.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earns two types of performance fee revenues: incentive fees and carried interest allocations, as described below.</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are generally calculated as a percentage of the profits (up to 15%) earned in respect of certain accounts,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9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from unaffiliated limited partners in the StepStone Funds in which the Company holds an equity interest. The Company is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74"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9"/>
          <w:szCs w:val="19"/>
          <w:i w:val="1"/>
          <w:iCs w:val="1"/>
          <w:color w:val="231F20"/>
        </w:rPr>
        <w:t xml:space="preserve">Legacy Greenspring carried interest allocations </w:t>
      </w:r>
      <w:r>
        <w:rPr>
          <w:rFonts w:ascii="Times New Roman" w:cs="Times New Roman" w:eastAsia="Times New Roman" w:hAnsi="Times New Roman"/>
          <w:sz w:val="19"/>
          <w:szCs w:val="19"/>
          <w:color w:val="231F20"/>
        </w:rPr>
        <w:t>reflect the allocation of carried interest to legacy Greenspring general partner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xml:space="preserve">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Times New Roman" w:cs="Times New Roman" w:eastAsia="Times New Roman" w:hAnsi="Times New Roman"/>
          <w:sz w:val="19"/>
          <w:szCs w:val="19"/>
          <w:color w:val="000000"/>
        </w:rPr>
        <w:t>because it</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color w:val="000000"/>
        </w:rPr>
        <w:t>is presumed to have significant influence as the general partner or managing member</w:t>
      </w: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color w:val="000000"/>
        </w:rPr>
        <w:t xml:space="preserve"> Accordingly, legacy Greenspring carried interest allocations are not deemed to be within the scope of ASC 606. </w:t>
      </w:r>
      <w:r>
        <w:rPr>
          <w:rFonts w:ascii="Times New Roman" w:cs="Times New Roman" w:eastAsia="Times New Roman" w:hAnsi="Times New Roman"/>
          <w:sz w:val="19"/>
          <w:szCs w:val="19"/>
          <w:color w:val="231F20"/>
        </w:rPr>
        <w:t>The Company does not hold any direct economic interests in the legacy</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231F20"/>
        </w:rPr>
        <w:t>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 (loss).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9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September 30, 2025 and March 31, 2025, no material amounts for potential clawback obligations had been accrued.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Compensation and Benefits</w:t>
      </w:r>
    </w:p>
    <w:p>
      <w:pPr>
        <w:spacing w:after="0" w:line="229"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expense primarily includes salaries, bonuses, employee benefits, cash-based incentive awards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employer-related payroll taxes. Bonuses are accrued over the service period in which they are earned. Expense for cash-based incentive awards granted to employees is recognized and adjusted to fair value over the vesting period to track the performance for one of the Company’s designated investment funds. During fiscal 2025, the Company adopted the StepStone Group LP Evergreen Fund Incentive Plan, under which grants of share unit (“Evergreen Fund Units”) awards entitle the holder to receive shares of one of the Company’s evergreen investment funds, or the cash value thereof, following vesting. The Evergreen Fund Units are accounted for as cash-based incentive awards. During the year ended March 31, 2025, the Company granted Evergreen Fund Unit awards valued at $2.0 million to certain employees of the Company which vest over four years in equal installments subject to continued service through the vesting date. The Company recognized $0.1 million and $0.3 million of expense related to cash-based incentive awards for the three and six months ended September 30, 2025, respectively. There was no expense recognized related to cash-based incentive awards for the three and six months ended September 30, 2024.</w:t>
      </w:r>
    </w:p>
    <w:p>
      <w:pPr>
        <w:spacing w:after="0" w:line="176"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equity-based awards or arrangements to certain employees and directors.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accounts for grants of equity-based awards, including service-based restricted stock units (“RSUs”) and performance-based RSUs (or “PRSUs”), to certain employees and directors at fair value as of the grant date. The Company recognizes non-cash compensation expense attributable to these grants on a straight-line basis over the requisite service and performance period, which is generally the vesting period. Expense related to grants of PRSUs is recognized if it is probable that the performance condition will be satisfied. Expense related to grants of equity-based awards is recognized as equity-based compensation expense in the condensed consolidated statements of income (loss). The fair value of RSUs and PRSUs is determined by the closing stock price on the grant date. Forfeitures of equity-based awards are recognized as they occur. Awards classified as liabilities are remeasured at the end of each reporting period until settlement. Equity-based compensation cost for the employee stock purchase plan (“ESPP”) is measured as the discount the employee receives upon purchase of shares and the option value of a share when the offering contains a look-back option feature. See note 9 for additional information regarding the Company’s accounting for equity-based awards.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33"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(loss). As a result, the Partnership does not record U.S. federal and state income taxes on income in the Partnership or its subsidiaries, except for certain local and foreign income taxes discussed above.</w:t>
      </w:r>
    </w:p>
    <w:p>
      <w:pPr>
        <w:spacing w:after="0" w:line="18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spacing w:after="0" w:line="17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8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9"/>
          <w:szCs w:val="19"/>
          <w:color w:val="auto"/>
        </w:rPr>
        <w:t xml:space="preserve">The Company is subject to the provisions of ASC Subtopic 740-10, </w:t>
      </w:r>
      <w:r>
        <w:rPr>
          <w:rFonts w:ascii="Times New Roman" w:cs="Times New Roman" w:eastAsia="Times New Roman" w:hAnsi="Times New Roman"/>
          <w:sz w:val="19"/>
          <w:szCs w:val="19"/>
          <w:i w:val="1"/>
          <w:iCs w:val="1"/>
          <w:color w:val="auto"/>
        </w:rPr>
        <w:t>Accounting for Uncertainty in Income Taxes</w:t>
      </w:r>
      <w:r>
        <w:rPr>
          <w:rFonts w:ascii="Times New Roman" w:cs="Times New Roman" w:eastAsia="Times New Roman" w:hAnsi="Times New Roman"/>
          <w:sz w:val="19"/>
          <w:szCs w:val="19"/>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(loss). See note 10 for more information.</w:t>
      </w:r>
    </w:p>
    <w:p>
      <w:pPr>
        <w:spacing w:after="0" w:line="179"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The Company has elected to account for global intangible low-taxed income (“GILTI”) earned by foreign subsidiaries in the period the tax is incurred.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judgment is required in determining tax expense and in evaluating tax positions, including evaluating uncertainties under GAAP.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reviews its tax positions quarterly and adjusts its tax balances as new information becomes available.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Tax Receivable Agreements</w:t>
      </w:r>
    </w:p>
    <w:p>
      <w:pPr>
        <w:spacing w:after="0" w:line="233" w:lineRule="exact"/>
        <w:rPr>
          <w:sz w:val="20"/>
          <w:szCs w:val="20"/>
          <w:color w:val="auto"/>
        </w:rPr>
      </w:pPr>
    </w:p>
    <w:p>
      <w:pPr>
        <w:ind w:right="280" w:firstLine="648"/>
        <w:spacing w:after="0" w:line="251" w:lineRule="auto"/>
        <w:rPr>
          <w:sz w:val="20"/>
          <w:szCs w:val="20"/>
          <w:color w:val="auto"/>
        </w:rPr>
      </w:pPr>
      <w:r>
        <w:rPr>
          <w:rFonts w:ascii="Times New Roman" w:cs="Times New Roman" w:eastAsia="Times New Roman" w:hAnsi="Times New Roman"/>
          <w:sz w:val="20"/>
          <w:szCs w:val="20"/>
          <w:color w:val="auto"/>
        </w:rPr>
        <w:t>The Tax Receivable Agreements provide for payment by SSG to the Class B limited partners, Class C limited partners, Class D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 See note 13 for more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w:t>
      </w:r>
    </w:p>
    <w:p>
      <w:pPr>
        <w:spacing w:after="0" w:line="220" w:lineRule="exact"/>
        <w:rPr>
          <w:sz w:val="20"/>
          <w:szCs w:val="20"/>
          <w:color w:val="auto"/>
        </w:rPr>
      </w:pPr>
    </w:p>
    <w:p>
      <w:pPr>
        <w:ind w:right="140" w:firstLine="648"/>
        <w:spacing w:after="0" w:line="265" w:lineRule="auto"/>
        <w:rPr>
          <w:sz w:val="20"/>
          <w:szCs w:val="20"/>
          <w:color w:val="auto"/>
        </w:rPr>
      </w:pPr>
      <w:r>
        <w:rPr>
          <w:rFonts w:ascii="Times New Roman" w:cs="Times New Roman" w:eastAsia="Times New Roman" w:hAnsi="Times New Roman"/>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560" w:type="dxa"/>
            <w:vAlign w:val="bottom"/>
            <w:tcBorders>
              <w:bottom w:val="single" w:sz="8" w:color="auto"/>
            </w:tcBorders>
          </w:tcPr>
          <w:p>
            <w:pPr>
              <w:spacing w:after="0"/>
              <w:rPr>
                <w:sz w:val="18"/>
                <w:szCs w:val="18"/>
                <w:color w:val="auto"/>
              </w:rPr>
            </w:pPr>
          </w:p>
        </w:tc>
      </w:tr>
      <w:tr>
        <w:trPr>
          <w:trHeight w:val="211"/>
        </w:trPr>
        <w:tc>
          <w:tcPr>
            <w:tcW w:w="7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defined benefit plan, net</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 See note 15 for more information.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20"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20"/>
          <w:szCs w:val="20"/>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spacing w:after="0" w:line="15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which amends current guidance to provide expanded disclosure for the rate reconciliation with information about specific categories and reconciling items that meet a specific threshold, and to provide additional information about income taxes paid disaggregated by jurisdiction. The amendments are effective for annual periods beginning after December 15, 2024, with early adoption permitted. The Company does not expect the adoption of this guidance to have a material effect on the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(Subtopic 220-40): Disaggregation of Income Statement Expenses, </w:t>
      </w:r>
      <w:r>
        <w:rPr>
          <w:rFonts w:ascii="Times New Roman" w:cs="Times New Roman" w:eastAsia="Times New Roman" w:hAnsi="Times New Roman"/>
          <w:sz w:val="20"/>
          <w:szCs w:val="20"/>
          <w:color w:val="auto"/>
        </w:rPr>
        <w:t>which amends current guidance to add requirements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disaggregation of certain costs and expenses included within relevant expense captions. The update also requires the separate disclosure of total selling costs. The amendments are effective for annual reporting periods beginning after December 15, 2026, and interim reporting periods beginning after December 15, 2027, with early adoption permitted. The Company is currently evaluating the impact on the condensed consolidated financial statements.</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May 2025, the FASB issued ASU 2025-03, </w:t>
      </w:r>
      <w:r>
        <w:rPr>
          <w:rFonts w:ascii="Times New Roman" w:cs="Times New Roman" w:eastAsia="Times New Roman" w:hAnsi="Times New Roman"/>
          <w:sz w:val="20"/>
          <w:szCs w:val="20"/>
          <w:i w:val="1"/>
          <w:iCs w:val="1"/>
          <w:color w:val="auto"/>
        </w:rPr>
        <w:t>Business Combinations (Topic 805) and Consolidation (Topic 810): Determining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Accounting Acquirer in the Acquisition of a Variable Interest Entity</w:t>
      </w:r>
      <w:r>
        <w:rPr>
          <w:rFonts w:ascii="Times New Roman" w:cs="Times New Roman" w:eastAsia="Times New Roman" w:hAnsi="Times New Roman"/>
          <w:sz w:val="20"/>
          <w:szCs w:val="20"/>
          <w:color w:val="auto"/>
        </w:rPr>
        <w:t>, which amends current guidance to improve how entities determine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accounting acquirer in business combinations involving a VIE, particularly when the transaction is primarily executed though the exchange of equity interests. It aligns the criteria for determining the acquirer for accounting purposes in transactions in which the acquiree is a VIE with those used in other acquisition transactions. The amendments are effective for annual periods beginning after December 15, 2026, with early adoption permitted. The Company does not expect the adoption of this guidance to have a material effect on the condensed consolidated financial statements.</w:t>
      </w:r>
    </w:p>
    <w:p>
      <w:pPr>
        <w:spacing w:after="0" w:line="18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Revenues</w:t>
      </w:r>
    </w:p>
    <w:p>
      <w:pPr>
        <w:spacing w:after="0" w:line="220"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The following presents revenues disaggregated by product offering, which aligns with the Company’s performance obligations and the basis for calculating each amount: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and Advisory Fees, Net</w:t>
            </w:r>
          </w:p>
        </w:tc>
        <w:tc>
          <w:tcPr>
            <w:tcW w:w="120" w:type="dxa"/>
            <w:vAlign w:val="bottom"/>
          </w:tcPr>
          <w:p>
            <w:pPr>
              <w:spacing w:after="0"/>
              <w:rPr>
                <w:sz w:val="18"/>
                <w:szCs w:val="18"/>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Focused commingled funds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244,012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211,707</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142,064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118,769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and other services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 reimbursement revenues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management and advisory fees,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215,489</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184,758</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426,662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362,773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80" w:hanging="652"/>
        <w:spacing w:after="0" w:line="260"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income-based incentive fees of $5.3 million and $1.3 million for the three months ended September 30, 2025 and 2024, respectively, and $9.7 million and $2.5 million for the six months ended September 30, 2025 and 2024,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 Fees</w:t>
            </w:r>
          </w:p>
        </w:tc>
        <w:tc>
          <w:tcPr>
            <w:tcW w:w="29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0" w:type="dxa"/>
            <w:vAlign w:val="bottom"/>
          </w:tcPr>
          <w:p>
            <w:pPr>
              <w:spacing w:after="0"/>
              <w:rPr>
                <w:sz w:val="1"/>
                <w:szCs w:val="1"/>
                <w:color w:val="auto"/>
              </w:rPr>
            </w:pPr>
          </w:p>
        </w:tc>
      </w:tr>
      <w:tr>
        <w:trPr>
          <w:trHeight w:val="213"/>
        </w:trPr>
        <w:tc>
          <w:tcPr>
            <w:tcW w:w="5640" w:type="dxa"/>
            <w:vAlign w:val="bottom"/>
            <w:tcBorders>
              <w:bottom w:val="single" w:sz="8" w:color="CCEEFF"/>
            </w:tcBorders>
            <w:gridSpan w:val="2"/>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incentive fees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Carried Interest Allocations</w:t>
            </w:r>
          </w:p>
        </w:tc>
        <w:tc>
          <w:tcPr>
            <w:tcW w:w="20" w:type="dxa"/>
            <w:vAlign w:val="bottom"/>
          </w:tcPr>
          <w:p>
            <w:pPr>
              <w:spacing w:after="0"/>
              <w:rPr>
                <w:sz w:val="24"/>
                <w:szCs w:val="24"/>
                <w:color w:val="auto"/>
              </w:rPr>
            </w:pPr>
          </w:p>
        </w:tc>
        <w:tc>
          <w:tcPr>
            <w:tcW w:w="29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24"/>
                <w:szCs w:val="24"/>
                <w:color w:val="auto"/>
              </w:rPr>
            </w:pPr>
          </w:p>
        </w:tc>
        <w:tc>
          <w:tcPr>
            <w:tcW w:w="250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vMerge w:val="continue"/>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124,813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220,177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59,286</w:t>
            </w: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carried interest allocations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319,978</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Legacy Greenspring Carried Interest Allocations</w:t>
            </w:r>
          </w:p>
        </w:tc>
        <w:tc>
          <w:tcPr>
            <w:tcW w:w="29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0" w:type="dxa"/>
            <w:vAlign w:val="bottom"/>
          </w:tcPr>
          <w:p>
            <w:pPr>
              <w:spacing w:after="0"/>
              <w:rPr>
                <w:sz w:val="1"/>
                <w:szCs w:val="1"/>
                <w:color w:val="auto"/>
              </w:rPr>
            </w:pPr>
          </w:p>
        </w:tc>
      </w:tr>
      <w:tr>
        <w:trPr>
          <w:trHeight w:val="212"/>
        </w:trPr>
        <w:tc>
          <w:tcPr>
            <w:tcW w:w="5640" w:type="dxa"/>
            <w:vAlign w:val="bottom"/>
            <w:tcBorders>
              <w:bottom w:val="single" w:sz="8" w:color="CCEEFF"/>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66,352</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400"/>
              <w:spacing w:after="0" w:line="223" w:lineRule="exact"/>
              <w:rPr>
                <w:sz w:val="20"/>
                <w:szCs w:val="20"/>
                <w:color w:val="auto"/>
              </w:rPr>
            </w:pPr>
            <w:r>
              <w:rPr>
                <w:rFonts w:ascii="Times New Roman" w:cs="Times New Roman" w:eastAsia="Times New Roman" w:hAnsi="Times New Roman"/>
                <w:sz w:val="18"/>
                <w:szCs w:val="18"/>
                <w:color w:val="auto"/>
              </w:rPr>
              <w:t>Total legacy Greenspring carried interest allocations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40" w:hanging="652"/>
        <w:spacing w:after="0" w:line="277" w:lineRule="auto"/>
        <w:tabs>
          <w:tab w:leader="none" w:pos="65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three months ended September 30, 2025 and 2024 reflect the net effect of gross realized carried interest allocations of $13.3 million and $11.9 million, respectively, and the six months ended September 30, 2025 and 2024 reflect the net effect of gross realized carried interest allocations of $18.2 million and $18.6 million, respectively, and the reversal of such amounts in unrealized carried interest allocations for such periods.</w:t>
      </w:r>
    </w:p>
    <w:p>
      <w:pPr>
        <w:spacing w:after="0" w:line="164"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See note 5 for a discussion of changes in carried interest allocations and legacy Greenspring carried interest allocations.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derives revenues from clients located in both the United States and other countries. The table below presents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revenues by geographic location: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8"/>
                <w:szCs w:val="18"/>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333,066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169,811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 countries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257,171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173,624</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485,446</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288,267</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454,225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271,677</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818,512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458,078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460" w:hanging="652"/>
        <w:spacing w:after="0" w:line="26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attributed to countries based on client location for SMAs and advisory and other services, or location of investment vehicle for focused commingled funds.</w:t>
      </w:r>
    </w:p>
    <w:p>
      <w:pPr>
        <w:spacing w:after="0" w:line="177"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For the three and six months ended September 30, 2025 and 2024, no individual client represented 10% or more of the Company’s net management and advisory fees.</w:t>
      </w:r>
    </w:p>
    <w:p>
      <w:pPr>
        <w:spacing w:after="0" w:line="14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For the three and six months ended September 30, 2025, the Company had management and advisory fee revenues attributable to the United States, which represented 10% or more of the Company’s net management and advisory fees. For the three and six months ended September 30, 2024, the Company had management and advisory fee revenues attributable to the United States and Cayman Islands, each of which represented 10% or more of the Company’s net management and advisory fees.</w:t>
      </w:r>
    </w:p>
    <w:p>
      <w:pPr>
        <w:spacing w:after="0" w:line="18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As of September 30, 2025 and March 31, 2025, the Company had $23.4 million and $26.8 million, respectively, of deferred revenues, which is included in accounts payable, accrued expenses and other liabilities in the condensed consolidated balance sheets. During the six months ended September 30, 2025, the Company had recognized $4.5 million as revenue from amounts included in the deferred revenue balance as of March 31, 2025.</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Variable Interest Entities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Consolidated VIEs</w:t>
      </w:r>
    </w:p>
    <w:p>
      <w:pPr>
        <w:spacing w:after="0" w:line="22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9"/>
          <w:szCs w:val="19"/>
          <w:color w:val="auto"/>
        </w:rPr>
        <w:t>The Company consolidates certain VIEs for which it is the primary beneficiary. Such VIEs consist of certain operating entities not wholly-owned by the Company (e.g., SPD, SRA and SRE), SPW, legacy Greenspring general partner entities and certain StepStone Funds. See note 2 for more information on the Company’s accounting policies related to the consolidation of VIEs. The assets of the consolidated VIEs totaled $1,760.3 million and $1,376.0 million as of September 30, 2025 and March 31, 2025, respectively. The liabilities of the consolidated VIEs totaled $2,410.0 million and $1,278.7 million as of September 30, 2025 and March 31, 2025,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September 30, 2025 and March 31, 2025, no material amounts previously distributed have been accrued for clawback liabilities.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Unconsolidated VIEs</w:t>
      </w:r>
    </w:p>
    <w:p>
      <w:pPr>
        <w:spacing w:after="0" w:line="233"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20"/>
          <w:szCs w:val="20"/>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560" w:type="dxa"/>
            <w:vAlign w:val="bottom"/>
            <w:tcBorders>
              <w:bottom w:val="single" w:sz="8" w:color="auto"/>
            </w:tcBorders>
          </w:tcPr>
          <w:p>
            <w:pPr>
              <w:spacing w:after="0"/>
              <w:rPr>
                <w:sz w:val="18"/>
                <w:szCs w:val="18"/>
                <w:color w:val="auto"/>
              </w:rPr>
            </w:pPr>
          </w:p>
        </w:tc>
      </w:tr>
      <w:tr>
        <w:trPr>
          <w:trHeight w:val="211"/>
        </w:trPr>
        <w:tc>
          <w:tcPr>
            <w:tcW w:w="7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176,339</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133,489</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 net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47,693</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subsidiaries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26,465</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legacy Greenspring entities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134,551</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133,489</w:t>
            </w:r>
          </w:p>
        </w:tc>
      </w:tr>
      <w:tr>
        <w:trPr>
          <w:trHeight w:val="223"/>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exposure to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222,119</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197,567</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Investments</w:t>
      </w:r>
    </w:p>
    <w:p>
      <w:pPr>
        <w:spacing w:after="0" w:line="2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in the condensed consolidated statements of income (loss).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in the condensed consolidated statements of income (loss).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Method Investments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equity method investments consist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560" w:type="dxa"/>
            <w:vAlign w:val="bottom"/>
            <w:tcBorders>
              <w:bottom w:val="single" w:sz="8" w:color="auto"/>
            </w:tcBorders>
          </w:tcPr>
          <w:p>
            <w:pPr>
              <w:spacing w:after="0"/>
              <w:rPr>
                <w:sz w:val="18"/>
                <w:szCs w:val="18"/>
                <w:color w:val="auto"/>
              </w:rPr>
            </w:pPr>
          </w:p>
        </w:tc>
      </w:tr>
      <w:tr>
        <w:trPr>
          <w:trHeight w:val="211"/>
        </w:trPr>
        <w:tc>
          <w:tcPr>
            <w:tcW w:w="7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744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Investments in funds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210,162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183,694</w:t>
            </w: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1,733,922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1,495,664</w:t>
            </w:r>
          </w:p>
        </w:tc>
      </w:tr>
      <w:tr>
        <w:trPr>
          <w:trHeight w:val="229"/>
        </w:trPr>
        <w:tc>
          <w:tcPr>
            <w:tcW w:w="74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679,470</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629,228</w:t>
            </w:r>
          </w:p>
        </w:tc>
      </w:tr>
      <w:tr>
        <w:trPr>
          <w:trHeight w:val="223"/>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2,623,554</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2,308,586</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320" w:hanging="652"/>
        <w:spacing w:after="0" w:line="250"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investments in funds were $313.9 million and $275.7 million as of September 30, 2025 and March 31, 2025, respectively. The consolidation of the Consolidated Funds results in the elimination of the Company’s investments in such funds.</w:t>
      </w:r>
    </w:p>
    <w:p>
      <w:pPr>
        <w:ind w:left="660" w:right="420" w:hanging="652"/>
        <w:spacing w:after="0" w:line="260"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investments in funds of $134.6 million and $133.5 million and carried interest allocations of $544.9 million and $495.7 million as of September 30, 2025 and March 31, 2025, respectively.</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recognized equity method income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r>
      <w:tr>
        <w:trPr>
          <w:trHeight w:val="211"/>
        </w:trPr>
        <w:tc>
          <w:tcPr>
            <w:tcW w:w="5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Carried interest allocations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319,978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86,481</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 income (loss)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w:t>
            </w: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equity method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The increase in carried interest allocations for the three months ended September 30, 2025 as compared to the three months ended September 30, 2024 was primarily attributable to higher net unrealized appreciation in the fair value of certain underlying fund investments in the Company’s private equity funds. The increase in carried interest allocations for the six months ended September 30, 2025 as compared to the six months ended September 30, 2024 was primarily attributable to higher net unrealized appreciation in the fair value of certain underlying fund investments in the Company’s private equity funds. The increase in legacy Greenspring carried interest allocations for the three months ended September 30, 2025 as compared to the three months ended September 30, 2024 was primarily attributable to higher net unrealized appreciation in the fair value of certain underlying fund investments in the current year period as compared to the prior year period. The increase in legacy Greenspring carried interest allocations for the six months ended September 30, 2025 as compared to the six months ended September 30, 2024 was primarily attributable to higher net unrealized appreciation in the fair value of certain underlying fund investments in the current year period as compared to the prior year period. See note 2 for a discussion of the Company’s accounting policy for investments on a three-month lag.</w:t>
      </w:r>
    </w:p>
    <w:p>
      <w:pPr>
        <w:spacing w:after="0" w:line="20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As of September 30, 2025 and March 31, 2025, the Company’s investment in one SMA represented 10% or more of the total accrued carried interest allocations balance, and in the aggregate represented approximately 14% and 15%, respectively, of the total accrued carried interest allocations balance as of those dates. As of September 30, 2025 and March 31, 2025, the Company’s investments in each of three commingled funds individually represented 10% or more of the total legacy Greenspring accrued carried interest allocations balance, and in the aggregate represented approximately 54% and 47%, respectively, of the total legacy Greenspring accrued carried interest allocations balances as of those dates.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320" w:firstLine="648"/>
        <w:spacing w:after="0" w:line="253" w:lineRule="auto"/>
        <w:rPr>
          <w:sz w:val="20"/>
          <w:szCs w:val="20"/>
          <w:color w:val="auto"/>
        </w:rPr>
      </w:pPr>
      <w:r>
        <w:rPr>
          <w:rFonts w:ascii="Times New Roman" w:cs="Times New Roman" w:eastAsia="Times New Roman" w:hAnsi="Times New Roman"/>
          <w:sz w:val="20"/>
          <w:szCs w:val="20"/>
          <w:color w:val="auto"/>
        </w:rPr>
        <w:t>Of the total accrued carried interest allocations balance as of September 30, 2025 and March 31, 2025, $891.5 million and $758.0 million, respectively, were payable to affiliates and are included in accrued carried interest-related compensation in the condensed consolidated balance sheets. Of the total legacy Greenspring investments in funds and accrued carried interest allocations balance as of September 30, 2025 and March 31, 2025, $544.9 million and $495.7 million, respectively, were payable to employees who are considered affiliates of the Company and are included in legacy Greenspring accrued carried interest-related compensation in the condensed consolidated balance sheets and $134.6 million and $133.5 million, respectively, are reflected as non-controlling interests in legacy Greenspring entities in the condensed consolidated balance sheets.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evaluates each of its equity method investments to determine if any are considered significant as defined by the SEC.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September 30, 2025 and March 31, 2025, no individual equity method investment held by the Company met the significance criteria.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result, the Company is not required to provide separate financial statements for any of its equity method investments.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 of Consolidated Funds</w:t>
      </w:r>
    </w:p>
    <w:p>
      <w:pPr>
        <w:spacing w:after="0" w:line="233" w:lineRule="exact"/>
        <w:rPr>
          <w:sz w:val="20"/>
          <w:szCs w:val="20"/>
          <w:color w:val="auto"/>
        </w:rPr>
      </w:pPr>
    </w:p>
    <w:p>
      <w:pPr>
        <w:ind w:right="920" w:firstLine="648"/>
        <w:spacing w:after="0" w:line="269" w:lineRule="auto"/>
        <w:rPr>
          <w:sz w:val="20"/>
          <w:szCs w:val="20"/>
          <w:color w:val="auto"/>
        </w:rPr>
      </w:pPr>
      <w:r>
        <w:rPr>
          <w:rFonts w:ascii="Times New Roman" w:cs="Times New Roman" w:eastAsia="Times New Roman" w:hAnsi="Times New Roman"/>
          <w:sz w:val="20"/>
          <w:szCs w:val="20"/>
          <w:color w:val="auto"/>
        </w:rPr>
        <w:t>The Company consolidates funds and entities when it is deemed to hold a controlling financial interest. The activity of the Consolidated Funds is reflected within the condensed consolidated financial statements.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Investments held by the Consolidated Funds are summarized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240" w:type="dxa"/>
            <w:vAlign w:val="bottom"/>
          </w:tcPr>
          <w:p>
            <w:pPr>
              <w:spacing w:after="0"/>
              <w:rPr>
                <w:sz w:val="18"/>
                <w:szCs w:val="18"/>
                <w:color w:val="auto"/>
              </w:rPr>
            </w:pPr>
          </w:p>
        </w:tc>
        <w:tc>
          <w:tcPr>
            <w:tcW w:w="29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Percentage of Total Investments as of</w:t>
            </w: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1420" w:type="dxa"/>
            <w:vAlign w:val="bottom"/>
            <w:gridSpan w:val="3"/>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2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240" w:type="dxa"/>
            <w:vAlign w:val="bottom"/>
          </w:tcPr>
          <w:p>
            <w:pPr>
              <w:spacing w:after="0"/>
              <w:rPr>
                <w:sz w:val="13"/>
                <w:szCs w:val="13"/>
                <w:color w:val="auto"/>
              </w:rPr>
            </w:pPr>
          </w:p>
        </w:tc>
        <w:tc>
          <w:tcPr>
            <w:tcW w:w="158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58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Debt securities (cost of $1.9 million and $0 million as of September 30,</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and March 31, 2025, respectively)</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4"/>
        </w:trPr>
        <w:tc>
          <w:tcPr>
            <w:tcW w:w="52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securities (cost of $68.9 million and $60.0 million as of</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2025 and March 31, 2025, respectively)</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88,478</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84"/>
        </w:trPr>
        <w:tc>
          <w:tcPr>
            <w:tcW w:w="5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Partnership and LLC interests (cost of $409.2 million and $257.0</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million as of September 30, 2025 and March 31, 2025, respectively)</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557,434</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344,833</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4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investments of Consolidated Funds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647,827</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415,011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September 30, 2025 and March 31, 2025, no individual investment had a fair value greater than 5% of the Company’s total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net realized and unrealized gains (losses) from investment activities of the Consolidated Funds: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29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r>
      <w:tr>
        <w:trPr>
          <w:trHeight w:val="211"/>
        </w:trPr>
        <w:tc>
          <w:tcPr>
            <w:tcW w:w="56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 of Consolidated Funds: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66,318</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15,570</w:t>
            </w:r>
          </w:p>
        </w:tc>
      </w:tr>
      <w:tr>
        <w:trPr>
          <w:trHeight w:val="223"/>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investment income of Consolidated Funds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46,044</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67,715</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15,841</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measures certain assets and liabilities at fair value on a recurring basis.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the Company</w:t>
      </w:r>
    </w:p>
    <w:p>
      <w:pPr>
        <w:spacing w:after="0" w:line="233" w:lineRule="exact"/>
        <w:rPr>
          <w:sz w:val="20"/>
          <w:szCs w:val="20"/>
          <w:color w:val="auto"/>
        </w:rPr>
      </w:pPr>
    </w:p>
    <w:p>
      <w:pPr>
        <w:ind w:right="660" w:firstLine="648"/>
        <w:spacing w:after="0" w:line="269" w:lineRule="auto"/>
        <w:rPr>
          <w:sz w:val="20"/>
          <w:szCs w:val="20"/>
          <w:color w:val="auto"/>
        </w:rPr>
      </w:pPr>
      <w:r>
        <w:rPr>
          <w:rFonts w:ascii="Times New Roman" w:cs="Times New Roman" w:eastAsia="Times New Roman" w:hAnsi="Times New Roman"/>
          <w:sz w:val="20"/>
          <w:szCs w:val="20"/>
          <w:color w:val="auto"/>
        </w:rPr>
        <w:t>As of September 30, 2025 and March 31, 2025, respectively, the Company held no financial instruments within the fair value hierarchy measured at fair value on a recurring basis.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Contingent Consideration</w:t>
      </w:r>
    </w:p>
    <w:p>
      <w:pPr>
        <w:spacing w:after="0" w:line="23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The Company previously held a contingent consideration obligation liability that was measured at fair value on a recurring basis. The fair value of the contingent consideration obligation was based on a discounted cash flow analysis using a probability-weighted average estimate of certain performance targets, including revenue levels. The significant unobservable inputs required to value the contingent consideration obligation primarily related to the future expected revenues and the discount rate applied to the expected future revenues and payments of obligations. The management fee revenue target for calendar year 2024 was achieved resulting in the full earn-out amount of $75.0 million, which was fully paid during the three months ended March 31, 2025. In accordance with the contingent consideration arrangement, a portion of the contingent earn-out liability otherwise payable to the sellers included amounts paid to certain of the Company’s employees and former employees during the year ended March 31, 2025. As a result, the contingent consideration liability was settled net of $5.8 million paid. Changes in the fair value of the liabilities are included in general, administrative and other expenses in the condensed consolidated statements of income (loss).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Consolidated Funds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securities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76,727</w:t>
            </w: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63,664</w:t>
            </w: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64,530</w:t>
            </w: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three and six months ended September 30, 2025 and 2024.</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0"/>
          <w:szCs w:val="20"/>
          <w:color w:val="auto"/>
        </w:rPr>
        <w:t>The Company generally values its investment funds, which are generally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September 30, 2025 and March 31, 2025, investments with a combined fair value of $568.1 million and $350.5 million, respectively, are excluded from presentation in the fair value hierarchy as the fair value of these investments were measured at net asset value. As of September 30, 2025 and March 31, 2025, investments with a combined fair value of $79.8 million and $64.5 million, respectively, were classified as Level III investments. Depending on the valuation methodology applied, the significant unobservable input used to value these investments classified as Level III investments may include the enterprise value to revenue multiple, discounts to recent transaction prices or recent round of financing, or the yield method.</w:t>
      </w:r>
    </w:p>
    <w:p>
      <w:pPr>
        <w:spacing w:after="0" w:line="176"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Consolidated Funds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0" w:type="dxa"/>
            <w:vAlign w:val="bottom"/>
          </w:tcPr>
          <w:p>
            <w:pPr>
              <w:spacing w:after="0"/>
              <w:rPr>
                <w:sz w:val="1"/>
                <w:szCs w:val="1"/>
                <w:color w:val="auto"/>
              </w:rPr>
            </w:pPr>
          </w:p>
        </w:tc>
      </w:tr>
      <w:tr>
        <w:trPr>
          <w:trHeight w:val="211"/>
        </w:trPr>
        <w:tc>
          <w:tcPr>
            <w:tcW w:w="5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Instruments of Consolidated Funds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71,534</w:t>
            </w:r>
          </w:p>
        </w:tc>
        <w:tc>
          <w:tcPr>
            <w:tcW w:w="2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Transfers into Level III</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0" w:type="dxa"/>
            <w:vAlign w:val="bottom"/>
          </w:tcPr>
          <w:p>
            <w:pPr>
              <w:spacing w:after="0"/>
              <w:rPr>
                <w:sz w:val="1"/>
                <w:szCs w:val="1"/>
                <w:color w:val="auto"/>
              </w:rPr>
            </w:pPr>
          </w:p>
        </w:tc>
      </w:tr>
      <w:tr>
        <w:trPr>
          <w:trHeight w:val="229"/>
        </w:trPr>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Transfers out of Level III</w:t>
            </w:r>
          </w:p>
        </w:tc>
        <w:tc>
          <w:tcPr>
            <w:tcW w:w="1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0" w:type="dxa"/>
            <w:vAlign w:val="bottom"/>
          </w:tcPr>
          <w:p>
            <w:pPr>
              <w:spacing w:after="0"/>
              <w:rPr>
                <w:sz w:val="1"/>
                <w:szCs w:val="1"/>
                <w:color w:val="auto"/>
              </w:rPr>
            </w:pPr>
          </w:p>
        </w:tc>
      </w:tr>
      <w:tr>
        <w:trPr>
          <w:trHeight w:val="230"/>
        </w:trPr>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Changes in unrealized gains included in earnings related to financial assets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4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4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still held at the reporting date</w:t>
            </w:r>
          </w:p>
        </w:tc>
        <w:tc>
          <w:tcPr>
            <w:tcW w:w="1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Intangibles and Goodwill</w:t>
      </w:r>
    </w:p>
    <w:p>
      <w:pPr>
        <w:spacing w:after="0" w:line="233" w:lineRule="exact"/>
        <w:rPr>
          <w:sz w:val="20"/>
          <w:szCs w:val="20"/>
          <w:color w:val="auto"/>
        </w:rPr>
      </w:pPr>
    </w:p>
    <w:p>
      <w:pPr>
        <w:ind w:right="980" w:firstLine="648"/>
        <w:spacing w:after="0" w:line="269" w:lineRule="auto"/>
        <w:rPr>
          <w:sz w:val="20"/>
          <w:szCs w:val="20"/>
          <w:color w:val="auto"/>
        </w:rPr>
      </w:pPr>
      <w:r>
        <w:rPr>
          <w:rFonts w:ascii="Times New Roman" w:cs="Times New Roman" w:eastAsia="Times New Roman" w:hAnsi="Times New Roman"/>
          <w:sz w:val="20"/>
          <w:szCs w:val="20"/>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consists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contracts</w:t>
            </w: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(205,194)</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(184,780)</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Intangible assets, net</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243,458</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263,872</w:t>
            </w:r>
          </w:p>
        </w:tc>
      </w:tr>
      <w:tr>
        <w:trPr>
          <w:trHeight w:val="20"/>
        </w:trPr>
        <w:tc>
          <w:tcPr>
            <w:tcW w:w="8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Amortization expense related to intangible assets was $10.2 million and $10.3 million for the three months ended September 30, 2025 and 2024, respectively, and $20.4 million and $20.5 million for the six months ended September 30, 2025 and 2024, respectively. These amounts are included in general, administrative and other expenses in the condensed consolidated statements of income (loss).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9800" w:type="dxa"/>
            <w:vAlign w:val="bottom"/>
          </w:tcPr>
          <w:p>
            <w:pPr>
              <w:jc w:val="center"/>
              <w:ind w:left="1368"/>
              <w:spacing w:after="0"/>
              <w:rPr>
                <w:sz w:val="20"/>
                <w:szCs w:val="20"/>
                <w:color w:val="auto"/>
              </w:rPr>
            </w:pPr>
            <w:r>
              <w:rPr>
                <w:rFonts w:ascii="Times New Roman" w:cs="Times New Roman" w:eastAsia="Times New Roman" w:hAnsi="Times New Roman"/>
                <w:sz w:val="20"/>
                <w:szCs w:val="20"/>
                <w:b w:val="1"/>
                <w:bCs w:val="1"/>
                <w:color w:val="auto"/>
                <w:w w:val="98"/>
              </w:rPr>
              <w:t>StepStone Group Inc.</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2"/>
        </w:trPr>
        <w:tc>
          <w:tcPr>
            <w:tcW w:w="9800" w:type="dxa"/>
            <w:vAlign w:val="bottom"/>
          </w:tcPr>
          <w:p>
            <w:pPr>
              <w:jc w:val="center"/>
              <w:ind w:left="1348"/>
              <w:spacing w:after="0"/>
              <w:rPr>
                <w:sz w:val="20"/>
                <w:szCs w:val="20"/>
                <w:color w:val="auto"/>
              </w:rPr>
            </w:pPr>
            <w:r>
              <w:rPr>
                <w:rFonts w:ascii="Times New Roman" w:cs="Times New Roman" w:eastAsia="Times New Roman" w:hAnsi="Times New Roman"/>
                <w:sz w:val="20"/>
                <w:szCs w:val="20"/>
                <w:b w:val="1"/>
                <w:bCs w:val="1"/>
                <w:color w:val="auto"/>
                <w:w w:val="98"/>
              </w:rPr>
              <w:t>Notes to Condensed Consolidated Financial Statements (Unaudited)</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8"/>
        </w:trPr>
        <w:tc>
          <w:tcPr>
            <w:tcW w:w="9800" w:type="dxa"/>
            <w:vAlign w:val="bottom"/>
          </w:tcPr>
          <w:p>
            <w:pPr>
              <w:jc w:val="center"/>
              <w:ind w:left="1368"/>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73"/>
        </w:trPr>
        <w:tc>
          <w:tcPr>
            <w:tcW w:w="9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At September 30, 2025, the expected future amortization of finite-lived intangible assets is as follows: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1"/>
        </w:trPr>
        <w:tc>
          <w:tcPr>
            <w:tcW w:w="9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FY2026</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20,414</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FY2029</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FY2030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60,008</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243,458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The carrying value of goodwill was $580.5 million as of September 30, 2025 and March 31, 2025. The Company determined there was no indication of goodwill impairment as of September 30, 2025 and March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Debt Obligations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debt obligations consist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20" w:type="dxa"/>
            <w:vAlign w:val="bottom"/>
          </w:tcPr>
          <w:p>
            <w:pPr>
              <w:spacing w:after="0"/>
              <w:rPr>
                <w:sz w:val="19"/>
                <w:szCs w:val="19"/>
                <w:color w:val="auto"/>
              </w:rPr>
            </w:pPr>
          </w:p>
        </w:tc>
        <w:tc>
          <w:tcPr>
            <w:tcW w:w="1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senior notes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remaining principal</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269,920</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269,268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2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On October 22, 2024, the Partnership issued $175.0 million aggregate principal amount of its 5.52% Series A senior notes due October 22, 2029 (the “Notes”), pursuant to a note purchase agreement, dated as of October 22, 2024 (the “Note Purchase Agreement”), in a private placement exempt from registration under the Securities Act.</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is payable semi-annually in arrears on April 22 and October 22 of each year. Interest on the Notes accrues from and including October 22, 2024. The Notes will mature on October 22, 2029. The Partnership may, at its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7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The fair value of the Notes, which are recorded at amortized cost, is classified as a Level III valuation within the fair value hierarchy. As of September 30, 2025 and March 31, 2025, respectively, the carrying value of the Notes, net of debt issuance costs, approximated fair value.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4" w:name="page35"/>
    <w:bookmarkEnd w:id="34"/>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33"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auto"/>
        </w:rPr>
        <w:t>The Company is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the administrative agent and collateral agent, and certain other lenders party thereto and provides for a $300.0 million multicurrency revolving credit facility (the “Revolver”).</w:t>
      </w:r>
    </w:p>
    <w:p>
      <w:pPr>
        <w:spacing w:after="0" w:line="192"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The Company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September 30, 2025 was 6.40%.</w:t>
      </w:r>
    </w:p>
    <w:p>
      <w:pPr>
        <w:spacing w:after="0" w:line="20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68"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68"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20"/>
          <w:szCs w:val="20"/>
          <w:color w:val="auto"/>
        </w:rPr>
        <w:t>The Company can use available funding capacity under the Revolver to satisfy letters of credit in amounts up to $10.0 million. Amounts used to satisfy the letters of credit reduce the available capacity under the Revolver. As of September 30, 2025, the Company had outstanding letters of credit totaling $10.1 million.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Obligations of Consolidated Funds</w:t>
      </w:r>
    </w:p>
    <w:p>
      <w:pPr>
        <w:spacing w:after="0" w:line="233"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Certain Consolidated Funds may maintain revolving credit facilities that are secured by fund assets to fund investments on a short-term basis. The debt obligations of the Consolidated Funds are non-recourse to the Company.</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20"/>
          <w:szCs w:val="20"/>
          <w:color w:val="auto"/>
        </w:rPr>
        <w:t>In December 2024, one of the Company’s consolidated investment funds entered into a credit agreement with Northern Trust Global Service SE (the “Fund Credit Facility”). The Fund Credit Facility provides for a multi-currency revolving credit facility of up to</w:t>
      </w: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$125.0 million. Amounts drawn under the facility must be repaid within 180 days. As of September 30, 2025, the outstanding balance on the Fund Credit Facility was $17.5 million and is presented within other liabilities of Consolidated Funds in the condensed consolidated balance sheets. The outstanding borrowings under the Fund Credit Facility mature in March 2026.</w:t>
      </w:r>
    </w:p>
    <w:p>
      <w:pPr>
        <w:spacing w:after="0" w:line="19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 The weighted-average interest rate in effect for the Fund Credit Facility as of September 30, 2025 was 6.75%.</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 carrying value of the Fund Credit Facility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Covenants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Senior Notes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The Note Purchase Agreement contains certain covenants, including those requiring the Company to (a) maintain a total net leverage ratio, (b) maintain a minimum total of fee-earning assets under management, (c) cause at least 80% of all management fees payable by material subsidiaries to the Company to be collected each period without deferral, waiver or reduction, (d) limit the amount of secured indebtedness to be incurred by the Company,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233"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the Company to maintain a total net leverage ratio and a minimum total of fee-earning assets under management.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Fund Credit Facility</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Under the terms of the Fund Credit Facility, certain of the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September 30, 2025, the Company was in compliance with the covenants under its various debt agreements.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Equity-Based Compensation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RSUs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Date Fair Value Per 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42.28</w:t>
            </w: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center"/>
              <w:ind w:left="1313"/>
              <w:spacing w:after="0"/>
              <w:rPr>
                <w:sz w:val="20"/>
                <w:szCs w:val="20"/>
                <w:color w:val="auto"/>
              </w:rPr>
            </w:pPr>
            <w:r>
              <w:rPr>
                <w:rFonts w:ascii="Times New Roman" w:cs="Times New Roman" w:eastAsia="Times New Roman" w:hAnsi="Times New Roman"/>
                <w:sz w:val="18"/>
                <w:szCs w:val="18"/>
                <w:color w:val="auto"/>
                <w:w w:val="98"/>
              </w:rPr>
              <w:t>59.44</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50.93</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rPr>
              <w:t>(36.74)</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43.28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Performance-Based Restricted Stock Units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PRSUs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Number of PRSUs</w:t>
            </w:r>
          </w:p>
        </w:tc>
        <w:tc>
          <w:tcPr>
            <w:tcW w:w="120" w:type="dxa"/>
            <w:vAlign w:val="bottom"/>
          </w:tcPr>
          <w:p>
            <w:pPr>
              <w:spacing w:after="0"/>
              <w:rPr>
                <w:sz w:val="16"/>
                <w:szCs w:val="16"/>
                <w:color w:val="auto"/>
              </w:rPr>
            </w:pPr>
          </w:p>
        </w:tc>
        <w:tc>
          <w:tcPr>
            <w:tcW w:w="198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Date Fair Value Per PRSU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720" w:firstLine="648"/>
        <w:spacing w:after="0" w:line="269" w:lineRule="auto"/>
        <w:rPr>
          <w:sz w:val="20"/>
          <w:szCs w:val="20"/>
          <w:color w:val="auto"/>
        </w:rPr>
      </w:pPr>
      <w:r>
        <w:rPr>
          <w:rFonts w:ascii="Times New Roman" w:cs="Times New Roman" w:eastAsia="Times New Roman" w:hAnsi="Times New Roman"/>
          <w:sz w:val="20"/>
          <w:szCs w:val="20"/>
          <w:color w:val="auto"/>
        </w:rPr>
        <w:t>As of September 30, 2025, $47.3 million of unrecognized non-cash compensation expense in respect of equity-based awards remained to be recognized over a weighted-average period of approximately 3.2 years.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Awards of Partnership Units</w:t>
      </w:r>
    </w:p>
    <w:p>
      <w:pPr>
        <w:spacing w:after="0" w:line="233" w:lineRule="exact"/>
        <w:rPr>
          <w:sz w:val="20"/>
          <w:szCs w:val="20"/>
          <w:color w:val="auto"/>
        </w:rPr>
      </w:pPr>
    </w:p>
    <w:p>
      <w:pPr>
        <w:ind w:right="760" w:firstLine="648"/>
        <w:spacing w:after="0" w:line="269" w:lineRule="auto"/>
        <w:rPr>
          <w:sz w:val="20"/>
          <w:szCs w:val="20"/>
          <w:color w:val="auto"/>
        </w:rPr>
      </w:pPr>
      <w:r>
        <w:rPr>
          <w:rFonts w:ascii="Times New Roman" w:cs="Times New Roman" w:eastAsia="Times New Roman" w:hAnsi="Times New Roman"/>
          <w:sz w:val="20"/>
          <w:szCs w:val="20"/>
          <w:color w:val="auto"/>
        </w:rPr>
        <w:t>In June 2024, 2,566,566 outstanding Class B2 units fully vested and were automatically converted into Class B units and all unitholders purchased from the Company one share of Class B common stock for each Class B unit at its par value.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Liability Classified Awards</w:t>
      </w:r>
    </w:p>
    <w:p>
      <w:pPr>
        <w:spacing w:after="0" w:line="23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9"/>
          <w:szCs w:val="19"/>
          <w:color w:val="auto"/>
        </w:rPr>
        <w:t>In November 2022, the Company issued a profits interest in SPW to certain employees of the SPW team and concurrently entered into an option agreement which provides that (i) StepStone has the right to acquire the profits interest at the end of any fiscal quarter after June 30, 2027, in exchange for payment of a call price and (ii) the SPW management team, through an entity named CH Equity Partners, LLC, has the right to put the profits interest to StepStone on June 30, 2026 or at the end of any fiscal quarter thereafter, in exchange for payment of a put price. The applicable call or put price is, in certain circumstances, subject to an earn-out or earn-down. The call or put price will be payable in cash unless the Company elects to pay a portion of the consideration in units of the Partnership, each to be exchangeable into shares of the Company’s Class A common stock, and, in either case, rights under one or more tax receivable agreements.</w:t>
      </w:r>
    </w:p>
    <w:p>
      <w:pPr>
        <w:spacing w:after="0" w:line="1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 accounted for the profits interest and option agreement as a single unit of account as a liability classified equity-based award. There are no vesting provisions or service requirements related to the award. The fair value of the liability classified awards is based on the contractual redemption price. The contractual transaction price is calculated based on the adjusted net income of SPW multiplied by an adjusted trading multiple for the Company’s Class A common stock, and then increased or reduced for certain other specified items. Certain assumptions used in determining the fair value are inherently subjective; therefore, the ultimate settlement amount for the liability classified awards may differ materially from the current estimate. The significant unobservable inputs required to value the liability classified awards primarily relate to future projected earnings of SPW, a discount rate and a trading multiple. The Company applied a discount rate of 30% and 34% as of September 30, 2025 and March 31, 2025, respectively, and an adjusted trading multiple of 20.0x as of September 30, 2025 and March 31, 2025, respectively.</w:t>
      </w:r>
    </w:p>
    <w:p>
      <w:pPr>
        <w:spacing w:after="0" w:line="176" w:lineRule="exact"/>
        <w:rPr>
          <w:sz w:val="20"/>
          <w:szCs w:val="20"/>
          <w:color w:val="auto"/>
        </w:rPr>
      </w:pPr>
    </w:p>
    <w:p>
      <w:pPr>
        <w:ind w:right="260" w:firstLine="648"/>
        <w:spacing w:after="0" w:line="251" w:lineRule="auto"/>
        <w:rPr>
          <w:sz w:val="20"/>
          <w:szCs w:val="20"/>
          <w:color w:val="auto"/>
        </w:rPr>
      </w:pPr>
      <w:r>
        <w:rPr>
          <w:rFonts w:ascii="Times New Roman" w:cs="Times New Roman" w:eastAsia="Times New Roman" w:hAnsi="Times New Roman"/>
          <w:sz w:val="20"/>
          <w:szCs w:val="20"/>
          <w:color w:val="auto"/>
        </w:rPr>
        <w:t>The Company recognized $879.7 million and $32.0 million during the three months ended September 30, 2025 and 2024, respectively, and $1,063.7 million and $45.5 million during the six months ended September 30, 2025 and 2024, respectively, of expense related to liability classified awards within equity-based compensation expense in the condensed consolidated statements of income (loss). For the three and six months ended September 30, 2025, the Company paid $8.5 million and $15.1 million, respectively, related to the settlement of liability classified awards. For the three and six months ended September 30, 2024, the Company paid $0.6 million related to the settlement of liability classified awards. As of September 30, 2025 and March 31, 2025, the Company had recognized $1,712.9 million and $663.9 million, respectively, for liability classified awards within accrued compensation and benefits in the condensed consolidated balance sheets.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22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Company has an ESPP under which eligible employees may purchase shares of Class A common stock of the Company at six-month period intervals for 85% of the lower of the fair market value on either the first or last trading day of the offering period. The offering periods run from April 1 to September 30, and October 1 to March 31 each year. Each eligible employee may purchase up to five thousand dollars worth of shares each six-month offering period, limited to a maximum of 1,000 shares. During the three and six months ended September 30, 2025, 37,712 shares were purchased under the ESPP. During the three and six months ended September 30, 2024, 38,096 shares were purchased under the ESPP. As of September 30, 2025, the Company has 2,092,481 shares of Class A common stock reserved for future issuances under the ESPP.</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3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In connection with the exchanges of Class B, Class C and Class D units of the Partnership for Class A common stock by certain limited partners of the Partnership during the three months ended September 30, 2025, the Company recorded an increase to the deferred tax asset of $8.8 million and an increase in the valuation allowance of $2.4 million. Additionally, a corresponding Tax Receivable Agreements liability of $7.4 million was recorded, representing 85% of the incremental net cash tax savings for the Company as a result of these exchanges. The Company also recorded a $1.7 million decrease to the Tax Receivable Agreements liability in connection with certain basis adjustments to the estimated net cash tax savings from prior exchanges. The Company made no payments during the three months ended September 30, 2025 and 2024, respectively, and payments of $11.5 million and $9.8 million during the six months ended September 30, 2025 and 2024, respectively, under the Tax Receivable Agreements. As of September 30, 2025, the Company’s total Tax Receivable Agreements liability was $321.6 million. See note 12 for more information on the Tax Receivable Agreements.</w:t>
      </w:r>
    </w:p>
    <w:p>
      <w:pPr>
        <w:spacing w:after="0" w:line="193" w:lineRule="exact"/>
        <w:rPr>
          <w:sz w:val="20"/>
          <w:szCs w:val="20"/>
          <w:color w:val="auto"/>
        </w:rPr>
      </w:pPr>
    </w:p>
    <w:p>
      <w:pPr>
        <w:jc w:val="both"/>
        <w:ind w:right="80" w:firstLine="648"/>
        <w:spacing w:after="0" w:line="253" w:lineRule="auto"/>
        <w:rPr>
          <w:sz w:val="20"/>
          <w:szCs w:val="20"/>
          <w:color w:val="auto"/>
        </w:rPr>
      </w:pPr>
      <w:r>
        <w:rPr>
          <w:rFonts w:ascii="Times New Roman" w:cs="Times New Roman" w:eastAsia="Times New Roman" w:hAnsi="Times New Roman"/>
          <w:sz w:val="20"/>
          <w:szCs w:val="20"/>
          <w:color w:val="auto"/>
        </w:rPr>
        <w:t>During the three and six months ended September 30, 2025, the Company recognized an expense within equity-based compensation expense in the condensed consolidated statements of income (loss) to remeasure the profits interests issued in SPW which are accounted for as liability classified awards. This expense is not currently deductible for tax purposes, resulting in a temporary difference that increased the Company’s deferred tax asset by $125.1 million and $150.3 million during the three and six months ended September 30, 2025, respectively. See note 9 for more information.</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Company’s effective tax rate was 14.8% and 8.2% for the three months ended September 30, 2025 and 2024, respectively and 15.6% and 10.2% for the six months ended September 30, 2025 and 2024, respectively. The Company’s overall effective tax rate in each of the periods described above is less than the statutory rate. For the three and six months ended September 30, 2025, this is primarily due to a portion of net loss allocated to non-controlling interests and the related tax benefit being borne by the holders of non-controlling interests. For the three and six months ended September 30, 2024, this is primarily due to a portion of net income allocated to non-controlling interests and the related tax liability being borne by the holders of non-controlling interests. The increase in the effective tax rate for the three and six months ended September 30, 2025 as compared to the prior year period was mainly driven by a decrease in the tax benefit associated with net loss allocated to non-controlling interests in a period of increased pre-tax net loss, as well as an increase in tax benefits associated with the vesting of RSUs for the three and six months ended September 30, 2024.</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The Company continues to monitor and evaluate legislative developments related to the proposed Global Anti-Base Erosion (“GloBE”) Model Rules established under the Organization for Economic Co-operation and Development’s Pillar Two framework. Several countries where the Company operates have adopted GloBE into their legislation, and additional countries are anticipated to adopt these rules in the future. To date, these legislative changes have not had a material impact on the Company’s effective tax rate.</w:t>
      </w:r>
    </w:p>
    <w:p>
      <w:pPr>
        <w:spacing w:after="0" w:line="186"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17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As of September 30, 2025, the Company has not recorded any unrecognized tax benefits and does not expect there to be any material changes to uncertain tax positions within the next 12 months.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33"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20"/>
          <w:szCs w:val="20"/>
          <w:color w:val="auto"/>
        </w:rPr>
        <w:t>Basic and diluted earnings per share of Class A common stock are presented for the three and six months ended September 30, 2025 and 2024. The following table sets forth reconciliations of the numerators and denominators used to compute basic and diluted earnings per share of Class A common stock: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1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StepStone Group Inc.</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Basic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(366,142)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30,960</w:t>
            </w:r>
          </w:p>
        </w:tc>
        <w:tc>
          <w:tcPr>
            <w:tcW w:w="0" w:type="dxa"/>
            <w:vAlign w:val="bottom"/>
          </w:tcPr>
          <w:p>
            <w:pPr>
              <w:spacing w:after="0"/>
              <w:rPr>
                <w:sz w:val="1"/>
                <w:szCs w:val="1"/>
                <w:color w:val="auto"/>
              </w:rPr>
            </w:pPr>
          </w:p>
        </w:tc>
      </w:tr>
      <w:tr>
        <w:trPr>
          <w:trHeight w:val="230"/>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Incremental income from assumed vesting of RSUs</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81"/>
        </w:trPr>
        <w:tc>
          <w:tcPr>
            <w:tcW w:w="4240" w:type="dxa"/>
            <w:vAlign w:val="bottom"/>
            <w:shd w:val="clear" w:color="auto" w:fill="CCEEFF"/>
          </w:tcPr>
          <w:p>
            <w:pPr>
              <w:ind w:left="460"/>
              <w:spacing w:after="0" w:line="181" w:lineRule="exact"/>
              <w:rPr>
                <w:sz w:val="20"/>
                <w:szCs w:val="20"/>
                <w:color w:val="auto"/>
              </w:rPr>
            </w:pPr>
            <w:r>
              <w:rPr>
                <w:rFonts w:ascii="Times New Roman" w:cs="Times New Roman" w:eastAsia="Times New Roman" w:hAnsi="Times New Roman"/>
                <w:sz w:val="18"/>
                <w:szCs w:val="18"/>
                <w:color w:val="auto"/>
              </w:rPr>
              <w:t>Incremental income from assumed vesting and</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shd w:val="clear" w:color="auto" w:fill="CCEEFF"/>
          </w:tcPr>
          <w:p>
            <w:pPr>
              <w:ind w:left="560"/>
              <w:spacing w:after="0" w:line="237" w:lineRule="exact"/>
              <w:rPr>
                <w:sz w:val="20"/>
                <w:szCs w:val="20"/>
                <w:color w:val="auto"/>
              </w:rPr>
            </w:pPr>
            <w:r>
              <w:rPr>
                <w:rFonts w:ascii="Times New Roman" w:cs="Times New Roman" w:eastAsia="Times New Roman" w:hAnsi="Times New Roman"/>
                <w:sz w:val="18"/>
                <w:szCs w:val="18"/>
                <w:color w:val="auto"/>
              </w:rPr>
              <w:t>exchange of Class B2 units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184"/>
        </w:trPr>
        <w:tc>
          <w:tcPr>
            <w:tcW w:w="424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Incremental income from assumed purchase under</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ESPP</w:t>
            </w:r>
          </w:p>
        </w:tc>
        <w:tc>
          <w:tcPr>
            <w:tcW w:w="24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5"/>
        </w:trPr>
        <w:tc>
          <w:tcPr>
            <w:tcW w:w="4240" w:type="dxa"/>
            <w:vAlign w:val="bottom"/>
            <w:tcBorders>
              <w:top w:val="single" w:sz="8" w:color="CCEEFF"/>
            </w:tcBorders>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StepStone Group Inc.</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(366,142)</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(404,566)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31,663</w:t>
            </w: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Diluted</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outstanding – Basic</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78,561,587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68,772,051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78,206,102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67,486,964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798,186</w:t>
            </w:r>
          </w:p>
        </w:tc>
        <w:tc>
          <w:tcPr>
            <w:tcW w:w="0" w:type="dxa"/>
            <w:vAlign w:val="bottom"/>
          </w:tcPr>
          <w:p>
            <w:pPr>
              <w:spacing w:after="0"/>
              <w:rPr>
                <w:sz w:val="1"/>
                <w:szCs w:val="1"/>
                <w:color w:val="auto"/>
              </w:rPr>
            </w:pPr>
          </w:p>
        </w:tc>
      </w:tr>
      <w:tr>
        <w:trPr>
          <w:trHeight w:val="230"/>
        </w:trPr>
        <w:tc>
          <w:tcPr>
            <w:tcW w:w="42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Assumed vesting and exchange of Class B2 units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861,344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purchase under ESPP</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05"/>
        </w:trPr>
        <w:tc>
          <w:tcPr>
            <w:tcW w:w="42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78,561,587</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69,695,315</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78,206,102</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69,147,549</w:t>
            </w:r>
          </w:p>
        </w:tc>
        <w:tc>
          <w:tcPr>
            <w:tcW w:w="0" w:type="dxa"/>
            <w:vAlign w:val="bottom"/>
          </w:tcPr>
          <w:p>
            <w:pPr>
              <w:spacing w:after="0"/>
              <w:rPr>
                <w:sz w:val="1"/>
                <w:szCs w:val="1"/>
                <w:color w:val="auto"/>
              </w:rPr>
            </w:pPr>
          </w:p>
        </w:tc>
      </w:tr>
      <w:tr>
        <w:trPr>
          <w:trHeight w:val="221"/>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outstanding – Diluted</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34"/>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B2 units fully vested in June 2024.</w:t>
      </w:r>
    </w:p>
    <w:p>
      <w:pPr>
        <w:spacing w:after="0" w:line="202"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9"/>
          <w:szCs w:val="19"/>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6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jc w:val="both"/>
        <w:ind w:right="40" w:firstLine="648"/>
        <w:spacing w:after="0" w:line="253" w:lineRule="auto"/>
        <w:rPr>
          <w:sz w:val="20"/>
          <w:szCs w:val="20"/>
          <w:color w:val="auto"/>
        </w:rPr>
      </w:pPr>
      <w:r>
        <w:rPr>
          <w:rFonts w:ascii="Times New Roman" w:cs="Times New Roman" w:eastAsia="Times New Roman" w:hAnsi="Times New Roman"/>
          <w:sz w:val="20"/>
          <w:szCs w:val="20"/>
          <w:color w:val="auto"/>
        </w:rPr>
        <w:t>The calculation of diluted earnings per share excludes 39,133,716 Class B units, 931,103 Class C units and 2,810,039 Class D units of the Partnership outstanding as of September 30, 2025, and 42,482,042 Class B units, 1,041,403 Class C units and 2,239,185 Class D units of the Partnership outstanding as of September 30, 2024, which are exchangeable into Class A common stock under the if-converted method, as the inclusion of such shares would be anti-dilutive. The calculation of diluted earnings per share excludes 80,674 PRSUs outstanding as of September 30, 2025 as the related performance targets have not been met as of September 30, 2025.</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 the Company was in a net loss position for the three and six months ended September 30, 2025, the calculation of diluted earnings per share excludes potential shares of Class A common stock for 1,067,493 outstanding RSUs, as the inclusion of such shares would be anti-dilutive.</w:t>
      </w:r>
    </w:p>
    <w:p>
      <w:pPr>
        <w:spacing w:after="0" w:line="1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Related Party Transactions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considers its directors, greater than 5% beneficial owner of any class of the Company’s stock, senior executives,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employees and equity method investments to be related parties. A substantial portion of the Company’s management and advisory fees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carried interest allocations is earned from various StepStone Funds. The Company earned net management and advisory fees from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StepStone Funds of $156.3 million and $124.8 million for the three months ended September 30, 2025 and 2024, respectively,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$307.9 million and $248.5 million for the six months ended September 30, 2025 and 2024, respectively. The Company earned no incentive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fees from the StepStone Funds for the three and six months ended September 30, 2025, respectively, and $0.2 million for the three and six</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months ended </w:t>
      </w:r>
      <w:r>
        <w:rPr>
          <w:rFonts w:ascii="Times New Roman" w:cs="Times New Roman" w:eastAsia="Times New Roman" w:hAnsi="Times New Roman"/>
          <w:sz w:val="19"/>
          <w:szCs w:val="19"/>
          <w:color w:val="231F20"/>
        </w:rPr>
        <w:t>September 30, 2024</w:t>
      </w:r>
      <w:r>
        <w:rPr>
          <w:rFonts w:ascii="Times New Roman" w:cs="Times New Roman" w:eastAsia="Times New Roman" w:hAnsi="Times New Roman"/>
          <w:sz w:val="19"/>
          <w:szCs w:val="19"/>
          <w:color w:val="auto"/>
        </w:rPr>
        <w:t>, respectively. Carried interest allocation revenues earned from the StepStone Funds totaled $206.7 million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$69.8 million for the three months ended September 30, 2025 and 2024, respectively, and $320.0 million and $86.5 million for the six</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months ended September 30, 2025 and 2024, respectively. Legacy Greenspring carried interest allocation revenues earned from certain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legacy Greenspring funds for which the Company has no direct economic interests totaled $27.1 million and $13.9 million for the three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months ended September 30, 2025 and 2024, respectively, and $66.8 million and $4.8 million for the six months ended September 30,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2024, respectively.</w:t>
      </w:r>
    </w:p>
    <w:p>
      <w:pPr>
        <w:spacing w:after="0" w:line="200" w:lineRule="exact"/>
        <w:rPr>
          <w:sz w:val="20"/>
          <w:szCs w:val="20"/>
          <w:color w:val="auto"/>
        </w:rPr>
      </w:pPr>
    </w:p>
    <w:p>
      <w:pPr>
        <w:ind w:right="100" w:firstLine="648"/>
        <w:spacing w:after="0" w:line="288" w:lineRule="auto"/>
        <w:rPr>
          <w:sz w:val="20"/>
          <w:szCs w:val="20"/>
          <w:color w:val="auto"/>
        </w:rPr>
      </w:pPr>
      <w:r>
        <w:rPr>
          <w:rFonts w:ascii="Times New Roman" w:cs="Times New Roman" w:eastAsia="Times New Roman" w:hAnsi="Times New Roman"/>
          <w:sz w:val="19"/>
          <w:szCs w:val="19"/>
          <w:color w:val="auto"/>
        </w:rPr>
        <w:t>Due from affiliates in the condensed consolidated balance sheets consists primarily of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as set forth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StepStone Funds</w:t>
            </w: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66,770</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receivable from employees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loans</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14,039</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from affiliates</w:t>
            </w: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117,621</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92,723</w:t>
            </w:r>
          </w:p>
        </w:tc>
      </w:tr>
      <w:tr>
        <w:trPr>
          <w:trHeight w:val="20"/>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Due to affiliates in the condensed consolidated balance sheets consists primarily of amounts payable to certain non-controlling interest holders in connection with the Tax Receivable Agreements, amounts payable to the StepStone Funds and amounts due to employee equity holders of consolidated subsidiaries, as set forth below.</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payable to non-controlling interest holders in connection with Tax Receivable Agreements</w:t>
            </w: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313,749</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payable to StepStone Funds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payable to certain employee equity holders of consolidated subsidiaries</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to affiliates</w:t>
            </w: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346,952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331,821</w:t>
            </w:r>
          </w:p>
        </w:tc>
      </w:tr>
      <w:tr>
        <w:trPr>
          <w:trHeight w:val="20"/>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The Company made no payments during the three months ended September 30, 2025 and 2024, respectively, and $11.5 million and $9.8 million for the six months ended September 30, 2025 and 2024, respectively, under the Tax Receivable Agreements.</w:t>
      </w:r>
    </w:p>
    <w:p>
      <w:pPr>
        <w:spacing w:after="0" w:line="169" w:lineRule="exact"/>
        <w:rPr>
          <w:sz w:val="20"/>
          <w:szCs w:val="20"/>
          <w:color w:val="auto"/>
        </w:rPr>
      </w:pPr>
    </w:p>
    <w:p>
      <w:pPr>
        <w:ind w:left="660" w:right="5320" w:hanging="652"/>
        <w:spacing w:after="0" w:line="474" w:lineRule="auto"/>
        <w:tabs>
          <w:tab w:leader="none" w:pos="457"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and Redeemable Non-Controlling Interests Stockholders’ Equity</w:t>
      </w: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72"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auto"/>
        </w:rPr>
        <w:t>The Class C and Class D (further described below) limited partnership interests of the Partnership have substantially the same rights and obligations as are applicable to the existing holders of Class B units of the Partnership. The Company has no ownership interest in the Class C and Class D units, which are held by certain employees of the Company. The Company has entered into agreements with the Class C limited partners of the Partnership (the “Class C Exchange Agreement”) and Class D limited partners of the Partnership (the “Class D Exchange Agreement”) to allow for the exchange of Class C units and Class D units, respectively, to shares of Class A common stock of the Company on a one-for-one basis, subject to certain restrictions, as further described below in respect of the Class D Exchange Agreement.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a rollforward of the Company’s shares of common stock outstanding since March 31,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76,761,399</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39,656,954</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B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523,238</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(523,238)</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C Partnership units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34,658</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D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1,000,337</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for vesting of RSUs, net of shares withheld for taxes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for purchase of asset class non-controlling interests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756,105</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under ESPP</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37,712</w:t>
            </w:r>
          </w:p>
        </w:tc>
        <w:tc>
          <w:tcPr>
            <w:tcW w:w="14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79,124,247</w:t>
            </w:r>
          </w:p>
        </w:tc>
        <w:tc>
          <w:tcPr>
            <w:tcW w:w="14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39,133,716</w:t>
            </w:r>
          </w:p>
        </w:tc>
      </w:tr>
      <w:tr>
        <w:trPr>
          <w:trHeight w:val="20"/>
        </w:trPr>
        <w:tc>
          <w:tcPr>
            <w:tcW w:w="62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The Company has 25,000,000 authorized shares of preferred stock, par value of $0.001 per share, and as of September 30, 2025, no shares of preferred stock were issued or outstanding.</w:t>
      </w:r>
    </w:p>
    <w:p>
      <w:pPr>
        <w:spacing w:after="0" w:line="146"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19"/>
          <w:szCs w:val="19"/>
          <w:color w:val="auto"/>
        </w:rPr>
        <w:t>In September 2025, the Company issued 370,470 shares of Class A common stock to certain limited partners of the Partnership in exchange for 370,470 Class B units of the Partnership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The Company also issued 16,658 shares of Class A common stock to certain limited partners of the Partnership in exchange for 16,658 Class C units of the Partnership in accordance with the elective exchange notices submitted pursuant to the Class C Exchange Agreement, and a corresponding number of Class A units of the Partnership were issued to the Company. The Company also issued 135,697 shares of Class A common stock to certain limited partners of the Partnership in exchange for 135,697 Class D units of the Partnership in accordance with the elective exchange notices submitted pursuant to the Class D Exchange Agreement, and a corresponding number of Class A units of the Partnership were issued to the Company.</w:t>
      </w:r>
    </w:p>
    <w:p>
      <w:pPr>
        <w:spacing w:after="0" w:line="18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0"/>
          <w:szCs w:val="20"/>
          <w:color w:val="auto"/>
        </w:rPr>
        <w:t>In June 2025, the Company issued 152,768 shares of Class A common stock to certain limited partners of the Partnership in exchange for 152,768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The Company also issued 18,000 shares of Class A common stock to certain limited partners of the Partnership in exchange for 18,000 Class C units of the Partnership in accordance with the elective exchange notices submitted pursuant to the Class C Exchange Agreement, and a corresponding number of Class A units of the Partnership were issued to the Company. The Company also issued 864,640 shares of Class A common stock to certain limited partners of the Partnership in exchange for 864,640 Class D units of the Partnership in accordance with the elective exchange notices submitted pursuant to the Class D Exchange Agreement, and a corresponding number of Class A units of the Partnership were issued to the Company.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Purchase of Asset Class Non-Controlling Interests</w:t>
      </w:r>
    </w:p>
    <w:p>
      <w:pPr>
        <w:spacing w:after="0" w:line="23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On February 7, 2024, SSG and the Partnership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Transaction Agreements provide for, among other things and subject to the terms and conditions therein, the exchange of the sellers’ equity interests in the Asset Class Entities, as applicable, for a combination of (i) Class D units, in the case of SRA and SRE, or shares of the Company’s Class A common stock, in the case of SPD and (ii) cash (at the discretion of the Company for all exchanges except the initial exchange), in up to ten annual exchanges (increased to up to fifteen annual exchanges in certain circumstances in case of the sellers of SRA equity interests).</w:t>
      </w:r>
    </w:p>
    <w:p>
      <w:pPr>
        <w:spacing w:after="0" w:line="192"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On April 1, 2024, certain of the Company’s subsidiaries underwent transactions to effect unitization of the outstanding classes of limited partnership interests. The economic rights and obligations of limited partnership interest holders were the same immediately prior to the unitization as immediately after the unitization. The outstanding classes of limited partnership interests, including the class of interests relating to awards of carried interest allocations granted to employees, were essentially combined into a single class of limited partnership interest and redesignated into units. The class of interests relating to awards of carried interest allocations granted to employees were previously accounted for as compensation arrangements under ASC 710,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and presented as carried interest-related compensation expense. The transaction was considered to be a transaction amongst equity holders, and the Company did not recognize any incremental compensation cost related to settlement of the accrued carried interest-related compensation.</w:t>
      </w:r>
    </w:p>
    <w:p>
      <w:pPr>
        <w:spacing w:after="0" w:line="19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Also on April 1, 2024, the Company exchanged certain ordinary shares in the SPD subsidiary and paid $5.4 million to purchase certain preferred shares in SPD with liquidation preference rights in connection with the Transaction Agreements (defined below). There was no change in the Company’s economic interest in SPD as a result of the transaction.</w:t>
      </w:r>
    </w:p>
    <w:p>
      <w:pPr>
        <w:spacing w:after="0" w:line="168" w:lineRule="exact"/>
        <w:rPr>
          <w:sz w:val="20"/>
          <w:szCs w:val="20"/>
          <w:color w:val="auto"/>
        </w:rPr>
      </w:pPr>
    </w:p>
    <w:p>
      <w:pPr>
        <w:ind w:right="300" w:firstLine="648"/>
        <w:spacing w:after="0" w:line="274" w:lineRule="auto"/>
        <w:rPr>
          <w:sz w:val="20"/>
          <w:szCs w:val="20"/>
          <w:color w:val="auto"/>
        </w:rPr>
      </w:pPr>
      <w:r>
        <w:rPr>
          <w:rFonts w:ascii="Times New Roman" w:cs="Times New Roman" w:eastAsia="Times New Roman" w:hAnsi="Times New Roman"/>
          <w:sz w:val="19"/>
          <w:szCs w:val="19"/>
          <w:color w:val="auto"/>
        </w:rPr>
        <w:t>On May 31, 2024, the Company completed the first annual exchange (the “2024 Exchange”) to acquire approximately 5% of the equity interests of each of SRA, SRE and SPD pursuant to the Transaction Agreements. As a result of the 2024 Exchange, the Partnership owned approximately 54% of the outstanding equity interests of SRA, 56% of the outstanding equity interests of SRE and 54% of the outstanding equity interests of SPD. The aggregate consideration paid by the Company in the 2024 Exchange was approximately (i) $13 million in cash, (ii) 513,394 shares of the Company’s Class A common stock and (iii) 2,239,185 Class D units of the Partnership.</w:t>
      </w:r>
    </w:p>
    <w:p>
      <w:pPr>
        <w:spacing w:after="0" w:line="15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 connection with the transactions contemplated by the SRA Transaction Agreement and SRE Transaction Agreement, SSG and the Partnership entered into a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on a one-for-one basis with shares of the Company’s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80" w:firstLine="648"/>
        <w:spacing w:after="0" w:line="265" w:lineRule="auto"/>
        <w:rPr>
          <w:sz w:val="20"/>
          <w:szCs w:val="20"/>
          <w:color w:val="auto"/>
        </w:rPr>
      </w:pPr>
      <w:r>
        <w:rPr>
          <w:rFonts w:ascii="Times New Roman" w:cs="Times New Roman" w:eastAsia="Times New Roman" w:hAnsi="Times New Roman"/>
          <w:sz w:val="19"/>
          <w:szCs w:val="19"/>
          <w:color w:val="auto"/>
        </w:rPr>
        <w:t>On May 30, 2025, the Company completed the second annual exchange (the “2025 Exchange”) to acquire approximately 5% of the equity interests of each of SRA, SRE and SPD pursuant to the Transaction Agreements. As a result of the 2025 Exchange, the Partnership now owns approximately 60% of the outstanding equity interests of SRA, 60% of the outstanding equity interests of SRE and 59% of the outstanding equity interests of SPD. The aggregate consideration paid by the Company in the 2025 Exchange was approximately (i)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 million in cash, (ii) 756,105 shares of the Company’s Class A common stock and (iii) 2,438,403 Class D units of the Partnership.</w:t>
      </w:r>
    </w:p>
    <w:p>
      <w:pPr>
        <w:spacing w:after="0" w:line="207"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20"/>
          <w:szCs w:val="20"/>
          <w:color w:val="auto"/>
        </w:rPr>
        <w:t>The Company accounts for adjustments to the redemption value of a redeemable equity instrument that is currently redeemable by adjusting the carrying value of the equity instrument to the maximum redemption value at each reporting period based on conditions that exist as of the reporting date. If the redeemable equity instrument is probable of becoming redeemable in the near future, the carrying value of a redeemable equity instrument is adjusted to the redemption value immediately as changes occur based on conditions that exist at that date or at each reporting date. For redeemable equity instruments either not redeemable or probable of becoming redeemable in the near future, no adjustment to the carrying value is made until it is probable that the equity instrument will become redeemable. The Company recognizes adjustments to the carrying value of redeemable equity instruments with charges against retained earnings, or to additional paid-in-capital in the absence of retained earnings.</w:t>
      </w:r>
    </w:p>
    <w:p>
      <w:pPr>
        <w:spacing w:after="0" w:line="195"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20"/>
          <w:szCs w:val="20"/>
          <w:color w:val="auto"/>
        </w:rPr>
        <w:t>As of September 30, 2025, the Company determined that redemption of the redeemable non-controlling interests in subsidiaries was probable and presented the carrying value at the redemption amount based on the conditions that existed as of that date of $7.3 million in the condensed consolidated balance sheets within redeemable non-controlling interests in subsidiaries.</w:t>
      </w:r>
    </w:p>
    <w:p>
      <w:pPr>
        <w:spacing w:after="0" w:line="181" w:lineRule="exact"/>
        <w:rPr>
          <w:sz w:val="20"/>
          <w:szCs w:val="20"/>
          <w:color w:val="auto"/>
        </w:rPr>
      </w:pPr>
    </w:p>
    <w:p>
      <w:pPr>
        <w:jc w:val="both"/>
        <w:ind w:right="500" w:firstLine="648"/>
        <w:spacing w:after="0" w:line="261" w:lineRule="auto"/>
        <w:rPr>
          <w:sz w:val="20"/>
          <w:szCs w:val="20"/>
          <w:color w:val="auto"/>
        </w:rPr>
      </w:pPr>
      <w:r>
        <w:rPr>
          <w:rFonts w:ascii="Times New Roman" w:cs="Times New Roman" w:eastAsia="Times New Roman" w:hAnsi="Times New Roman"/>
          <w:sz w:val="20"/>
          <w:szCs w:val="20"/>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Dividends and Distributions</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81"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On August 7, 2025, the Company announced a quarterly cash dividend of $0.28 per share of Class A common stock, which was paid on September 15, 2025 to holders of record as of the close of business on August 29, 2025.</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Redeemable Non-Controlling Interests</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Consolidated Funds: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1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23"/>
        </w:trPr>
        <w:tc>
          <w:tcPr>
            <w:tcW w:w="4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459,927</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377,897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102,623</w:t>
            </w:r>
          </w:p>
        </w:tc>
      </w:tr>
      <w:tr>
        <w:trPr>
          <w:trHeight w:val="230"/>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213,747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281,447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90,805</w:t>
            </w:r>
          </w:p>
        </w:tc>
      </w:tr>
      <w:tr>
        <w:trPr>
          <w:trHeight w:val="175"/>
        </w:trPr>
        <w:tc>
          <w:tcPr>
            <w:tcW w:w="41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Redemption of redeemable non-controlling</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(41,628)</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(48,255)</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39,659</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60,616</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12,196</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671,705</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205,624</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671,705</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subsidiaries: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7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1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23"/>
        </w:trPr>
        <w:tc>
          <w:tcPr>
            <w:tcW w:w="4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115,920</w:t>
            </w:r>
          </w:p>
        </w:tc>
      </w:tr>
      <w:tr>
        <w:trPr>
          <w:trHeight w:val="229"/>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176"/>
        </w:trPr>
        <w:tc>
          <w:tcPr>
            <w:tcW w:w="41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Redemption of redeemable non-controlling</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interests</w:t>
            </w:r>
          </w:p>
        </w:tc>
        <w:tc>
          <w:tcPr>
            <w:tcW w:w="10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(110,351)</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w:t>
            </w:r>
          </w:p>
        </w:tc>
      </w:tr>
      <w:tr>
        <w:trPr>
          <w:trHeight w:val="20"/>
        </w:trPr>
        <w:tc>
          <w:tcPr>
            <w:tcW w:w="4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September 30, 2025.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 Commitments</w:t>
      </w:r>
    </w:p>
    <w:p>
      <w:pPr>
        <w:spacing w:after="0" w:line="233"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20"/>
          <w:szCs w:val="20"/>
          <w:color w:val="auto"/>
        </w:rPr>
        <w:t>The Company leases offices in 31 cities in North America, South America, Europe, Asia and Australia, and certain equipment subject to operating lease agreements expiring through 2039, some of which may include options to extend or terminate the lease. As of September 30, 2025, there were no finance leases outstanding.</w:t>
      </w:r>
    </w:p>
    <w:p>
      <w:pPr>
        <w:spacing w:after="0" w:line="168"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20"/>
          <w:szCs w:val="20"/>
          <w:color w:val="auto"/>
        </w:rPr>
        <w:t>In May 2025, the Company executed an agreement to lease an additional floor for its New York office. The Company expects to gain access to the office space in 2026. At that time, the Company will establish a ROU asset and lease liability for the new lease. Upon lease commencement, total future lease payments are expected to be approximately $59 million over approximately 15 years.</w:t>
      </w:r>
    </w:p>
    <w:p>
      <w:pPr>
        <w:spacing w:after="0" w:line="161"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The components of lease expense included in general, administrative and other expenses in the condensed consolidated statements of income (loss)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74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23"/>
        </w:trPr>
        <w:tc>
          <w:tcPr>
            <w:tcW w:w="39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23"/>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w:t>
            </w:r>
          </w:p>
        </w:tc>
      </w:tr>
      <w:tr>
        <w:trPr>
          <w:trHeight w:val="20"/>
        </w:trPr>
        <w:tc>
          <w:tcPr>
            <w:tcW w:w="3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an immaterial amount of short-term leases.</w:t>
      </w:r>
    </w:p>
    <w:p>
      <w:pPr>
        <w:spacing w:after="0" w:line="200" w:lineRule="exact"/>
        <w:rPr>
          <w:rFonts w:ascii="Times New Roman" w:cs="Times New Roman" w:eastAsia="Times New Roman" w:hAnsi="Times New Roman"/>
          <w:sz w:val="18"/>
          <w:szCs w:val="18"/>
          <w:color w:val="auto"/>
        </w:rPr>
      </w:pPr>
    </w:p>
    <w:p>
      <w:pPr>
        <w:spacing w:after="0" w:line="353"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620" w:type="dxa"/>
            <w:vAlign w:val="bottom"/>
            <w:tcBorders>
              <w:bottom w:val="single" w:sz="8" w:color="auto"/>
            </w:tcBorders>
            <w:gridSpan w:val="6"/>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23"/>
        </w:trPr>
        <w:tc>
          <w:tcPr>
            <w:tcW w:w="76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8,654</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7,176</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 (in years)</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528"/>
        </w:trPr>
        <w:tc>
          <w:tcPr>
            <w:tcW w:w="76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As of September 30, 2025, maturities of operating lease liabilities were as follows:</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07"/>
        </w:trPr>
        <w:tc>
          <w:tcPr>
            <w:tcW w:w="7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FY2026</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FY2029</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15,909</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FY2030</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72,968</w:t>
            </w:r>
          </w:p>
        </w:tc>
      </w:tr>
      <w:tr>
        <w:trPr>
          <w:trHeight w:val="223"/>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143,617</w:t>
            </w:r>
          </w:p>
        </w:tc>
      </w:tr>
      <w:tr>
        <w:trPr>
          <w:trHeight w:val="229"/>
        </w:trPr>
        <w:tc>
          <w:tcPr>
            <w:tcW w:w="7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1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(34,159)</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Unfunded Capital Commitments</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As of September 30, 2025 and March 31, 2025, the Company, generally in its capacity as general partner or managing member of the StepStone Funds, had unfunded commitments totaling $115.2 million and $125.0 million, respectively. The $115.2 million and $125.0 million of unfunded commitments as of September 30, 2025 and March 31, 2025, respectively, exclude $39.2 million and $47.8 million, respectively, related to commitments held by general partner entities for certain funds in which the Company does not hold any direct economic interests, including the legacy Greenspring funds.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Carried Interest Allocations</w:t>
      </w:r>
    </w:p>
    <w:p>
      <w:pPr>
        <w:spacing w:after="0" w:line="23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September 30, 2025 and March 31, 2025, no material amounts for potential clawback obligations had been accrued. This contingent obligation is normally reduced by income taxes that the Company has paid related to the carried interest allocations. As of September 30, 2025, the maximum amount of carried interest allocations (excluding legacy Greenspring carried interest allocations) attributable to the Company subject to contingent repayment was an estimated $396.4 million, net of tax, assuming the fair value of all investments was zero, a possibility that the Company views as remote.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Indemnification Arrangements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September 30, 2025 and March 31, 2025. Based on past experience, management believes that the risk of loss related to these indemnities is remote.</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Segment Reporting</w:t>
      </w:r>
    </w:p>
    <w:p>
      <w:pPr>
        <w:spacing w:after="0" w:line="2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Company’s single reportable segment earns substantially all its revenue from management, advisory, and performance fees. The CODM manages the Company on a consolidated basis and utilizes GAAP net income (loss) as presented in the condensed consolidated statements of income (loss) as the primary financial measure used to assess the performance of and allocate resources to the business. The CODM regularly reviews the GAAP condensed consolidated statements of income (loss) including the revenue, expense and other captions as presented in the Company’s periodic filings. There are no other significant expenses or specified revenue and expense categories reviewed by the CODM other than as reflected in the condensed consolidated statements of income (loss). The CODM reviews segment assets at the consolidated level within the condensed consolidated balance sheets, as there is no difference between segment assets and total consolidated assets. As the Company operates as a single segment, the accounting policies utilized by the segment are consistent with those included in the condensed consolidated financial statements here within.</w:t>
      </w:r>
    </w:p>
    <w:p>
      <w:pPr>
        <w:spacing w:after="0" w:line="1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Subsequent Events</w:t>
      </w:r>
    </w:p>
    <w:p>
      <w:pPr>
        <w:spacing w:after="0" w:line="233"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On November 6, 2025, the Company announced a quarterly cash dividend of $0.28 per share of Class A common stock, payable on December 15, 2025 to holders of record as of the close of business on November 28, 2025.</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48" w:name="page49"/>
    <w:bookmarkEnd w:id="48"/>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2025 filed with the SEC. In this quarterly report, references to “we,” “us,” “our,” “StepStone” and similar terms refer to SSG and its consolidated subsidiaries, including the Partnership.</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20"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0"/>
          <w:szCs w:val="20"/>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September 30, 2025, we were responsible for approximately $771 billion of total capital, including $209 billion of AUM and $562 billion of AUA.</w:t>
      </w:r>
    </w:p>
    <w:p>
      <w:pPr>
        <w:spacing w:after="0" w:line="18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31 cities across 19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September 30, 2025, we had over 1,240 total employees, including 420 investment professionals and over 820 employees across our operating team and implementation teams dedicated to sourcing, executing, analyzing and monitoring private markets opportunities.</w:t>
      </w:r>
    </w:p>
    <w:p>
      <w:pPr>
        <w:spacing w:after="0" w:line="195"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69" w:lineRule="exact"/>
        <w:rPr>
          <w:sz w:val="20"/>
          <w:szCs w:val="20"/>
          <w:color w:val="auto"/>
        </w:rPr>
      </w:pPr>
    </w:p>
    <w:p>
      <w:pPr>
        <w:ind w:left="660" w:right="60" w:hanging="328"/>
        <w:spacing w:after="0" w:line="260"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Separately managed accounts (“SMAs”)</w:t>
      </w:r>
      <w:r>
        <w:rPr>
          <w:rFonts w:ascii="Times New Roman" w:cs="Times New Roman" w:eastAsia="Times New Roman" w:hAnsi="Times New Roman"/>
          <w:sz w:val="20"/>
          <w:szCs w:val="20"/>
          <w:color w:val="000000"/>
        </w:rPr>
        <w:t>. Owned by one client and managed according to their specific preferences, SMAs integrate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$125 billion of our AUM as of September 30, 2025</w:t>
      </w:r>
      <w:r>
        <w:rPr>
          <w:rFonts w:ascii="Times New Roman" w:cs="Times New Roman" w:eastAsia="Times New Roman" w:hAnsi="Times New Roman"/>
          <w:sz w:val="20"/>
          <w:szCs w:val="20"/>
          <w:color w:val="231F20"/>
        </w:rPr>
        <w:t>.</w:t>
      </w:r>
    </w:p>
    <w:p>
      <w:pPr>
        <w:spacing w:after="0" w:line="164" w:lineRule="exact"/>
        <w:rPr>
          <w:rFonts w:ascii="Times New Roman" w:cs="Times New Roman" w:eastAsia="Times New Roman" w:hAnsi="Times New Roman"/>
          <w:sz w:val="20"/>
          <w:szCs w:val="20"/>
          <w:color w:val="auto"/>
        </w:rPr>
      </w:pPr>
    </w:p>
    <w:p>
      <w:pPr>
        <w:ind w:left="660" w:right="180" w:hanging="328"/>
        <w:spacing w:after="0" w:line="287"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Focused commingled funds. </w:t>
      </w:r>
      <w:r>
        <w:rPr>
          <w:rFonts w:ascii="Times New Roman" w:cs="Times New Roman" w:eastAsia="Times New Roman" w:hAnsi="Times New Roman"/>
          <w:sz w:val="20"/>
          <w:szCs w:val="20"/>
          <w:color w:val="231F20"/>
        </w:rPr>
        <w:t>Owned by multiple clients, our focused commingled funds deploy capital in specific asset classes with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defined investment strategies. Focused commingled funds comprised $68 billion of our AUM as of </w:t>
      </w:r>
      <w:r>
        <w:rPr>
          <w:rFonts w:ascii="Times New Roman" w:cs="Times New Roman" w:eastAsia="Times New Roman" w:hAnsi="Times New Roman"/>
          <w:sz w:val="20"/>
          <w:szCs w:val="20"/>
          <w:color w:val="000000"/>
        </w:rPr>
        <w:t>September 30, 2025</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347" w:lineRule="exact"/>
        <w:rPr>
          <w:sz w:val="20"/>
          <w:szCs w:val="20"/>
          <w:color w:val="auto"/>
        </w:rPr>
      </w:pPr>
    </w:p>
    <w:p>
      <w:pPr>
        <w:ind w:left="660" w:right="40" w:hanging="328"/>
        <w:spacing w:after="0" w:line="270" w:lineRule="auto"/>
        <w:tabs>
          <w:tab w:leader="none" w:pos="648"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231F20"/>
        </w:rPr>
        <w:t xml:space="preserve">Advisory and data services. </w:t>
      </w:r>
      <w:r>
        <w:rPr>
          <w:rFonts w:ascii="Times New Roman" w:cs="Times New Roman" w:eastAsia="Times New Roman" w:hAnsi="Times New Roman"/>
          <w:sz w:val="19"/>
          <w:szCs w:val="19"/>
          <w:color w:val="231F20"/>
        </w:rPr>
        <w:t>These services include one or more of the following for our clients: (i) recurring support of portfolio</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xml:space="preserve">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StepStone Private Markets Intelligence (“SPI”) Research and our other proprietary tools. Advisory relationships comprised </w:t>
      </w:r>
      <w:r>
        <w:rPr>
          <w:rFonts w:ascii="Times New Roman" w:cs="Times New Roman" w:eastAsia="Times New Roman" w:hAnsi="Times New Roman"/>
          <w:sz w:val="19"/>
          <w:szCs w:val="19"/>
          <w:color w:val="000000"/>
        </w:rPr>
        <w:t>$562 billion</w:t>
      </w:r>
      <w:r>
        <w:rPr>
          <w:rFonts w:ascii="Times New Roman" w:cs="Times New Roman" w:eastAsia="Times New Roman" w:hAnsi="Times New Roman"/>
          <w:sz w:val="19"/>
          <w:szCs w:val="19"/>
          <w:color w:val="231F20"/>
        </w:rPr>
        <w:t xml:space="preserve"> of our AUA and $16 billion of our AUM as of </w:t>
      </w:r>
      <w:r>
        <w:rPr>
          <w:rFonts w:ascii="Times New Roman" w:cs="Times New Roman" w:eastAsia="Times New Roman" w:hAnsi="Times New Roman"/>
          <w:sz w:val="19"/>
          <w:szCs w:val="19"/>
          <w:color w:val="000000"/>
        </w:rPr>
        <w:t>September 30, 2025</w:t>
      </w:r>
      <w:r>
        <w:rPr>
          <w:rFonts w:ascii="Times New Roman" w:cs="Times New Roman" w:eastAsia="Times New Roman" w:hAnsi="Times New Roman"/>
          <w:sz w:val="19"/>
          <w:szCs w:val="19"/>
          <w:color w:val="231F20"/>
        </w:rPr>
        <w:t>.</w:t>
      </w:r>
    </w:p>
    <w:p>
      <w:pPr>
        <w:spacing w:after="0" w:line="172" w:lineRule="exact"/>
        <w:rPr>
          <w:rFonts w:ascii="Times New Roman" w:cs="Times New Roman" w:eastAsia="Times New Roman" w:hAnsi="Times New Roman"/>
          <w:sz w:val="19"/>
          <w:szCs w:val="19"/>
          <w:color w:val="auto"/>
        </w:rPr>
      </w:pPr>
    </w:p>
    <w:p>
      <w:pPr>
        <w:ind w:left="660" w:right="60" w:hanging="328"/>
        <w:spacing w:after="0" w:line="255"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Portfolio analytics and reporting. </w:t>
      </w:r>
      <w:r>
        <w:rPr>
          <w:rFonts w:ascii="Times New Roman" w:cs="Times New Roman" w:eastAsia="Times New Roman" w:hAnsi="Times New Roman"/>
          <w:sz w:val="20"/>
          <w:szCs w:val="20"/>
          <w:color w:val="231F20"/>
        </w:rPr>
        <w:t>We provide clients with tailored reporting packages, including customized performance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benchmarks as well as associated compliance, administrative and tax capabilities. Mandates for portfolio analytics and reporting services typically include licensed access to our proprietary performance monitoring software, SPI Reporting. We provided portfolio analytics and reporting on over $829 billion of client commitments through SPI Reporting as of </w:t>
      </w:r>
      <w:r>
        <w:rPr>
          <w:rFonts w:ascii="Times New Roman" w:cs="Times New Roman" w:eastAsia="Times New Roman" w:hAnsi="Times New Roman"/>
          <w:sz w:val="20"/>
          <w:szCs w:val="20"/>
          <w:color w:val="000000"/>
        </w:rPr>
        <w:t>September 30, 2025</w:t>
      </w:r>
      <w:r>
        <w:rPr>
          <w:rFonts w:ascii="Times New Roman" w:cs="Times New Roman" w:eastAsia="Times New Roman" w:hAnsi="Times New Roman"/>
          <w:sz w:val="20"/>
          <w:szCs w:val="20"/>
          <w:color w:val="231F20"/>
        </w:rPr>
        <w:t>.</w:t>
      </w:r>
    </w:p>
    <w:p>
      <w:pPr>
        <w:spacing w:after="0" w:line="18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0"/>
          <w:szCs w:val="20"/>
          <w:color w:val="auto"/>
        </w:rPr>
        <w:t>We generate revenues from management and advisory fees and performance fees earned pursuant to contractual arrangements with the StepStone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Our business is affected by a variety of factors, including conditions in the financial markets, regulatory environment, and economic and political conditions. Changes in global economic conditions and regulatory or other governmental policies or actions can materially affect the values of the StepStone Funds’ holdings, our ability to source attractive investments and completely utilize the capital that we have raised, and result in increased compliance costs and administrative burdens.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231F20"/>
        </w:rPr>
        <w:t>In addition to these macroeconomic trends and market factors, we believe our future performance will be influenced by the following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factors:</w:t>
      </w:r>
    </w:p>
    <w:p>
      <w:pPr>
        <w:spacing w:after="0" w:line="196" w:lineRule="exact"/>
        <w:rPr>
          <w:sz w:val="20"/>
          <w:szCs w:val="20"/>
          <w:color w:val="auto"/>
        </w:rPr>
      </w:pPr>
    </w:p>
    <w:p>
      <w:pPr>
        <w:ind w:left="660" w:hanging="328"/>
        <w:spacing w:after="0" w:line="254"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The extent to which clients favor private markets investments. </w:t>
      </w:r>
      <w:r>
        <w:rPr>
          <w:rFonts w:ascii="Times New Roman" w:cs="Times New Roman" w:eastAsia="Times New Roman" w:hAnsi="Times New Roman"/>
          <w:sz w:val="20"/>
          <w:szCs w:val="20"/>
          <w:color w:val="231F20"/>
        </w:rPr>
        <w:t>Our ability to attract new capital is partially dependent on clients’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86" w:lineRule="exact"/>
        <w:rPr>
          <w:rFonts w:ascii="Times New Roman" w:cs="Times New Roman" w:eastAsia="Times New Roman" w:hAnsi="Times New Roman"/>
          <w:sz w:val="20"/>
          <w:szCs w:val="20"/>
          <w:color w:val="auto"/>
        </w:rPr>
      </w:pPr>
    </w:p>
    <w:p>
      <w:pPr>
        <w:ind w:left="660" w:hanging="328"/>
        <w:spacing w:after="0" w:line="254"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generate strong, stable returns. </w:t>
      </w:r>
      <w:r>
        <w:rPr>
          <w:rFonts w:ascii="Times New Roman" w:cs="Times New Roman" w:eastAsia="Times New Roman" w:hAnsi="Times New Roman"/>
          <w:sz w:val="20"/>
          <w:szCs w:val="20"/>
          <w:color w:val="231F20"/>
        </w:rPr>
        <w:t>Our ability to raise and retain capital is partially dependent on the investment returns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347" w:lineRule="exact"/>
        <w:rPr>
          <w:sz w:val="20"/>
          <w:szCs w:val="20"/>
          <w:color w:val="auto"/>
        </w:rPr>
      </w:pPr>
    </w:p>
    <w:p>
      <w:pPr>
        <w:ind w:left="660" w:right="60" w:hanging="328"/>
        <w:spacing w:after="0" w:line="254"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maintain our data advantage relative to competitors. </w:t>
      </w:r>
      <w:r>
        <w:rPr>
          <w:rFonts w:ascii="Times New Roman" w:cs="Times New Roman" w:eastAsia="Times New Roman" w:hAnsi="Times New Roman"/>
          <w:sz w:val="20"/>
          <w:szCs w:val="20"/>
          <w:color w:val="231F20"/>
        </w:rPr>
        <w:t>Our proprietary data and technology platforms, analytical tools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87"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source investments with attractive risk-adjusted returns. </w:t>
      </w:r>
      <w:r>
        <w:rPr>
          <w:rFonts w:ascii="Times New Roman" w:cs="Times New Roman" w:eastAsia="Times New Roman" w:hAnsi="Times New Roman"/>
          <w:sz w:val="20"/>
          <w:szCs w:val="20"/>
          <w:color w:val="231F20"/>
        </w:rPr>
        <w:t>The continued growth in our revenues is dependent on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72" w:lineRule="exact"/>
        <w:rPr>
          <w:rFonts w:ascii="Times New Roman" w:cs="Times New Roman" w:eastAsia="Times New Roman" w:hAnsi="Times New Roman"/>
          <w:sz w:val="20"/>
          <w:szCs w:val="20"/>
          <w:color w:val="auto"/>
        </w:rPr>
      </w:pPr>
    </w:p>
    <w:p>
      <w:pPr>
        <w:ind w:left="660" w:right="40" w:hanging="328"/>
        <w:spacing w:after="0" w:line="258"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Increased competition and clients’ desire to work with fewer managers. </w:t>
      </w:r>
      <w:r>
        <w:rPr>
          <w:rFonts w:ascii="Times New Roman" w:cs="Times New Roman" w:eastAsia="Times New Roman" w:hAnsi="Times New Roman"/>
          <w:sz w:val="20"/>
          <w:szCs w:val="20"/>
          <w:color w:val="231F20"/>
        </w:rPr>
        <w:t>There has been an increasing desire on the part of larger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In early 2025, </w:t>
      </w:r>
      <w:r>
        <w:rPr>
          <w:rFonts w:ascii="Times New Roman" w:cs="Times New Roman" w:eastAsia="Times New Roman" w:hAnsi="Times New Roman"/>
          <w:sz w:val="20"/>
          <w:szCs w:val="20"/>
          <w:color w:val="000000"/>
        </w:rPr>
        <w:t>financial markets experienced significant volatility in response to the uncertainty of the economic impact from U.S.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trade policy developments including the announcement and implementation of increases on tariffs charged by the U.S. on certain imports and the weakening of the U.S. dollar against several major foreign currencies. Despite persistent elevated inflation, unemployment has remained low, and the U.S. economy has continued to grow throughout calendar year 2025.</w:t>
      </w:r>
    </w:p>
    <w:p>
      <w:pPr>
        <w:spacing w:after="0" w:line="187"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20"/>
          <w:szCs w:val="20"/>
          <w:color w:val="auto"/>
        </w:rPr>
        <w:t>On July 4, 2025, the One Big Beautiful Bill Act was enacted in the United States, which includes extensive amendments to existing tax laws applicable to businesses. The relevant provisions were included in our income tax provision for the three and six months ended September 30, 2025 and did not have a significant impact on our condensed consolidated financial statements. We will continue to evaluate the effect of the new legislation but do not expect the legislation to have a significant effect on the condensed consolidated financial statements for the full year ending March 31, 2026.</w:t>
      </w:r>
    </w:p>
    <w:p>
      <w:pPr>
        <w:spacing w:after="0" w:line="18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231F20"/>
        </w:rPr>
        <w:t xml:space="preserve">We are continuing to closely monitor developments related to inflation, decreasing but still elevated interest rates, </w:t>
      </w:r>
      <w:r>
        <w:rPr>
          <w:rFonts w:ascii="Times New Roman" w:cs="Times New Roman" w:eastAsia="Times New Roman" w:hAnsi="Times New Roman"/>
          <w:sz w:val="20"/>
          <w:szCs w:val="20"/>
          <w:color w:val="000000"/>
        </w:rPr>
        <w:t>trade, regulatory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and other governmental policy</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000000"/>
        </w:rPr>
        <w:t xml:space="preserve"> fluctuations in foreign currency exchange rates, </w:t>
      </w:r>
      <w:r>
        <w:rPr>
          <w:rFonts w:ascii="Times New Roman" w:cs="Times New Roman" w:eastAsia="Times New Roman" w:hAnsi="Times New Roman"/>
          <w:sz w:val="20"/>
          <w:szCs w:val="20"/>
          <w:color w:val="231F20"/>
        </w:rPr>
        <w:t>banking system volatility,</w:t>
      </w:r>
      <w:r>
        <w:rPr>
          <w:rFonts w:ascii="Times New Roman" w:cs="Times New Roman" w:eastAsia="Times New Roman" w:hAnsi="Times New Roman"/>
          <w:sz w:val="20"/>
          <w:szCs w:val="20"/>
          <w:color w:val="000000"/>
        </w:rPr>
        <w:t xml:space="preserve"> geopolitical tension, unrest or conflicts, including in or with China, Russia, Ukraine, and the Middle East</w:t>
      </w:r>
      <w:r>
        <w:rPr>
          <w:rFonts w:ascii="Times New Roman" w:cs="Times New Roman" w:eastAsia="Times New Roman" w:hAnsi="Times New Roman"/>
          <w:sz w:val="20"/>
          <w:szCs w:val="20"/>
          <w:color w:val="231F20"/>
        </w:rPr>
        <w:t>, and assess the impact on financial markets and on our business.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Our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w:t>
      </w:r>
      <w:r>
        <w:rPr>
          <w:rFonts w:ascii="Times New Roman" w:cs="Times New Roman" w:eastAsia="Times New Roman" w:hAnsi="Times New Roman"/>
          <w:sz w:val="20"/>
          <w:szCs w:val="20"/>
          <w:color w:val="000000"/>
        </w:rPr>
        <w:t>t is currently not possible to predict the ultimate effects of these events on the financial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markets, overall economy and our condensed consolidated financial statements. See “Risk Factors—Risks Related to Our Industry—Difficult or volatile market and political conditions can adversely affect our business by reducing the market value of the assets we manage, causing our clients to reduce their investments in private markets, reducing the number of high-quality investment</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35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auto"/>
        </w:rPr>
        <w:t>managers with whom we may invest, and reducing the ability of our funds to raise or deploy capital” and “Risk Factors—Banking system volatility may adversely affect the results and financial condition of the StepStone Funds or StepStone generally” included in our annual report on Form 10-K for the fiscal year ended March 31, 2025.</w:t>
      </w:r>
    </w:p>
    <w:p>
      <w:pPr>
        <w:spacing w:after="0" w:line="18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0"/>
          <w:szCs w:val="20"/>
          <w:color w:val="auto"/>
        </w:rPr>
        <w:t>On October 1, 2025, the U.S. government entered a shutdown, which is ongoing. A prolonged U.S. federal government shutdown could adversely affect our operations, investments, regulatory approvals, and financial performance and could cause volatility in the capital markets which may interrupt our access to capital. We currently do not expect the shutdown to have a significant impact on our condensed consolidated financial statements.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Corporate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220"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20"/>
          <w:szCs w:val="20"/>
          <w:color w:val="auto"/>
        </w:rPr>
        <w:t>On October 22, 2024, we issued $175.0 million aggregate principal amount of our 5.52% Series A senior notes due October 22, 2029 (the “Notes”), pursuant to a note purchase agreement, dated as of October 22, 2024 (the “Note Purchase Agreement”), in a private placement exempt from registration under the Securities Act.</w:t>
      </w:r>
    </w:p>
    <w:p>
      <w:pPr>
        <w:spacing w:after="0" w:line="16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is payable semi-annually in arrears on April 22 and October 22 of each year. Interest on the Notes accrues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Purchase of Asset Class Non-Controlling Interests</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we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86"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20"/>
          <w:szCs w:val="20"/>
          <w:color w:val="auto"/>
        </w:rPr>
        <w:t>The Transaction Agreements provide for, among other things and subject to the terms and conditions therein, the exchange of the sellers’ equity interests in the Asset Class Entities, as applicable, for a combination of (i) Class D units, in the case of SRA and SRE, or shares of Class A common stock, in the case of SPD, and (ii) cash (at our discretion for all exchanges except the initial exchange), in up to ten annual exchanges (or up to fifteen annual exchanges in certain circumstances in the case of the sellers of SRA equity interests).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On May 31, 2024, we completed the first annual exchange (the “2024 Exchange”) to acquire approximately 5% of the equity interests of each of SRA, SRE and SPD pursuant to the Transaction Agreements dated as of February 7, 2024. As a result of the 2024 Exchange, the Partnership owned approximately 54% of the outstanding equity interests of SRA, 56% of the outstanding equity interests of SRE and 54% of the outstanding equity interests of SPD. The aggregate consideration paid by us in the 2024 Exchange was approximately (i) $13 million in cash, (ii) 513,394 shares of Class A common stock and (iii) 2,239,185 Class D units of the Partnership.</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5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9"/>
          <w:szCs w:val="19"/>
          <w:color w:val="auto"/>
        </w:rPr>
        <w:t>In connection with the transactions contemplated by the SRA Transaction Agreement and SRE Transaction Agreement, we entered into a Class D Exchange Agreement (the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in connection with the SRA Transaction Agreement and SRE Transaction Agreement on a one-for-one basis with shares of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182"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On May 30, 2025, we completed the second annual exchange (the “2025 Exchange”) to acquire approximately 5% of the equity interests of each of SRA, SRE and SPD pursuant to the Transaction Agreements dated as of February 7, 2024. As a result of the 2025 Exchange, the Partnership now owns approximately 60% of the outstanding equity interests of SRA, 60% of the outstanding equity interests of SRE and 59% of the outstanding equity interests of SPD. The aggregate consideration paid by us in the 2025 Exchange was approximately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$10 million in cash, (ii) 756,105 shares of Class A common stock and (iii) 2,438,403 Class D units of the Partnership.</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In June 2025, we issued 152,768 shares of Class A common stock to certain limited partners of the Partnership in exchange for 152,768 Class B units of the Partnership in accordance with the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 We also issued 18,000 shares of Class A common stock to certain limited partners of the Partnership in exchange for 18,000 Class C units of the Partnership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 A corresponding number of Class A units of the Partnership were issued to us. We also issued 864,640 shares of Class A common stock to certain limited partners of the Partnership in exchange for 864,640 Class D units of the Partnership in accordance with the elective exchange notices submitted pursuant to the Class D Exchange Agreement, and a corresponding number of Class A units of the Partnership were issued to us.</w:t>
      </w:r>
    </w:p>
    <w:p>
      <w:pPr>
        <w:spacing w:after="0" w:line="17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In September 2025, we issued 370,470 shares of Class A common stock to certain limited partners of the Partnership in exchange for 370,470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16,658 shares of Class A common stock to certain limited partners of the Partnership in exchange for 16,658 Class C units of the Partnership in accordance with the elective exchange notices submitted pursuant to the Class C Exchange Agreement, and a corresponding number of Class A units of the Partnership were issued to us. We also issued 135,697 shares of Class A common stock to certain limited partners of the Partnership in exchange for 135,697 Class D units of the Partnership in accordance with the elective exchange notices submitted pursuant to the Class D Exchange Agreement, and a corresponding number of Class A units of the Partnership were issued to us.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3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Class C units and Class D units held by partners of the Partnership in our consolidated financial statements.</w:t>
      </w:r>
    </w:p>
    <w:p>
      <w:pPr>
        <w:spacing w:after="0" w:line="19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Pursuant to the StepStone Limited Partnership Agreement, the Class B Exchange Agreement, the Class C Exchange Agreement and the Class D Exchange Agreement that SSG and the Partnership entered into with partners holding Class B units, Class C units and Class D units of the Partnership, respectively, each Class B unit, Class C unit or Class D unit is exchangeable for one share of SSG’s Class A common stock or, at SSG’s election, for cash, subject to certain restrictions specified in the relevant exchange agreement. When a Class B unit, Class C unit or Class D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and Class D units.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diagram below illustrates our organizational structure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151130</wp:posOffset>
            </wp:positionV>
            <wp:extent cx="5863590" cy="25114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359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sum to 100% due to rounding.</w:t>
      </w:r>
    </w:p>
    <w:p>
      <w:pPr>
        <w:spacing w:after="0" w:line="27"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 of the Partnership other than StepStone Group Inc. are: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which holds a 100% general partner interest and no economic interests;</w:t>
      </w:r>
    </w:p>
    <w:p>
      <w:pPr>
        <w:spacing w:after="0" w:line="9" w:lineRule="exact"/>
        <w:rPr>
          <w:rFonts w:ascii="Times New Roman" w:cs="Times New Roman" w:eastAsia="Times New Roman" w:hAnsi="Times New Roman"/>
          <w:sz w:val="18"/>
          <w:szCs w:val="18"/>
          <w:color w:val="auto"/>
        </w:rPr>
      </w:pPr>
    </w:p>
    <w:p>
      <w:pPr>
        <w:ind w:left="1300" w:right="260" w:hanging="644"/>
        <w:spacing w:after="0" w:line="250" w:lineRule="auto"/>
        <w:tabs>
          <w:tab w:leader="none" w:pos="12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employee and former employee owners and outside investors, all of whom own Class B units and an equivalent number of shares of Class B common stock;</w:t>
      </w: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C units;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D units.</w:t>
      </w:r>
    </w:p>
    <w:p>
      <w:pPr>
        <w:spacing w:after="0" w:line="9" w:lineRule="exact"/>
        <w:rPr>
          <w:rFonts w:ascii="Times New Roman" w:cs="Times New Roman" w:eastAsia="Times New Roman" w:hAnsi="Times New Roman"/>
          <w:sz w:val="18"/>
          <w:szCs w:val="18"/>
          <w:color w:val="auto"/>
        </w:rPr>
      </w:pPr>
    </w:p>
    <w:p>
      <w:pPr>
        <w:ind w:left="660" w:right="40" w:hanging="652"/>
        <w:spacing w:after="0" w:line="250"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 entitled to one vote and votes together with the Class B common stock as a single class, except as set forth in SSG’s amended and restated certificate of incorporation or as required by law.</w:t>
      </w:r>
    </w:p>
    <w:p>
      <w:pPr>
        <w:jc w:val="both"/>
        <w:ind w:left="660" w:right="40" w:hanging="652"/>
        <w:spacing w:after="0" w:line="255"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 entitled to one vote and votes together with the Class A common stock as a single class, except as set forth in SSG’s amended and restated certificate of incorporation or as required by law. The economic rights of our Class B common stock are limited to the right to be redeemed at par value.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4" w:name="page55"/>
    <w:bookmarkEnd w:id="54"/>
    <w:p>
      <w:pPr>
        <w:spacing w:after="0" w:line="35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Prior to September 18, 2025, holders of our Class B common stock controlled a majority of the voting power of our outstanding common stock because (i) each share of our Class B common stock entitled its holder to five votes on all matters to be voted on by stockholders generally, until the earliest to occur of certain ownership changes or September 18, 2025 as set forth in our then current Amended and Restated Certificate of Incorporation (the “Sunset”) and (ii) under our Amended and Restated Stockholders Agreement, dated as of September 20, 2021 (the “Stockholders Agreement”), certain Class A stockholders, Class B stockholders and Class C unitholders in the Partnership agreed to vote all of their shares of voting stock together and in accordance with the Class B Committee (as defined in the Stockholders Agreement). As a result, prior to the Sunset, we qualified as a “controlled company” within the meaning of the corporate governance rules of The Nasdaq Global Select Market LLC (“Nasdaq”). Under these rules, a listed company of which more than 50% of the voting power with respect to the election of directors is held by an individual, group or another company is a “controlled company” and may elect not to comply with certain corporate governance requirements. Consistent with this, until the occurrence of the Sunset, we elected not to comply with certain corporate governance requirements, including the requirements that (i) a majority of our board of directors consist of independent directors, (ii) director nominees be selected or recommended to the board entirely by independent directors and (iii) the compensation committee be composed entirely of independent directors.</w:t>
      </w:r>
    </w:p>
    <w:p>
      <w:pPr>
        <w:spacing w:after="0" w:line="19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However, since the occurrence of the Sunset and expiration of the Stockholders Agreement on September 18, 2025, each share of Class A common stock and Class B common stock is entitled to one vote, and we no longer qualify as a “controlled company” within the meaning of the Nasdaq rules. Under the Nasdaq rules, the Company may continue to rely on exemptions from certain corporate governance requirements during a one year “phase-in” period. The Company has taken all action necessary to comply with the Nasdaq rules that apply to non-controlled companies, including transitioning our board of directors to being composed of a majority of independent directors by September 18, 2026 (the end of the permitted “phase-in” period following loss of controlled company status under the Nasdaq rules). Additionally, as of September 18, 2025, the Compensation Committee and Nominating and Corporate Governance Committee of our board of directors each consist of a majority of independent directors. On or before September 18, 2026, we plan for these committees to be composed entirely of independent directors, and for a majority of our board of directors to consist of independent directors. Until the Company is fully subject to these requirements, stockholders may not have the same protections afforded to stockholders of companies that are subject to all of the corporate governance requirements under the Nasdaq rules.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generate revenues primarily from management and advisory fees, incentive fees and allocations of carried interest.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3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20"/>
          <w:szCs w:val="20"/>
          <w:color w:val="231F20"/>
        </w:rPr>
        <w:t>Management and advisory fees, net, consist of fees received from managing SMAs and focused commingled funds, advisory and data services, and portfolio analytics and reporting. Management fees include income-based incentive fees, which are predictable and recurring in nature and paid quarterly based on net investment income of certain funds</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51" w:lineRule="exact"/>
        <w:rPr>
          <w:sz w:val="20"/>
          <w:szCs w:val="20"/>
          <w:color w:val="auto"/>
        </w:rPr>
      </w:pPr>
    </w:p>
    <w:p>
      <w:pPr>
        <w:ind w:left="660" w:right="20" w:hanging="328"/>
        <w:spacing w:after="0" w:line="258"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 xml:space="preserve">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w:t>
      </w:r>
      <w:r>
        <w:rPr>
          <w:rFonts w:ascii="Times New Roman" w:cs="Times New Roman" w:eastAsia="Times New Roman" w:hAnsi="Times New Roman"/>
          <w:sz w:val="20"/>
          <w:szCs w:val="20"/>
          <w:color w:val="000000"/>
        </w:rPr>
        <w:t>0.39% and</w:t>
      </w:r>
      <w:r>
        <w:rPr>
          <w:rFonts w:ascii="Times New Roman" w:cs="Times New Roman" w:eastAsia="Times New Roman" w:hAnsi="Times New Roman"/>
          <w:sz w:val="20"/>
          <w:szCs w:val="20"/>
          <w:color w:val="231F20"/>
        </w:rPr>
        <w:t xml:space="preserve"> 0.38% of average FEAUM for both the twelve months ended September 30, 2024 and 2025.</w:t>
      </w:r>
    </w:p>
    <w:p>
      <w:pPr>
        <w:spacing w:after="0" w:line="172" w:lineRule="exact"/>
        <w:rPr>
          <w:rFonts w:ascii="Times New Roman" w:cs="Times New Roman" w:eastAsia="Times New Roman" w:hAnsi="Times New Roman"/>
          <w:sz w:val="20"/>
          <w:szCs w:val="20"/>
          <w:color w:val="auto"/>
        </w:rPr>
      </w:pPr>
    </w:p>
    <w:p>
      <w:pPr>
        <w:ind w:left="660" w:hanging="328"/>
        <w:spacing w:after="0" w:line="253"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1.03% and 1.00% of average FEAUM for the twelve months ended September 30, 2024 and 2025, respectively, and primarily reflected the timing of new funds and growth in our private wealth funds which earn higher fee rates.</w:t>
      </w:r>
    </w:p>
    <w:p>
      <w:pPr>
        <w:spacing w:after="0" w:line="192" w:lineRule="exact"/>
        <w:rPr>
          <w:rFonts w:ascii="Times New Roman" w:cs="Times New Roman" w:eastAsia="Times New Roman" w:hAnsi="Times New Roman"/>
          <w:sz w:val="20"/>
          <w:szCs w:val="20"/>
          <w:color w:val="auto"/>
        </w:rPr>
      </w:pPr>
    </w:p>
    <w:p>
      <w:pPr>
        <w:ind w:left="660" w:right="100" w:hanging="328"/>
        <w:spacing w:after="0" w:line="258"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The weighted-average management fee rate across SMAs and focused commingled funds was approximately 0.63% and 0.63% of average FEAUM for the twelve months ended September 30, 2024 and 2025, respectively, and primarily reflected the timing of new funds, shifts in mix between SMAs and focused commingled funds and growth in our private wealth funds which earn higher fee rates.</w:t>
      </w:r>
    </w:p>
    <w:p>
      <w:pPr>
        <w:spacing w:after="0" w:line="172" w:lineRule="exact"/>
        <w:rPr>
          <w:rFonts w:ascii="Times New Roman" w:cs="Times New Roman" w:eastAsia="Times New Roman" w:hAnsi="Times New Roman"/>
          <w:sz w:val="20"/>
          <w:szCs w:val="20"/>
          <w:color w:val="auto"/>
        </w:rPr>
      </w:pPr>
    </w:p>
    <w:p>
      <w:pPr>
        <w:ind w:left="660" w:hanging="328"/>
        <w:spacing w:after="0" w:line="257" w:lineRule="auto"/>
        <w:tabs>
          <w:tab w:leader="none" w:pos="648"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Fee revenues from advisory, StepStone Portfolio Analytics &amp; Reporting (“SPAR”) and SPI Research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72" w:lineRule="exact"/>
        <w:rPr>
          <w:rFonts w:ascii="Times New Roman" w:cs="Times New Roman" w:eastAsia="Times New Roman" w:hAnsi="Times New Roman"/>
          <w:sz w:val="20"/>
          <w:szCs w:val="20"/>
          <w:color w:val="231F20"/>
        </w:rPr>
      </w:pPr>
    </w:p>
    <w:p>
      <w:pPr>
        <w:ind w:left="660" w:right="20" w:hanging="328"/>
        <w:spacing w:after="0" w:line="258"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8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We earn two types of performance fee revenues: incentive fees and carried interest allocations, as described below. As of September 30, 2025, we had over $100 billion of performance fee-eligible capital (excluding certain legacy Greenspring funds) across over 225 programs.</w:t>
      </w:r>
    </w:p>
    <w:p>
      <w:pPr>
        <w:spacing w:after="0" w:line="17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 xml:space="preserve">Incentive fees </w:t>
      </w:r>
      <w:r>
        <w:rPr>
          <w:rFonts w:ascii="Times New Roman" w:cs="Times New Roman" w:eastAsia="Times New Roman" w:hAnsi="Times New Roman"/>
          <w:sz w:val="20"/>
          <w:szCs w:val="20"/>
          <w:color w:val="231F20"/>
        </w:rPr>
        <w:t>comprise fees earned from certain client investment mandates for which we do not have a general partnership interest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 a StepStone Fund. Incentive fees 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5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231F20"/>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7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Carried interest allocations </w:t>
      </w:r>
      <w:r>
        <w:rPr>
          <w:rFonts w:ascii="Times New Roman" w:cs="Times New Roman" w:eastAsia="Times New Roman" w:hAnsi="Times New Roman"/>
          <w:sz w:val="20"/>
          <w:szCs w:val="20"/>
          <w:color w:val="231F20"/>
        </w:rPr>
        <w:t>include the allocation of performance-based fees, commonly referred to as carried interest, to us from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limited partners in the StepStone Funds in 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w:t>
      </w:r>
    </w:p>
    <w:p>
      <w:pPr>
        <w:spacing w:after="0" w:line="188"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19"/>
          <w:szCs w:val="19"/>
          <w:i w:val="1"/>
          <w:iCs w:val="1"/>
          <w:color w:val="231F20"/>
        </w:rPr>
        <w:t xml:space="preserve">Legacy Greenspring carried interest allocations </w:t>
      </w:r>
      <w:r>
        <w:rPr>
          <w:rFonts w:ascii="Times New Roman" w:cs="Times New Roman" w:eastAsia="Times New Roman" w:hAnsi="Times New Roman"/>
          <w:sz w:val="19"/>
          <w:szCs w:val="19"/>
          <w:color w:val="231F20"/>
        </w:rPr>
        <w:t>include the allocation of carried interest to legacy Greenspring general partner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w:t>
      </w:r>
    </w:p>
    <w:p>
      <w:pPr>
        <w:spacing w:after="0" w:line="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231F20"/>
        </w:rPr>
        <w:t>interest allocations in respect of such legacy Greenspring funds are payable to employees who are considered affiliates to us and are therefore reflected as legacy Greenspring performance fee-related compensation in the condensed consolidated statements of income (loss).</w:t>
      </w:r>
    </w:p>
    <w:p>
      <w:pPr>
        <w:spacing w:after="0" w:line="173"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3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September 30, 2025 and March 31, 2025, no material amounts for potential clawback obligations had been accrued.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primarily includes salaries, bonuses, employee benefits, cash-based incentive awards and employer-related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payroll taxes.</w:t>
      </w:r>
    </w:p>
    <w:p>
      <w:pPr>
        <w:spacing w:after="0" w:line="165" w:lineRule="exact"/>
        <w:rPr>
          <w:sz w:val="20"/>
          <w:szCs w:val="20"/>
          <w:color w:val="auto"/>
        </w:rPr>
      </w:pPr>
    </w:p>
    <w:p>
      <w:pPr>
        <w:ind w:right="62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 related awards or arrangements to certain employees and directors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 associated with the employee stock purchase plan (“ESPP”).</w:t>
      </w:r>
    </w:p>
    <w:p>
      <w:pPr>
        <w:spacing w:after="0" w:line="138"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Performance fee-related compensation </w:t>
      </w:r>
      <w:r>
        <w:rPr>
          <w:rFonts w:ascii="Times New Roman" w:cs="Times New Roman" w:eastAsia="Times New Roman" w:hAnsi="Times New Roman"/>
          <w:sz w:val="20"/>
          <w:szCs w:val="20"/>
          <w:color w:val="auto"/>
        </w:rPr>
        <w:t>represents the portion of carried interest allocation revenue and incentive fees that have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awarded to employees as a form of long-term incentive compensation. Performance fee-related compensation is generally tied to the investment performance of the StepStone Funds. </w:t>
      </w:r>
      <w:r>
        <w:rPr>
          <w:rFonts w:ascii="Times New Roman" w:cs="Times New Roman" w:eastAsia="Times New Roman" w:hAnsi="Times New Roman"/>
          <w:sz w:val="20"/>
          <w:szCs w:val="20"/>
          <w:color w:val="231F20"/>
        </w:rPr>
        <w:t>Approximately 50% of carried interest allocation revenue is awarded to employees as part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On April 1, 2024, certain of our non-wholly 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Legacy Greenspring performance fee-related compensation </w:t>
      </w:r>
      <w:r>
        <w:rPr>
          <w:rFonts w:ascii="Times New Roman" w:cs="Times New Roman" w:eastAsia="Times New Roman" w:hAnsi="Times New Roman"/>
          <w:sz w:val="20"/>
          <w:szCs w:val="20"/>
          <w:color w:val="auto"/>
        </w:rPr>
        <w:t>represents the legacy Greenspring carried interest allocations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entirely payable to certain employees. Legacy Greenspring </w:t>
      </w:r>
      <w:r>
        <w:rPr>
          <w:rFonts w:ascii="Times New Roman" w:cs="Times New Roman" w:eastAsia="Times New Roman" w:hAnsi="Times New Roman"/>
          <w:sz w:val="20"/>
          <w:szCs w:val="20"/>
          <w:color w:val="231F20"/>
        </w:rPr>
        <w:t>carried interest-related compensation is accounted for as compensation expense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87"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General, administrative and other </w:t>
      </w:r>
      <w:r>
        <w:rPr>
          <w:rFonts w:ascii="Times New Roman" w:cs="Times New Roman" w:eastAsia="Times New Roman" w:hAnsi="Times New Roman"/>
          <w:sz w:val="20"/>
          <w:szCs w:val="20"/>
          <w:color w:val="auto"/>
        </w:rPr>
        <w:t>includes occupancy, travel and related costs, insurance, legal and other professional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amortization of intangible assets, system-related costs, and other general costs associated with operating our business. General, administrative and other includes costs associated with the Consolidated Funds. Expenses of the Consolidated Funds have no impact on net income or loss attributable to us to the extent such expenses are borne by third-party investors.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Investment income (loss) </w:t>
      </w:r>
      <w:r>
        <w:rPr>
          <w:rFonts w:ascii="Times New Roman" w:cs="Times New Roman" w:eastAsia="Times New Roman" w:hAnsi="Times New Roman"/>
          <w:sz w:val="20"/>
          <w:szCs w:val="20"/>
          <w:color w:val="231F20"/>
        </w:rPr>
        <w:t>primarily represents our share of earnings (losses) from the investments we make in our SMAs and focused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7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231F20"/>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157"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0"/>
          <w:szCs w:val="20"/>
          <w:i w:val="1"/>
          <w:iCs w:val="1"/>
          <w:color w:val="231F20"/>
        </w:rPr>
        <w:t xml:space="preserve">Legacy Greenspring investment income (loss) </w:t>
      </w:r>
      <w:r>
        <w:rPr>
          <w:rFonts w:ascii="Times New Roman" w:cs="Times New Roman" w:eastAsia="Times New Roman" w:hAnsi="Times New Roman"/>
          <w:sz w:val="20"/>
          <w:szCs w:val="20"/>
          <w:color w:val="231F20"/>
        </w:rPr>
        <w:t>represents our share of earnings (losses) from the investments we make in certain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Investment income (loss) of Consolidated Funds </w:t>
      </w:r>
      <w:r>
        <w:rPr>
          <w:rFonts w:ascii="Times New Roman" w:cs="Times New Roman" w:eastAsia="Times New Roman" w:hAnsi="Times New Roman"/>
          <w:sz w:val="20"/>
          <w:szCs w:val="20"/>
          <w:color w:val="auto"/>
        </w:rPr>
        <w:t>represents gains (losses) from the investments held by the Consolidated Funds.</w:t>
      </w:r>
    </w:p>
    <w:p>
      <w:pPr>
        <w:spacing w:after="0" w:line="229" w:lineRule="exact"/>
        <w:rPr>
          <w:sz w:val="20"/>
          <w:szCs w:val="20"/>
          <w:color w:val="auto"/>
        </w:rPr>
      </w:pPr>
    </w:p>
    <w:p>
      <w:pPr>
        <w:ind w:right="100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income earned on cash and cash equivalents, restricted cash,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65" w:lineRule="exact"/>
        <w:rPr>
          <w:sz w:val="20"/>
          <w:szCs w:val="20"/>
          <w:color w:val="auto"/>
        </w:rPr>
      </w:pPr>
    </w:p>
    <w:p>
      <w:pPr>
        <w:ind w:right="5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primarily consists of the interest expense on the Revolver and the Notes, as well as the related amortization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deferred financing costs.</w:t>
      </w:r>
    </w:p>
    <w:p>
      <w:pPr>
        <w:spacing w:after="0" w:line="165"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Other income (loss) </w:t>
      </w:r>
      <w:r>
        <w:rPr>
          <w:rFonts w:ascii="Times New Roman" w:cs="Times New Roman" w:eastAsia="Times New Roman" w:hAnsi="Times New Roman"/>
          <w:sz w:val="20"/>
          <w:szCs w:val="20"/>
          <w:color w:val="auto"/>
        </w:rPr>
        <w:t>includes foreign currency transaction gains and losses, non-operating activities,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condensed consolidated statements of income. As a result, the Partnership does not record U.S. federal and state income taxes on income generated by the Partnership or its subsidiaries, except for certain local and foreign income taxes discussed above.</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9" w:name="page60"/>
    <w:bookmarkEnd w:id="59"/>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3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(loss) to clearly distinguish between our interests and the economic interests of third parties and employees in those entities. Net income (loss) attributable to SSG, as reported in the condensed consolidated statements of income (loss), is presented net of the portion of net income (loss) attributable to holders of non-controlling interests.</w:t>
      </w:r>
    </w:p>
    <w:p>
      <w:pPr>
        <w:spacing w:after="0" w:line="17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and employees.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4"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legacy Greenspring entities </w:t>
      </w:r>
      <w:r>
        <w:rPr>
          <w:rFonts w:ascii="Times New Roman" w:cs="Times New Roman" w:eastAsia="Times New Roman" w:hAnsi="Times New Roman"/>
          <w:sz w:val="19"/>
          <w:szCs w:val="19"/>
          <w:color w:val="auto"/>
        </w:rPr>
        <w:t>represent the economic interests in the legacy Greenspring general partner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entities. We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59"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the Partnership </w:t>
      </w:r>
      <w:r>
        <w:rPr>
          <w:rFonts w:ascii="Times New Roman" w:cs="Times New Roman" w:eastAsia="Times New Roman" w:hAnsi="Times New Roman"/>
          <w:sz w:val="19"/>
          <w:szCs w:val="19"/>
          <w:color w:val="auto"/>
        </w:rPr>
        <w:t>represent the economic interests in the Partnership held by the Class B, Class C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Class D 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84" w:lineRule="exact"/>
        <w:rPr>
          <w:sz w:val="20"/>
          <w:szCs w:val="20"/>
          <w:color w:val="auto"/>
        </w:rPr>
      </w:pPr>
    </w:p>
    <w:p>
      <w:pPr>
        <w:ind w:right="120" w:firstLine="648"/>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Redeemable non-controlling interests in subsidiaries </w:t>
      </w:r>
      <w:r>
        <w:rPr>
          <w:rFonts w:ascii="Times New Roman" w:cs="Times New Roman" w:eastAsia="Times New Roman" w:hAnsi="Times New Roman"/>
          <w:sz w:val="19"/>
          <w:szCs w:val="19"/>
          <w:color w:val="auto"/>
        </w:rPr>
        <w:t>represent the redeemable economic interests in the consolidated subsidiaries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Partnership held by third parties and employees in those entities that were established in connection with the Transaction Agreements.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33"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We monitor certain operating metrics that are either common to the asset management industry or that we believe provide important data regarding our business.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33" w:lineRule="exact"/>
        <w:rPr>
          <w:sz w:val="20"/>
          <w:szCs w:val="20"/>
          <w:color w:val="auto"/>
        </w:rPr>
      </w:pPr>
    </w:p>
    <w:p>
      <w:pPr>
        <w:jc w:val="both"/>
        <w:ind w:right="100" w:firstLine="648"/>
        <w:spacing w:after="0" w:line="254" w:lineRule="auto"/>
        <w:rPr>
          <w:sz w:val="20"/>
          <w:szCs w:val="20"/>
          <w:color w:val="auto"/>
        </w:rPr>
      </w:pPr>
      <w:r>
        <w:rPr>
          <w:rFonts w:ascii="Times New Roman" w:cs="Times New Roman" w:eastAsia="Times New Roman" w:hAnsi="Times New Roman"/>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35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September 30, 2025 reflects final data for the prior period (June 30, 2025), adjusted for net new client account activity through September 30, 2025. NAV data for underlying investments is as of June 30, 2025, as reported by underlying managers up to the business day occurring on or after 100 days following June 30, 2025. When NAV data is not available by the business day occurring on or after 100 days following June 30, 2025, such NAVs are adjusted for cash activity following the last available reported NAV.</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We believe AUA is a useful metric for assessing the relative size of our advisory business.</w:t>
      </w:r>
    </w:p>
    <w:p>
      <w:pPr>
        <w:spacing w:after="0" w:line="19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231F20"/>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September 30, 2025 reflects final data for the prior period (June 30, 2025), adjusted for net new client account activity through September 30, 2025. NAV data for underlying investments is as of June 30, 2025, as reported by underlying managers up to the business day occurring on or after 100 days following June 30, 2025. When NAV data is not available by the business day occurring on or after 100 days following June 30, 2025, such NAVs are adjusted for cash activity following the last available reported NAV.</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33"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We believe FEAUM is a useful metric in order to assess assets forming the basis of our management fee revenue.</w:t>
      </w:r>
    </w:p>
    <w:p>
      <w:pPr>
        <w:spacing w:after="0" w:line="193" w:lineRule="exact"/>
        <w:rPr>
          <w:sz w:val="20"/>
          <w:szCs w:val="20"/>
          <w:color w:val="auto"/>
        </w:rPr>
      </w:pPr>
    </w:p>
    <w:p>
      <w:pPr>
        <w:ind w:right="480" w:firstLine="648"/>
        <w:spacing w:after="0" w:line="283" w:lineRule="auto"/>
        <w:rPr>
          <w:sz w:val="20"/>
          <w:szCs w:val="20"/>
          <w:color w:val="auto"/>
        </w:rPr>
      </w:pPr>
      <w:r>
        <w:rPr>
          <w:rFonts w:ascii="Times New Roman" w:cs="Times New Roman" w:eastAsia="Times New Roman" w:hAnsi="Times New Roman"/>
          <w:sz w:val="20"/>
          <w:szCs w:val="20"/>
          <w:color w:val="231F20"/>
        </w:rPr>
        <w:t>Our calculation of FEAUM may differ from the calculations of other asset managers and, as a result, may not be comparable to similar measures presented by other asset managers.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Undeployed Fee-Earning Capital</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Undeployed fee-earning capital represents the amount of capital commitments to StepStone Funds that has not yet been invested or considered active but will generate management fee revenue once this capital is invested or activated. We believe undeployed fee-earning capital is a useful metric for measuring the amount of capital that we can put to work in the future and thus earn management fee revenue thereon.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 of StepStone Funds</w:t>
      </w:r>
    </w:p>
    <w:p>
      <w:pPr>
        <w:spacing w:after="0" w:line="2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The activity of the Consolidated Funds is reflected within the condensed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condensed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2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0"/>
          <w:szCs w:val="20"/>
          <w:color w:val="auto"/>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unaudited consolidated results of operations for the periods presented. The information is derived from our accompanying condensed consolidated financial statements prepared in accordance with GAAP.</w:t>
      </w: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2" w:name="page63"/>
    <w:bookmarkEnd w:id="62"/>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3"/>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215,489</w:t>
            </w:r>
          </w:p>
        </w:tc>
        <w:tc>
          <w:tcPr>
            <w:tcW w:w="26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184,758</w:t>
            </w:r>
          </w:p>
        </w:tc>
        <w:tc>
          <w:tcPr>
            <w:tcW w:w="24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426,662</w:t>
            </w:r>
          </w:p>
        </w:tc>
        <w:tc>
          <w:tcPr>
            <w:tcW w:w="24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362,773</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Incentive fees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3,996</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6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Realized</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58,878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83,282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59,436</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Unrealized</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147,813</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52,215</w:t>
            </w:r>
          </w:p>
        </w:tc>
        <w:tc>
          <w:tcPr>
            <w:tcW w:w="2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236,696</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27,045</w:t>
            </w:r>
          </w:p>
        </w:tc>
        <w:tc>
          <w:tcPr>
            <w:tcW w:w="0" w:type="dxa"/>
            <w:vAlign w:val="bottom"/>
          </w:tcPr>
          <w:p>
            <w:pPr>
              <w:spacing w:after="0"/>
              <w:rPr>
                <w:sz w:val="1"/>
                <w:szCs w:val="1"/>
                <w:color w:val="auto"/>
              </w:rPr>
            </w:pPr>
          </w:p>
        </w:tc>
      </w:tr>
      <w:tr>
        <w:trPr>
          <w:trHeight w:val="163"/>
        </w:trPr>
        <w:tc>
          <w:tcPr>
            <w:tcW w:w="5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206,691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69,847</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319,978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86,481</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27,143</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13,917</w:t>
            </w:r>
          </w:p>
        </w:tc>
        <w:tc>
          <w:tcPr>
            <w:tcW w:w="2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66,780</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4,828</w:t>
            </w:r>
          </w:p>
        </w:tc>
        <w:tc>
          <w:tcPr>
            <w:tcW w:w="0" w:type="dxa"/>
            <w:vAlign w:val="bottom"/>
          </w:tcPr>
          <w:p>
            <w:pPr>
              <w:spacing w:after="0"/>
              <w:rPr>
                <w:sz w:val="1"/>
                <w:szCs w:val="1"/>
                <w:color w:val="auto"/>
              </w:rPr>
            </w:pPr>
          </w:p>
        </w:tc>
      </w:tr>
      <w:tr>
        <w:trPr>
          <w:trHeight w:val="163"/>
        </w:trPr>
        <w:tc>
          <w:tcPr>
            <w:tcW w:w="5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performance fees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238,736</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86,919</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391,850</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95,305</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revenues</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454,225</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271,677</w:t>
            </w:r>
          </w:p>
        </w:tc>
        <w:tc>
          <w:tcPr>
            <w:tcW w:w="2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818,512</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458,078</w:t>
            </w:r>
          </w:p>
        </w:tc>
        <w:tc>
          <w:tcPr>
            <w:tcW w:w="0" w:type="dxa"/>
            <w:vAlign w:val="bottom"/>
          </w:tcPr>
          <w:p>
            <w:pPr>
              <w:spacing w:after="0"/>
              <w:rPr>
                <w:sz w:val="1"/>
                <w:szCs w:val="1"/>
                <w:color w:val="auto"/>
              </w:rPr>
            </w:pPr>
          </w:p>
        </w:tc>
      </w:tr>
      <w:tr>
        <w:trPr>
          <w:trHeight w:val="151"/>
        </w:trPr>
        <w:tc>
          <w:tcPr>
            <w:tcW w:w="52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100,348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82,871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196,333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161,095</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884,470</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37,332</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1,073,188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56,511</w:t>
            </w:r>
          </w:p>
        </w:tc>
        <w:tc>
          <w:tcPr>
            <w:tcW w:w="0" w:type="dxa"/>
            <w:vAlign w:val="bottom"/>
          </w:tcPr>
          <w:p>
            <w:pPr>
              <w:spacing w:after="0"/>
              <w:rPr>
                <w:sz w:val="1"/>
                <w:szCs w:val="1"/>
                <w:color w:val="auto"/>
              </w:rPr>
            </w:pPr>
          </w:p>
        </w:tc>
      </w:tr>
      <w:tr>
        <w:trPr>
          <w:trHeight w:val="170"/>
        </w:trPr>
        <w:tc>
          <w:tcPr>
            <w:tcW w:w="52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30,995</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8,767</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42,700</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29,615</w:t>
            </w:r>
          </w:p>
        </w:tc>
        <w:tc>
          <w:tcPr>
            <w:tcW w:w="0" w:type="dxa"/>
            <w:vAlign w:val="bottom"/>
          </w:tcPr>
          <w:p>
            <w:pPr>
              <w:spacing w:after="0"/>
              <w:rPr>
                <w:sz w:val="1"/>
                <w:szCs w:val="1"/>
                <w:color w:val="auto"/>
              </w:rPr>
            </w:pPr>
          </w:p>
        </w:tc>
      </w:tr>
      <w:tr>
        <w:trPr>
          <w:trHeight w:val="170"/>
        </w:trPr>
        <w:tc>
          <w:tcPr>
            <w:tcW w:w="52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88,727</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27,748</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133,084</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16,825</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119,722</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36,515</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175,784</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46,440</w:t>
            </w:r>
          </w:p>
        </w:tc>
        <w:tc>
          <w:tcPr>
            <w:tcW w:w="0" w:type="dxa"/>
            <w:vAlign w:val="bottom"/>
          </w:tcPr>
          <w:p>
            <w:pPr>
              <w:spacing w:after="0"/>
              <w:rPr>
                <w:sz w:val="1"/>
                <w:szCs w:val="1"/>
                <w:color w:val="auto"/>
              </w:rPr>
            </w:pPr>
          </w:p>
        </w:tc>
      </w:tr>
      <w:tr>
        <w:trPr>
          <w:trHeight w:val="176"/>
        </w:trPr>
        <w:tc>
          <w:tcPr>
            <w:tcW w:w="5260" w:type="dxa"/>
            <w:vAlign w:val="bottom"/>
            <w:tcBorders>
              <w:bottom w:val="single" w:sz="8" w:color="CCEEFF"/>
            </w:tcBorders>
          </w:tcPr>
          <w:p>
            <w:pPr>
              <w:ind w:left="400"/>
              <w:spacing w:after="0" w:line="175" w:lineRule="exact"/>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27,143</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13,917</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66,780</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4,828</w:t>
            </w: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1,131,683</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170,635</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1,512,085</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268,874</w:t>
            </w:r>
          </w:p>
        </w:tc>
        <w:tc>
          <w:tcPr>
            <w:tcW w:w="0" w:type="dxa"/>
            <w:vAlign w:val="bottom"/>
          </w:tcPr>
          <w:p>
            <w:pPr>
              <w:spacing w:after="0"/>
              <w:rPr>
                <w:sz w:val="1"/>
                <w:szCs w:val="1"/>
                <w:color w:val="auto"/>
              </w:rPr>
            </w:pPr>
          </w:p>
        </w:tc>
      </w:tr>
      <w:tr>
        <w:trPr>
          <w:trHeight w:val="17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45,292</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50,061</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88,206</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91,072</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1,176,975</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220,696</w:t>
            </w:r>
          </w:p>
        </w:tc>
        <w:tc>
          <w:tcPr>
            <w:tcW w:w="2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1,600,291</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359,946</w:t>
            </w:r>
          </w:p>
        </w:tc>
        <w:tc>
          <w:tcPr>
            <w:tcW w:w="0" w:type="dxa"/>
            <w:vAlign w:val="bottom"/>
          </w:tcPr>
          <w:p>
            <w:pPr>
              <w:spacing w:after="0"/>
              <w:rPr>
                <w:sz w:val="1"/>
                <w:szCs w:val="1"/>
                <w:color w:val="auto"/>
              </w:rPr>
            </w:pPr>
          </w:p>
        </w:tc>
      </w:tr>
      <w:tr>
        <w:trPr>
          <w:trHeight w:val="151"/>
        </w:trPr>
        <w:tc>
          <w:tcPr>
            <w:tcW w:w="52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(loss)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4,646</w:t>
            </w: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investment income (loss)</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(5,286)</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46,044</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8,206</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67,715</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15,841</w:t>
            </w:r>
          </w:p>
        </w:tc>
        <w:tc>
          <w:tcPr>
            <w:tcW w:w="0" w:type="dxa"/>
            <w:vAlign w:val="bottom"/>
          </w:tcPr>
          <w:p>
            <w:pPr>
              <w:spacing w:after="0"/>
              <w:rPr>
                <w:sz w:val="1"/>
                <w:szCs w:val="1"/>
                <w:color w:val="auto"/>
              </w:rPr>
            </w:pPr>
          </w:p>
        </w:tc>
      </w:tr>
      <w:tr>
        <w:trPr>
          <w:trHeight w:val="170"/>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5,073</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(4,425)</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(8,959)</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(6,502)</w:t>
            </w:r>
          </w:p>
        </w:tc>
        <w:tc>
          <w:tcPr>
            <w:tcW w:w="0" w:type="dxa"/>
            <w:vAlign w:val="bottom"/>
          </w:tcPr>
          <w:p>
            <w:pPr>
              <w:spacing w:after="0"/>
              <w:rPr>
                <w:sz w:val="1"/>
                <w:szCs w:val="1"/>
                <w:color w:val="auto"/>
              </w:rPr>
            </w:pPr>
          </w:p>
        </w:tc>
      </w:tr>
      <w:tr>
        <w:trPr>
          <w:trHeight w:val="17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7,130</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other income</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46,924</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6,907</w:t>
            </w:r>
          </w:p>
        </w:tc>
        <w:tc>
          <w:tcPr>
            <w:tcW w:w="2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85,603</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14,598</w:t>
            </w:r>
          </w:p>
        </w:tc>
        <w:tc>
          <w:tcPr>
            <w:tcW w:w="0" w:type="dxa"/>
            <w:vAlign w:val="bottom"/>
          </w:tcPr>
          <w:p>
            <w:pPr>
              <w:spacing w:after="0"/>
              <w:rPr>
                <w:sz w:val="1"/>
                <w:szCs w:val="1"/>
                <w:color w:val="auto"/>
              </w:rPr>
            </w:pPr>
          </w:p>
        </w:tc>
      </w:tr>
      <w:tr>
        <w:trPr>
          <w:trHeight w:val="163"/>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(675,826)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57,888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(696,176)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112,730</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(100,336)</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w:t>
            </w:r>
          </w:p>
        </w:tc>
        <w:tc>
          <w:tcPr>
            <w:tcW w:w="2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(108,675)</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11,547</w:t>
            </w:r>
          </w:p>
        </w:tc>
        <w:tc>
          <w:tcPr>
            <w:tcW w:w="0" w:type="dxa"/>
            <w:vAlign w:val="bottom"/>
          </w:tcPr>
          <w:p>
            <w:pPr>
              <w:spacing w:after="0"/>
              <w:rPr>
                <w:sz w:val="1"/>
                <w:szCs w:val="1"/>
                <w:color w:val="auto"/>
              </w:rPr>
            </w:pPr>
          </w:p>
        </w:tc>
      </w:tr>
      <w:tr>
        <w:trPr>
          <w:trHeight w:val="163"/>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(575,490)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53,138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(587,501)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101,183</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9,242</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19,125</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37,859</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35,740</w:t>
            </w:r>
          </w:p>
        </w:tc>
        <w:tc>
          <w:tcPr>
            <w:tcW w:w="0" w:type="dxa"/>
            <w:vAlign w:val="bottom"/>
          </w:tcPr>
          <w:p>
            <w:pPr>
              <w:spacing w:after="0"/>
              <w:rPr>
                <w:sz w:val="1"/>
                <w:szCs w:val="1"/>
                <w:color w:val="auto"/>
              </w:rPr>
            </w:pPr>
          </w:p>
        </w:tc>
      </w:tr>
      <w:tr>
        <w:trPr>
          <w:trHeight w:val="175"/>
        </w:trPr>
        <w:tc>
          <w:tcPr>
            <w:tcW w:w="5260" w:type="dxa"/>
            <w:vAlign w:val="bottom"/>
          </w:tcPr>
          <w:p>
            <w:pPr>
              <w:ind w:left="400"/>
              <w:spacing w:after="0" w:line="175" w:lineRule="exact"/>
              <w:rPr>
                <w:sz w:val="20"/>
                <w:szCs w:val="20"/>
                <w:color w:val="auto"/>
              </w:rPr>
            </w:pPr>
            <w:r>
              <w:rPr>
                <w:rFonts w:ascii="Times New Roman" w:cs="Times New Roman" w:eastAsia="Times New Roman" w:hAnsi="Times New Roman"/>
                <w:sz w:val="13"/>
                <w:szCs w:val="13"/>
                <w:color w:val="auto"/>
                <w:w w:val="96"/>
              </w:rPr>
              <w:t>Less: Net income (loss) attributable to non-controlling interests in legacy Greenspring entities</w:t>
            </w:r>
            <w:r>
              <w:rPr>
                <w:rFonts w:ascii="Times New Roman" w:cs="Times New Roman" w:eastAsia="Times New Roman" w:hAnsi="Times New Roman"/>
                <w:sz w:val="16"/>
                <w:szCs w:val="16"/>
                <w:color w:val="auto"/>
                <w:w w:val="96"/>
                <w:vertAlign w:val="superscript"/>
              </w:rPr>
              <w:t>(1)</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(5,286)</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in the Partnership</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(259,946)</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13,580</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(287,068)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26,904</w:t>
            </w:r>
          </w:p>
        </w:tc>
        <w:tc>
          <w:tcPr>
            <w:tcW w:w="0" w:type="dxa"/>
            <w:vAlign w:val="bottom"/>
          </w:tcPr>
          <w:p>
            <w:pPr>
              <w:spacing w:after="0"/>
              <w:rPr>
                <w:sz w:val="1"/>
                <w:szCs w:val="1"/>
                <w:color w:val="auto"/>
              </w:rPr>
            </w:pPr>
          </w:p>
        </w:tc>
      </w:tr>
      <w:tr>
        <w:trPr>
          <w:trHeight w:val="170"/>
        </w:trPr>
        <w:tc>
          <w:tcPr>
            <w:tcW w:w="52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39,659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60,616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12,196</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subsidiaries</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2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StepStone Group Inc.</w:t>
            </w: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(366,142)</w:t>
            </w:r>
          </w:p>
        </w:tc>
        <w:tc>
          <w:tcPr>
            <w:tcW w:w="260" w:type="dxa"/>
            <w:vAlign w:val="bottom"/>
          </w:tcPr>
          <w:p>
            <w:pPr>
              <w:spacing w:after="0"/>
              <w:rPr>
                <w:sz w:val="15"/>
                <w:szCs w:val="15"/>
                <w:color w:val="auto"/>
              </w:rPr>
            </w:pPr>
          </w:p>
        </w:tc>
        <w:tc>
          <w:tcPr>
            <w:tcW w:w="2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17,632</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(404,566)</w:t>
            </w:r>
          </w:p>
        </w:tc>
        <w:tc>
          <w:tcPr>
            <w:tcW w:w="24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30,960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_______________________________</w:t>
      </w:r>
    </w:p>
    <w:p>
      <w:pPr>
        <w:spacing w:after="0" w:line="20" w:lineRule="exact"/>
        <w:rPr>
          <w:sz w:val="20"/>
          <w:szCs w:val="20"/>
          <w:color w:val="auto"/>
        </w:rPr>
      </w:pPr>
    </w:p>
    <w:p>
      <w:pPr>
        <w:ind w:left="660" w:right="60" w:hanging="652"/>
        <w:spacing w:after="0" w:line="278" w:lineRule="auto"/>
        <w:tabs>
          <w:tab w:leader="none" w:pos="6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amounts attributable to consolidated VIEs for which we did not acquire any direct economic interests. See notes 2, 3 and 5 to our condensed consolidated financial statements included elsewhere in this quarterly report.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September 30, 2025 Compared to Three Months Ended September 30, 2024</w:t>
      </w:r>
    </w:p>
    <w:p>
      <w:pPr>
        <w:spacing w:after="0" w:line="220"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20"/>
          <w:szCs w:val="20"/>
          <w:color w:val="auto"/>
        </w:rPr>
        <w:t>Total revenues increased $182.5 million, or 67%, to $454.2 million for the three months ended September 30, 2025 as compared to the three months ended September 30, 2024. The overall increase was driven by higher carried interest allocations, higher management and advisory fees, net, higher legacy Greenspring carried interest allocations, and higher incentive fees, in each case, as described below.</w:t>
      </w:r>
    </w:p>
    <w:p>
      <w:pPr>
        <w:spacing w:after="0" w:line="1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Management and advisory fees, net increased $30.7 million, or 17%, to $215.5 million for the three months ended September 30, 2025 as compared to the three months ended September 30, 2024. The increase was driven by new client activity and 27% growth in average FEAUM across the platform. The three months ended September 30, 2025 included retroactive fees of $0.3 million from the closings of StepStone’s infrastructure secondaries and micro venture capital primaries funds. The three months ended September 30, 2024 included retroactive fees of $14.9 million from the closings of StepStone’s Secondary Opportunities V, Real Estate Partners V, and Infrastructure Co-Investment Partners 2022 funds.</w:t>
      </w:r>
    </w:p>
    <w:p>
      <w:pPr>
        <w:spacing w:after="0" w:line="19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0"/>
          <w:szCs w:val="20"/>
          <w:color w:val="auto"/>
        </w:rPr>
        <w:t>Incentive fees increased $1.7 million, or 55%, to $4.9 million for the three months ended September 30, 2025 as compared to the three months ended September 30, 2024, largely due to higher realization activity and higher incentive fees generated by certain private wealth funds.</w:t>
      </w:r>
    </w:p>
    <w:p>
      <w:pPr>
        <w:spacing w:after="0" w:line="168"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Realized carried interest allocation revenues increased $41.2 million, or 234%, to $58.9 million for the three months ended September 30, 2025 as compared to the three months ended September 30, 2024, reflecting higher realization activity within our private equity funds. Unrealized carried interest allocation revenues include the reversal of realized carried interest allocation revenues. Excluding the reversal of $58.9 million, unrealized carried interest allocation revenues increased $136.8 million, or 196%, to $206.7 million for the three months ended September 30, 2025 as compared to the three months ended September 30, 2024. The increase in unrealized carried interest allocations for the three months ended September 30, 2025 primarily reflected a higher net increase in the cumulative allocation of gains associated with the underlying portfolios within our private equity funds.</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carried interest allocation revenues increased $13.2 million, or 95%, to $27.1 million for the three months ended September 30, 2025 as compared to the three months ended September 30, 2024 as a result of higher net unrealized appreciation in the fair value of certain underlying fund investments in the current year period as compared to the prior year period. The three months ended September 30, 2025 reflect gross realized carried interest allocations of $13.3 million and unrealized carried interest allocations, net of the reversal of realized carried interest allocations, of $13.8 million. The three months ended September 30, 2024 reflect gross realized carried interest allocations of $11.9 million and unrealized carried interest allocations, net of the reversal of realized carried interest allocations, of $2.0 million.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Six Months Ended September 30, 2025 Compared to Six Months Ended September 30, 2024</w:t>
      </w:r>
    </w:p>
    <w:p>
      <w:pPr>
        <w:spacing w:after="0" w:line="22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Total revenues increased $360.4 million, or 79%, to $818.5 million for the six months ended September 30, 2025 as compared to the six months ended September 30, 2024. The overall increase was driven by higher carried interest allocations, higher management and advisory fees, net, higher legacy Greenspring carried interest allocations, and higher incentive fees, in each case, as described below.</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35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Management and advisory fees, net increased $63.9 million, or 18%, to $426.7 million for the six months ended September 30, 2025 as compared to the six months ended September 30, 2024. The increase was driven by new client activity and 28% growth in average FEAUM across the platform. The six months ended September 30, 2025 included retroactive fees of $3.1 million from the closings of StepStone’s Real Estate Partners V, infrastructure secondaries, and micro venture capital primaries funds. The six months ended September 30, 2024 included retroactive fees of $31.5 million from the closings of StepStone’s Secondary Opportunities V, Real Estate Partners V, Infrastructure Co-Investment Partners 2022, and VC Global Partners XI funds.</w:t>
      </w:r>
    </w:p>
    <w:p>
      <w:pPr>
        <w:spacing w:after="0" w:line="192"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20"/>
          <w:szCs w:val="20"/>
          <w:color w:val="auto"/>
        </w:rPr>
        <w:t>Incentive fees increased $1.1 million, or 27%, to $5.1 million for the six months ended September 30, 2025 as compared to the six months ended September 30, 2024, largely due to higher realization activity and higher incentive fees generated by certain private wealth funds.</w:t>
      </w:r>
    </w:p>
    <w:p>
      <w:pPr>
        <w:spacing w:after="0" w:line="168"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Realized carried interest allocation revenues increased $23.8 million, or 40%, to $83.3 million for the six months ended September 30, 2025 as compared to the six months ended September 30, 2024, reflecting higher realization activity within our private equity funds. Unrealized carried interest allocation revenues include the reversal of realized carried interest allocation revenues. Excluding the reversal of $83.3 million, unrealized carried interest allocation revenues increased $233.5 million, or 270%, to $320.0 million for the six months ended September 30, 2025 as compared to the six months ended September 30, 2024. The increase in unrealized carried interest allocations for the six months ended September 30, 2025 primarily reflected a higher net increase in the cumulative allocation of gains associated with the underlying portfolios within our private equity funds.</w:t>
      </w:r>
    </w:p>
    <w:p>
      <w:pPr>
        <w:spacing w:after="0" w:line="19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Legacy Greenspring carried interest allocation revenues increased $62.0 million to $66.8 million for the six months ended September 30, 2025 as compared to the six months ended September 30, 2024 as a result of higher net unrealized appreciation in the fair value of certain underlying fund investments in the current year period as compared to the prior year period. The six months ended September 30, 2025 reflect gross realized carried interest allocations of $18.2 million and unrealized carried interest allocations, net of the reversal of realized carried interest allocations, of $48.6 million. The six months ended September 30, 2024 reflect gross realized carried interest allocations of $18.6 million and unrealized carried interest allocations, net of the reversal of realized carried interest allocations, of $(13.7) million.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September 30, 2025 Compared to Three Months Ended September 30, 2024</w:t>
      </w:r>
    </w:p>
    <w:p>
      <w:pPr>
        <w:spacing w:after="0" w:line="22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Total expenses increased $956.3 million, or 433%, to $1,177.0 million for the three months ended September 30, 2025 as compared to the three months ended September 30, 2024. The overall increase resulted from increases in equity-based compensation, performance fee-related compensation, cash-based compensation and legacy Greenspring performance fee-related compensation, partially offset by lower general, administrative and other expenses, in each case, as described below.</w:t>
      </w:r>
    </w:p>
    <w:p>
      <w:pPr>
        <w:spacing w:after="0" w:line="186"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$17.5 million, or 21%, to $100.3 million for the three months ended September 30, 2025 as compared to the three months ended September 30, 2024, due to 16% higher average headcount and increased compensation levels from merit increases in the current year period as compared to the prior year period.</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35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Equity-based compensation increased $847.1 million to $884.5 million for the three months ended September 30, 2025 as compared to the three months ended September 30, 2024. The increase was primarily attributable to an $847.7 million increase in expenses for liability classified awards related to the profits interest issued in SPW in the current year period as compared to the prior year period, and restricted stock units (“RSUs”) and performance-based RSUs (“PRSUs”) granted in the current year period with no comparable expense for these grants in the prior year period. These increases were partially offset by a decrease of $2.5 million in expense due to the final vesting of RSUs issued in connection with our IPO. We expect that there may be additional significant increases in equity-based compensation in future periods due to further increases in the fair value of liability classified awards, which is driven by the performance of SPW. SPW generated profitability in fiscal 2025 and in fiscal 2026 to date, and we expect that there will be an increase in the profitability generated by SPW in the future which would increase the fair value of the associated liability for the profits interest issued in SPW. As of September 30, 2025 and March 31, 2025, we had recognized $1,712.9 million and $663.9 million, respectively, for liability classified awards within accrued compensation and benefits in the condensed consolidated balance sheets.</w:t>
      </w:r>
    </w:p>
    <w:p>
      <w:pPr>
        <w:spacing w:after="0" w:line="200"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9"/>
          <w:szCs w:val="19"/>
          <w:color w:val="auto"/>
        </w:rPr>
        <w:t>Total performance fee-related compensation expense increased $83.2 million, or 228%, to $119.7 million for the three months ended September 30, 2025 as compared to the three months ended September 30, 2024, primarily reflecting the increase in carried interest allocation revenue. Realized performance fee-related compensation increased $22.2 million, or 254%, to $31.0 million for the three months ended September 30, 2025 as compared to the three months ended September 30, 2024, primarily reflecting higher realization activity.</w:t>
      </w:r>
    </w:p>
    <w:p>
      <w:pPr>
        <w:spacing w:after="0" w:line="174"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9"/>
          <w:szCs w:val="19"/>
          <w:color w:val="auto"/>
        </w:rPr>
        <w:t>Legacy Greenspring performance fee-related compensation expense increased $13.2 million, or 95%, to $27.1 million for the three months ended September 30, 2025 as compared to the three months ended September 30, 2024. The three months ended September 30, 2025 reflect gross realized performance fee-related compensation expense of $13.3 million and unrealized performance fee-related compensation expense, net of the reversal of realized performance fee-related compensation expense, of $13.8 million. The three months ended September 30, 2024 reflect gross realized performance fee-related compensation expense of $11.9 million and unrealized performance fee-related compensation expense, net of the reversal of realized performance fee-related compensation expense, of $2.0 million.</w:t>
      </w:r>
    </w:p>
    <w:p>
      <w:pPr>
        <w:spacing w:after="0" w:line="16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General, administrative and other expenses decreased $4.8 million, or 10%, to $45.3 million for the three months ended September 30, 2025 as compared to the three months ended September 30, 2024. The overall decrease primarily reflected a $10.8 million lower expense for change in fair value for contingent consideration obligation as compared to the prior period, partially offset by increases of $1.8 million in marketing and conference expenses, $1.2 million in travel and associated costs for investment evaluation and client service, $1.0 million in professional fees and other general operating expenses.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Six Months Ended September 30, 2025 Compared to Six Months Ended September 30, 2024</w:t>
      </w:r>
    </w:p>
    <w:p>
      <w:pPr>
        <w:spacing w:after="0" w:line="23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0"/>
          <w:szCs w:val="20"/>
          <w:color w:val="auto"/>
        </w:rPr>
        <w:t>Total expenses increased $1,240.3 million, or 345%, to $1,600.3 million for the six months ended September 30, 2025 as compared to the six months ended September 30, 2024. The overall increase resulted from increases in equity-based compensation, performance fee-related compensation, legacy Greenspring performance fee-related compensation, and cash-based compensation, partially offset by lower general, administrative and other expenses, in each case, as described below.</w:t>
      </w:r>
    </w:p>
    <w:p>
      <w:pPr>
        <w:spacing w:after="0" w:line="172"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0"/>
          <w:szCs w:val="20"/>
          <w:color w:val="auto"/>
        </w:rPr>
        <w:t>Cash-based compensation increased $35.2 million, or 22%, to $196.3 million for the six months ended September 30, 2025 as compared to the six months ended September 30, 2024, due to 13% higher average headcount and increased compensation levels from merit increases in the current year period as compared to the prior year period.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3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Equity-based compensation increased $1,016.7 million to $1,073.2 million for the six months ended September 30, 2025 as compared to the six months ended September 30, 2024. The increase was primarily attributable to a $1,018.2 million increase in expenses for liability classified awards related to the profits interest issued in SPW in the current year period as compared to the prior year period, and RSUs and PRSUs granted in the current year period with no comparable expense for these grants in the prior year period. These increases were partially offset by a decrease of $5.0 million in expense due to the final vesting of RSUs issued in connection with our IPO.</w:t>
      </w:r>
    </w:p>
    <w:p>
      <w:pPr>
        <w:spacing w:after="0" w:line="19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Total performance fee-related compensation expense increased $129.3 million, or 279%, to $175.8 million for the six months ended September 30, 2025 as compared to the six months ended September 30, 2024, primarily reflecting the increase in carried interest allocation revenue. Realized performance fee-related compensation increased $13.1 million, or 44%, to $42.7 million for the six months ended September 30, 2025 as compared to the six months ended September 30, 2024, primarily reflecting higher realization activity.</w:t>
      </w:r>
    </w:p>
    <w:p>
      <w:pPr>
        <w:spacing w:after="0" w:line="1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performance fee-related compensation expense increased $62.0 million to $66.8 million for the six months ended September 30, 2025 as compared to the six months ended September 30, 2024. The six months ended September 30, 2025 reflect gross realized performance fee-related compensation expense of $18.2 million and unrealized performance fee-related compensation expense, net of the reversal of realized performance fee-related compensation expense, of $48.6 million. The six months ended September 30, 2024 reflect gross realized performance fee-related compensation expense of $18.6 million and unrealized performance fee-related compensation expense, net of the reversal of realized performance fee-related compensation expense, of $(13.7) million.</w:t>
      </w:r>
    </w:p>
    <w:p>
      <w:pPr>
        <w:spacing w:after="0" w:line="192"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decreased $2.9 million, or 3%, to $88.2 million for the six months ended September 30, 2025 as compared to the six months ended September 30, 2024. The overall decrease primarily reflected a $13.7 million lower expense for change in fair value for contingent consideration obligation as compared to the prior period, partially offset by increases of $3.0 million in professional fees, $2.4 million in marketing and conference expenses, $1.5 million in travel and associated costs for investment evaluation and client service, $0.9 million in information and technology expenses and other general operating expenses.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September 30, 2025 Compared to Three Months Ended September 30, 2024</w:t>
      </w:r>
    </w:p>
    <w:p>
      <w:pPr>
        <w:spacing w:after="0" w:line="23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decreased $3.3 million to loss of $1.2 million for the three months ended September 30, 2025 as compared to the three months ended September 30, 2024, primarily reflecting overall changes in the valuations of the underlying investments in StepStone Funds.</w:t>
      </w:r>
    </w:p>
    <w:p>
      <w:pPr>
        <w:spacing w:after="0" w:line="18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investment loss decreased $5.3 million to income of $1.3 million for the three months ended September 30, 2025 as compared to the three months ended September 30, 2024. The three months ended September 30, 2025 reflect gross realized investment income of $0.8 million and unrealized investment income, net of the reversal of realized investment income, of $0.5 million. The three months ended September 30, 2024 reflect gross realized investment income of $2.0 million and unrealized investment loss, net of the reversal of realized investment income, of $6.0 million.</w:t>
      </w:r>
    </w:p>
    <w:p>
      <w:pPr>
        <w:spacing w:after="0" w:line="192" w:lineRule="exact"/>
        <w:rPr>
          <w:sz w:val="20"/>
          <w:szCs w:val="20"/>
          <w:color w:val="auto"/>
        </w:rPr>
      </w:pPr>
    </w:p>
    <w:p>
      <w:pPr>
        <w:jc w:val="both"/>
        <w:ind w:right="40" w:firstLine="648"/>
        <w:spacing w:after="0" w:line="281" w:lineRule="auto"/>
        <w:rPr>
          <w:sz w:val="20"/>
          <w:szCs w:val="20"/>
          <w:color w:val="auto"/>
        </w:rPr>
      </w:pPr>
      <w:r>
        <w:rPr>
          <w:rFonts w:ascii="Times New Roman" w:cs="Times New Roman" w:eastAsia="Times New Roman" w:hAnsi="Times New Roman"/>
          <w:sz w:val="19"/>
          <w:szCs w:val="19"/>
          <w:color w:val="auto"/>
        </w:rPr>
        <w:t>Investment income of Consolidated Funds increased $37.8 million, or 461%, to $46.0 million for the three months ended September 30, 2025 as compared to the three months ended September 30, 2024, primarily reflecting overall changes in the valuations of the underlying investments of the Consolidated Funds on higher investment balances during the current year period as compared with the prior year period.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35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Interest income increased $0.2 million, or 7%, to $3.2 million for the three months ended September 30, 2025 as compared to the three months ended September 30, 2024, primarily due to higher average cash and cash equivalent balances during the current year period as compared with the prior year period. Interest income attributable to Consolidated Funds was $1.3 million in the current year period as compared to $1.4 million in the prior year period.</w:t>
      </w:r>
    </w:p>
    <w:p>
      <w:pPr>
        <w:spacing w:after="0" w:line="172"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20"/>
          <w:szCs w:val="20"/>
          <w:color w:val="auto"/>
        </w:rPr>
        <w:t>Interest expense increased $0.9 million, or 26%, to $4.4 million for the three months ended September 30, 2025 as compared to the three months ended September 30, 2024. The increase was due to higher average outstanding debt balances during the current year period as compared with the prior year period, partially offset by the lower interest rate on the Notes for the current year period.</w:t>
      </w:r>
    </w:p>
    <w:p>
      <w:pPr>
        <w:spacing w:after="0" w:line="16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Other income increased $0.8 million, or 68%, to $2.0 million for the three months ended September 30, 2025 as compared to the three months ended September 30, 2024, primarily reflecting the inclusion of gains related to adjustments for the Tax Receivable Agreements during the current year period, partially offset by lower net foreign currency transaction gains in the current year period as compared with the prior year period.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Six Months Ended September 30, 2025 Compared to Six Months Ended September 30, 2024</w:t>
      </w:r>
    </w:p>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increased $4.7 million, or 100%, to $9.3 million for the six months ended September 30, 2025 as compared to the six months ended September 30, 2024, primarily reflecting overall changes in the valuations of the underlying investments in StepStone Funds.</w:t>
      </w:r>
    </w:p>
    <w:p>
      <w:pPr>
        <w:spacing w:after="0" w:line="1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investment loss decreased $10.0 million to income of $4.7 million for the six months ended September 30, 2025 as compared to the six months ended September 30, 2024. The six months ended September 30, 2025 reflect gross realized investment income of $2.5 million and unrealized investment income, net of the reversal of realized investment income, of $2.2 million. The six months ended September 30, 2024 reflected gross realized investment income of $2.9 million and unrealized investment loss, net of the reversal of realized investment income, of $8.1 million.</w:t>
      </w:r>
    </w:p>
    <w:p>
      <w:pPr>
        <w:spacing w:after="0" w:line="192" w:lineRule="exact"/>
        <w:rPr>
          <w:sz w:val="20"/>
          <w:szCs w:val="20"/>
          <w:color w:val="auto"/>
        </w:rPr>
      </w:pPr>
    </w:p>
    <w:p>
      <w:pPr>
        <w:jc w:val="both"/>
        <w:ind w:right="100" w:firstLine="648"/>
        <w:spacing w:after="0" w:line="281" w:lineRule="auto"/>
        <w:rPr>
          <w:sz w:val="20"/>
          <w:szCs w:val="20"/>
          <w:color w:val="auto"/>
        </w:rPr>
      </w:pPr>
      <w:r>
        <w:rPr>
          <w:rFonts w:ascii="Times New Roman" w:cs="Times New Roman" w:eastAsia="Times New Roman" w:hAnsi="Times New Roman"/>
          <w:sz w:val="19"/>
          <w:szCs w:val="19"/>
          <w:color w:val="auto"/>
        </w:rPr>
        <w:t>Investment income of Consolidated Funds increased $51.9 million, or 327%, to $67.7 million for the six months ended September 30, 2025 as compared to the six months ended September 30, 2024, primarily reflecting overall changes in the valuations of the underlying investments of the Consolidated Funds on higher investment balances during the current year period as compared with the prior year period.</w:t>
      </w:r>
    </w:p>
    <w:p>
      <w:pPr>
        <w:spacing w:after="0" w:line="16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Interest income increased $0.6 million, or 13%, to $5.7 million for the six months ended September 30, 2025 as compared to the six months ended September 30, 2024, primarily due to higher average cash and cash equivalent balances during the current year period as compared with the prior year period. Interest income attributable to Consolidated Funds was $2.3 million in the current year and prior year periods.</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Interest expense increased $2.5 million, or 38%, to $9.0 million for the six months ended September 30, 2025 as compared to the six months ended September 30, 2024. The increase was due to higher average outstanding debt balances during the current year period as compared with the prior year period, partially offset by the lower interest rate on the Notes for the current year period.</w:t>
      </w:r>
    </w:p>
    <w:p>
      <w:pPr>
        <w:spacing w:after="0" w:line="181"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20"/>
          <w:szCs w:val="20"/>
          <w:color w:val="auto"/>
        </w:rPr>
        <w:t>Other income increased $6.3 million, or 763%, to $7.1 million for the six months ended September 30, 2025 as compared to the six months ended September 30, 2024, primarily reflecting higher net foreign currency transaction gains in the current year period as compared with the prior year period as well as the inclusion of gains related to adjustments for the Tax Receivable Agreements during the current year period.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right="880" w:firstLine="648"/>
        <w:spacing w:after="0" w:line="269" w:lineRule="auto"/>
        <w:rPr>
          <w:sz w:val="20"/>
          <w:szCs w:val="20"/>
          <w:color w:val="auto"/>
        </w:rPr>
      </w:pPr>
      <w:r>
        <w:rPr>
          <w:rFonts w:ascii="Times New Roman" w:cs="Times New Roman" w:eastAsia="Times New Roman" w:hAnsi="Times New Roman"/>
          <w:sz w:val="20"/>
          <w:szCs w:val="20"/>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Our effective income tax rate was 14.8% and 8.2% for the three months ended September 30, 2025 and 2024, respectively, and 15.6% and 10.2% for the six months ended September 30, 2025 and 2024, respectively. The overall effective tax rate in each of the periods described above is less than the statutory rate. For the three and six months ended September 30, 2025, this is primarily due to a portion of net loss allocated to non-controlling interests and the related tax benefit being borne by the holders of non-controlling interests. For the three and six months ended September 30, 2024, this is primarily due to a portion of net income allocated to non-controlling interests and the related tax liability being borne by the holders of non-controlling interests. The increase in the effective tax rate for the three and six months ended September 30, 2025 as compared to the prior year period was mainly driven by a decrease in the tax benefit associated with net loss allocated to non-controlling interests in a period of increased pre-tax net loss, as well as an increase in tax benefits associated with the vesting of RSUs for the three and six months ended September 30, 2024.</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September 30, 2025 Compared to Three Months Ended September 30, 2024</w:t>
      </w:r>
    </w:p>
    <w:p>
      <w:pPr>
        <w:spacing w:after="0" w:line="23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Income tax expense decreased $105.1 million to a benefit of $100.3 million for the three months ended September 30, 2025 as compared to expense for the three months ended September 30, 2024. The decrease in tax expense was primarily driven by pre-tax net loss for the three months ended September 30, 2025 as compared to pre-tax net income for the three months ended September 30, 2024.</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Six Months Ended September 30, 2025 Compared to Six Months Ended September 30, 2024</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Income tax expense decreased $120.2 million to a benefit of $108.7 million for the six months ended September 30, 2025 as</w:t>
      </w:r>
    </w:p>
    <w:p>
      <w:pPr>
        <w:spacing w:after="0" w:line="2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compared to expense for the six months ended September 30, 2024. The decrease in tax expense was primarily driven by pre-tax net loss for the six months ended September 30, 2025 as compared to pre-tax net income for the six months ended September 30, 2024.</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Non-Controlling Interests in Subsidiaries</w:t>
      </w:r>
    </w:p>
    <w:p>
      <w:pPr>
        <w:spacing w:after="0" w:line="22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decreased $9.9 million, or 52%, to $9.2 million for the three months ended September 30, 2025 as compared to the three months ended September 30, 2024. The decrease was primarily attributable to a decrease in income generated by our consolidated subsidiaries not wholly-owned by us and an increase in our economic interests in the Asset Class Entities as a result of the Transaction Agreements resulting in a lower rate of allocation of net income to non-controlling interests in subsidiaries.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$2.1 million, or 6%, to $37.9 million for the six months ended September 30, 2025 as compared to the six months ended September 30, 2024. The increase was primarily attributable to an increase in income generated by our consolidated subsidiaries not wholly-owned by us, partially offset by an increase in our economic interests in the Asset Class Entities as a result of the Transaction Agreements resulting in a lower rate of allocation of net income to non-controlling interests in subsidiaries.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Legacy Greenspring Entities</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income (loss) attributable to non-controlling interests in legacy Greenspring entities was $1.3 million and $(4.0) million for the three months ended September 30, 2025 and 2024, respectively, and $4.7 million and $(5.3) million for the six months ended September 30, 2025 and 2024, respectively.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the Partnership</w:t>
      </w:r>
    </w:p>
    <w:p>
      <w:pPr>
        <w:spacing w:after="0" w:line="23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the Partnership represents the portion of net income or loss attributable to the interests held by the Class B, Class C and Class D unitholders of the Partnership. Net income (loss) attributable to non-controlling interests in the Partnership was $(259.9) million and $13.6 million for the three months ended September 30, 2025 and 2024, respectively, and $(287.1) million and $26.9 million for the six months ended September 30, 2025 and 2024, respectively.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Consolidated Funds</w:t>
      </w:r>
    </w:p>
    <w:p>
      <w:pPr>
        <w:spacing w:after="0" w:line="2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Consolidated Funds represents income of the Consolidated Funds attributable to third-party investors. Net income attributable to redeemable non-controlling interests in Consolidated Funds was $39.7 million and $6.5 million for the three months ended September 30, 2025 and 2024, respectively, and $60.6 million and $12.2 million for the six months ended September 30, 2025 and 2024, respectively.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Subsidiaries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subsidiaries was $0.4 million and $0.3 million for the three months ended September 30, 2025 and 2024, respectively, and $1.0 million and $0.7 million for the six months ended September 30, 2025 and 2024, respectively.</w:t>
      </w:r>
    </w:p>
    <w:p>
      <w:pPr>
        <w:spacing w:after="0" w:line="1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AUM was $209 billion as of September 30, 2025, $189 billion as of March 31, 2025 and $176 billion as of September 30, 2024.</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33" w:lineRule="exact"/>
        <w:rPr>
          <w:sz w:val="20"/>
          <w:szCs w:val="20"/>
          <w:color w:val="auto"/>
        </w:rPr>
      </w:pPr>
    </w:p>
    <w:p>
      <w:pPr>
        <w:ind w:right="840" w:firstLine="648"/>
        <w:spacing w:after="0" w:line="269" w:lineRule="auto"/>
        <w:rPr>
          <w:sz w:val="20"/>
          <w:szCs w:val="20"/>
          <w:color w:val="auto"/>
        </w:rPr>
      </w:pPr>
      <w:r>
        <w:rPr>
          <w:rFonts w:ascii="Times New Roman" w:cs="Times New Roman" w:eastAsia="Times New Roman" w:hAnsi="Times New Roman"/>
          <w:sz w:val="20"/>
          <w:szCs w:val="20"/>
          <w:color w:val="auto"/>
        </w:rPr>
        <w:t>Assets related to our advisory accounts were $562 billion as of September 30, 2025, $520 billion as of March 31, 2025 and $506 billion as of September 30, 2024.</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September 30, 2025</w:t>
      </w:r>
    </w:p>
    <w:p>
      <w:pPr>
        <w:spacing w:after="0" w:line="22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FEAUM increased approximately $5.6 billion to $132.8 billion as of September 30, 2025 as compared to June 30, 2025. During the period, FEAUM from SMAs increased approximately $1.5 billion and FEAUM from commingled funds increased approximately $4.1 billion.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Six Months Ended September 30, 2025</w:t>
      </w:r>
    </w:p>
    <w:p>
      <w:pPr>
        <w:spacing w:after="0" w:line="233"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20"/>
          <w:szCs w:val="20"/>
          <w:color w:val="auto"/>
        </w:rPr>
        <w:t>FEAUM increased approximately $11.4 billion to $132.8 billion as of September 30, 2025 as compared to March 31, 2025. During the period, FEAUM from SMAs increased approximately $5.0 billion and FEAUM from commingled funds increased approximately $6.4 billion.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gridSpan w:val="8"/>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2025</w:t>
            </w:r>
          </w:p>
        </w:tc>
        <w:tc>
          <w:tcPr>
            <w:tcW w:w="260" w:type="dxa"/>
            <w:vAlign w:val="bottom"/>
          </w:tcPr>
          <w:p>
            <w:pPr>
              <w:spacing w:after="0"/>
              <w:rPr>
                <w:sz w:val="20"/>
                <w:szCs w:val="20"/>
                <w:color w:val="auto"/>
              </w:rPr>
            </w:pPr>
          </w:p>
        </w:tc>
        <w:tc>
          <w:tcPr>
            <w:tcW w:w="374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Six Months Ended September 30, 2025</w:t>
            </w:r>
          </w:p>
        </w:tc>
        <w:tc>
          <w:tcPr>
            <w:tcW w:w="0" w:type="dxa"/>
            <w:vAlign w:val="bottom"/>
          </w:tcPr>
          <w:p>
            <w:pPr>
              <w:spacing w:after="0"/>
              <w:rPr>
                <w:sz w:val="1"/>
                <w:szCs w:val="1"/>
                <w:color w:val="auto"/>
              </w:rPr>
            </w:pPr>
          </w:p>
        </w:tc>
      </w:tr>
      <w:tr>
        <w:trPr>
          <w:trHeight w:val="174"/>
        </w:trPr>
        <w:tc>
          <w:tcPr>
            <w:tcW w:w="30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8"/>
              </w:rPr>
              <w:t>Focused</w:t>
            </w: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rPr>
              <w:t>Focused</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6"/>
                <w:szCs w:val="16"/>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SMAs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Commingled</w:t>
            </w:r>
          </w:p>
        </w:tc>
        <w:tc>
          <w:tcPr>
            <w:tcW w:w="260" w:type="dxa"/>
            <w:vAlign w:val="bottom"/>
          </w:tcPr>
          <w:p>
            <w:pPr>
              <w:spacing w:after="0"/>
              <w:rPr>
                <w:sz w:val="16"/>
                <w:szCs w:val="16"/>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6"/>
                <w:szCs w:val="16"/>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SMAs</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Commingled</w:t>
            </w:r>
          </w:p>
        </w:tc>
        <w:tc>
          <w:tcPr>
            <w:tcW w:w="280" w:type="dxa"/>
            <w:vAlign w:val="bottom"/>
          </w:tcPr>
          <w:p>
            <w:pPr>
              <w:spacing w:after="0"/>
              <w:rPr>
                <w:sz w:val="16"/>
                <w:szCs w:val="16"/>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2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127,219</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121,390</w:t>
            </w:r>
          </w:p>
        </w:tc>
        <w:tc>
          <w:tcPr>
            <w:tcW w:w="0" w:type="dxa"/>
            <w:vAlign w:val="bottom"/>
          </w:tcPr>
          <w:p>
            <w:pPr>
              <w:spacing w:after="0"/>
              <w:rPr>
                <w:sz w:val="1"/>
                <w:szCs w:val="1"/>
                <w:color w:val="auto"/>
              </w:rPr>
            </w:pPr>
          </w:p>
        </w:tc>
      </w:tr>
      <w:tr>
        <w:trPr>
          <w:trHeight w:val="230"/>
        </w:trPr>
        <w:tc>
          <w:tcPr>
            <w:tcW w:w="302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300" w:hanging="652"/>
        <w:spacing w:after="0" w:line="250"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65" w:lineRule="auto"/>
        <w:tabs>
          <w:tab w:leader="none" w:pos="65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ind w:left="660" w:right="200" w:hanging="652"/>
        <w:spacing w:after="0" w:line="260"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tables set forth FEAUM by asset class and selected weighted-average management fee rate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FEAUM</w:t>
            </w:r>
          </w:p>
        </w:tc>
        <w:tc>
          <w:tcPr>
            <w:tcW w:w="5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65,007</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57,136</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20,986</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debt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r>
      <w:tr>
        <w:trPr>
          <w:trHeight w:val="223"/>
        </w:trPr>
        <w:tc>
          <w:tcPr>
            <w:tcW w:w="6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121,390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104,415</w:t>
            </w:r>
          </w:p>
        </w:tc>
      </w:tr>
      <w:tr>
        <w:trPr>
          <w:trHeight w:val="20"/>
        </w:trPr>
        <w:tc>
          <w:tcPr>
            <w:tcW w:w="6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09"/>
        </w:trPr>
        <w:tc>
          <w:tcPr>
            <w:tcW w:w="582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Weighted-average fee rate</w:t>
            </w:r>
            <w:r>
              <w:rPr>
                <w:rFonts w:ascii="Times New Roman" w:cs="Times New Roman" w:eastAsia="Times New Roman" w:hAnsi="Times New Roman"/>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infrastructure and private debt asset classes</w:t>
            </w:r>
            <w:r>
              <w:rPr>
                <w:rFonts w:ascii="Times New Roman" w:cs="Times New Roman" w:eastAsia="Times New Roman" w:hAnsi="Times New Roman"/>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0.51 %</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0.44 %</w:t>
            </w:r>
          </w:p>
        </w:tc>
      </w:tr>
      <w:tr>
        <w:trPr>
          <w:trHeight w:val="223"/>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0.63 %</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80" w:hanging="652"/>
        <w:spacing w:after="0" w:line="250"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fee rates reflect the applicable management fees for the last 12 months ending on each period presented, and is inclusive of any retroactive fees for such period.</w:t>
      </w:r>
    </w:p>
    <w:p>
      <w:pPr>
        <w:ind w:left="660" w:hanging="652"/>
        <w:spacing w:after="0" w:line="260"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shifts in mix between SMAs and focused commingled funds and growth in our private wealth funds which earn higher fee rates.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356" w:lineRule="exact"/>
        <w:rPr>
          <w:sz w:val="20"/>
          <w:szCs w:val="20"/>
          <w:color w:val="auto"/>
        </w:rPr>
      </w:pPr>
    </w:p>
    <w:p>
      <w:pPr>
        <w:ind w:left="660" w:right="200" w:hanging="652"/>
        <w:spacing w:after="0" w:line="282"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shifts in asset class mix, shifts in mix between SMAs and focused commingled funds and growth in our private wealth funds which earn higher fee rates.</w:t>
      </w:r>
    </w:p>
    <w:p>
      <w:pPr>
        <w:spacing w:after="0" w:line="15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Undeployed Fee-Earning Capital</w:t>
      </w:r>
    </w:p>
    <w:p>
      <w:pPr>
        <w:spacing w:after="0" w:line="233"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As of September 30, 2025, we had $29.8 billion of undeployed fee-earning capital, which will generate management fee revenue once invested or activated.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20"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Net Income</w:t>
      </w:r>
    </w:p>
    <w:p>
      <w:pPr>
        <w:spacing w:after="0" w:line="220"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Adjusted net income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fee revenues, adjusted incentive fees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SPW, (d) amortization of intangibles,</w:t>
      </w:r>
    </w:p>
    <w:p>
      <w:pPr>
        <w:spacing w:after="0" w:line="4" w:lineRule="exact"/>
        <w:rPr>
          <w:sz w:val="20"/>
          <w:szCs w:val="20"/>
          <w:color w:val="auto"/>
        </w:rPr>
      </w:pPr>
    </w:p>
    <w:p>
      <w:pPr>
        <w:ind w:firstLine="8"/>
        <w:spacing w:after="0" w:line="253" w:lineRule="auto"/>
        <w:tabs>
          <w:tab w:leader="none" w:pos="26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(loss) attributable to non-controlling interests in our subsidiaries and realized gains attributable to the profits interests issued in SPW, (f) charges associated with acquisitions and corporate transactions, and (g) certain other items that we believe are not indicative of our core operating performance (as listed in the below table). ANI is fully taxed at our blended statutory rate. We believe ANI and adjusted revenues are useful to investors because they enable investors to evaluate the performance of our business across reporting periods.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w:t>
      </w:r>
    </w:p>
    <w:p>
      <w:pPr>
        <w:spacing w:after="0" w:line="23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represents the components of revenues used in the determination of ANI and comprise fee revenues, adjusted incentive fees and realized carried interest allocations. We believe adjusted revenues is useful to investors because it presents a measure of realized revenues.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Fee-related earnings (“FRE”) is a non-GAAP performance measure used to monitor our baseline earnings from recurring management and advisory fees. FRE is a component of ANI and comprises fee revenues,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SPW, (c) amortization of intangibles, (d) charges associated with acquisitions and corporate transactions, and (e) certain other items that we believe are not indicative of our core operating performance (as listed in the below table).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 Revenues</w:t>
      </w:r>
    </w:p>
    <w:p>
      <w:pPr>
        <w:spacing w:after="0" w:line="23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0"/>
          <w:szCs w:val="20"/>
          <w:color w:val="auto"/>
        </w:rPr>
        <w:t>Fee revenues represents management and advisory fees, net, including amounts earned from the Consolidated Funds which are eliminated in consolidation. We believe fee revenues is useful to investors because it presents the net amount of management and advisory fee revenues attributable to us.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ANI per share measures our per-share earnings assuming all Class B units, Class C units and Class D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September 30, 2025 Compared to Three Months Ended September 30, 2024</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FRE increased $6.3 million, or 9%, to $78.6 million for the three months ended September 30, 2025 as compared to the three months ended September 30, 2024, primarily reflecting higher fee revenues, partially offset by higher adjusted cash-based compensation, adjusted general, administrative and other expenses, and adjusted equity-based compensation.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Six Months Ended September 30, 2025 Compared to Six Months Ended September 30, 2024</w:t>
      </w:r>
    </w:p>
    <w:p>
      <w:pPr>
        <w:spacing w:after="0" w:line="23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FRE increased $15.9 million, or 11%, to $159.9 million for the six months ended September 30, 2025 as compared to the six months ended September 30, 2024, primarily reflecting higher fee revenues, partially offset by higher adjusted cash-based compensation, adjusted general, administrative and other expenses, and adjusted equity-based compensation.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 and Adjusted Net Income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September 30, 2025 Compared to Three Months Ended September 30, 2024</w:t>
      </w:r>
    </w:p>
    <w:p>
      <w:pPr>
        <w:spacing w:after="0" w:line="233"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9"/>
          <w:szCs w:val="19"/>
          <w:color w:val="auto"/>
        </w:rPr>
        <w:t>Adjusted revenues increased $73.6 million, or 35%, to $282.3 million for the three months ended September 30, 2025 as compared to the three months ended September 30, 2024, primarily reflecting increases in fee revenues and realized carried interest allocation revenues.</w:t>
      </w:r>
    </w:p>
    <w:p>
      <w:pPr>
        <w:spacing w:after="0" w:line="15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ANI increased $13.1 million, or 25%, to $66.7 million for the three months ended September 30, 2025 as compared to the three months ended September 30, 2024, primarily due to the increase in FRE as discussed above, higher performance fee-related earnings (adjusted incentive fees, plus realized carried interest allocation revenues, less realized performance fee-related compensation) and higher realized investment income. The overall increase was partially offset by a higher allocation of income to non-controlling interests and higher interest expense.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Six Months Ended September 30, 2025 Compared to Six Months Ended September 30, 2024</w:t>
      </w:r>
    </w:p>
    <w:p>
      <w:pPr>
        <w:spacing w:after="0" w:line="233"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Adjusted revenues increased $89.9 million, or 21%, to $519.8 million for the six months ended September 30, 2025 as compared to the six months ended September 30, 2024, primarily reflecting increases in fee revenues and realized carried interest allocations.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5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ANI increased $4.4 million, or 4%, to $115.2 million for the six months ended September 30, 2025 as compared to the six months ended September 30, 2024, primarily due to the increase in FRE as discussed above, higher performance fee-related earnings (adjusted incentive fees, plus realized carried interest allocation revenues, less realized performance fee-related compensation), higher interest income and higher realized investment income. The overall increase was partially offset by a higher allocation of income to non-controlling interests and higher interest expense.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The following table shows a reconciliation of diluted weighted-average shares of Class A common stock outstanding to adjusted weighted-average shares outstanding used in the computation of ANI per share for the three and six months ended September 30, 2025 and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0"/>
                <w:szCs w:val="20"/>
                <w:color w:val="auto"/>
              </w:rPr>
            </w:pPr>
          </w:p>
        </w:tc>
        <w:tc>
          <w:tcPr>
            <w:tcW w:w="33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115,243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110,810</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 Basic</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78,561,587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68,772,051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78,206,102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67,486,964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798,186</w:t>
            </w:r>
          </w:p>
        </w:tc>
        <w:tc>
          <w:tcPr>
            <w:tcW w:w="0" w:type="dxa"/>
            <w:vAlign w:val="bottom"/>
          </w:tcPr>
          <w:p>
            <w:pPr>
              <w:spacing w:after="0"/>
              <w:rPr>
                <w:sz w:val="1"/>
                <w:szCs w:val="1"/>
                <w:color w:val="auto"/>
              </w:rPr>
            </w:pPr>
          </w:p>
        </w:tc>
      </w:tr>
      <w:tr>
        <w:trPr>
          <w:trHeight w:val="181"/>
        </w:trPr>
        <w:tc>
          <w:tcPr>
            <w:tcW w:w="396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Assumed vesting and exchange of Class B2</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tcPr>
          <w:p>
            <w:pPr>
              <w:ind w:left="680"/>
              <w:spacing w:after="0" w:line="237" w:lineRule="exact"/>
              <w:rPr>
                <w:sz w:val="20"/>
                <w:szCs w:val="20"/>
                <w:color w:val="auto"/>
              </w:rPr>
            </w:pPr>
            <w:r>
              <w:rPr>
                <w:rFonts w:ascii="Times New Roman" w:cs="Times New Roman" w:eastAsia="Times New Roman" w:hAnsi="Times New Roman"/>
                <w:sz w:val="18"/>
                <w:szCs w:val="18"/>
                <w:color w:val="auto"/>
              </w:rPr>
              <w:t>units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861,344</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purchase under ESPP</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30"/>
        </w:trPr>
        <w:tc>
          <w:tcPr>
            <w:tcW w:w="396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B units in the Partnership</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39,500,159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45,212,921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39,553,919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45,518,634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C units in the Partnership</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1,737,720</w:t>
            </w: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Exchange of Class D units in the Partnership</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2,944,261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2,239,185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3,235,592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2,239,185</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w:t>
            </w:r>
          </w:p>
        </w:tc>
        <w:tc>
          <w:tcPr>
            <w:tcW w:w="2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122,462,594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118,774,233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122,378,231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118,643,088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B2 units fully vested in June 2024.</w:t>
      </w:r>
    </w:p>
    <w:p>
      <w:pPr>
        <w:spacing w:after="0" w:line="9" w:lineRule="exact"/>
        <w:rPr>
          <w:rFonts w:ascii="Times New Roman" w:cs="Times New Roman" w:eastAsia="Times New Roman" w:hAnsi="Times New Roman"/>
          <w:sz w:val="18"/>
          <w:szCs w:val="18"/>
          <w:color w:val="auto"/>
        </w:rPr>
      </w:pPr>
    </w:p>
    <w:p>
      <w:pPr>
        <w:ind w:left="660" w:right="260" w:hanging="652"/>
        <w:spacing w:after="0" w:line="260"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B units, Class C units or Class D units in the Partnership for Class A common stock of SSG pursuant to the Class B Exchange Agreement, Class C Exchange Agreement or Class D Exchange Agreement, respectively.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Measures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revenues to adjusted 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458,078</w:t>
            </w:r>
          </w:p>
        </w:tc>
      </w:tr>
      <w:tr>
        <w:trPr>
          <w:trHeight w:val="230"/>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(27,045)</w:t>
            </w:r>
          </w:p>
        </w:tc>
      </w:tr>
      <w:tr>
        <w:trPr>
          <w:trHeight w:val="229"/>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r>
      <w:tr>
        <w:trPr>
          <w:trHeight w:val="181"/>
        </w:trPr>
        <w:tc>
          <w:tcPr>
            <w:tcW w:w="4100" w:type="dxa"/>
            <w:vAlign w:val="bottom"/>
            <w:shd w:val="clear" w:color="auto" w:fill="CCEEFF"/>
          </w:tcPr>
          <w:p>
            <w:pPr>
              <w:ind w:left="460"/>
              <w:spacing w:after="0" w:line="181" w:lineRule="exact"/>
              <w:rPr>
                <w:sz w:val="20"/>
                <w:szCs w:val="20"/>
                <w:color w:val="auto"/>
              </w:rPr>
            </w:pPr>
            <w:r>
              <w:rPr>
                <w:rFonts w:ascii="Times New Roman" w:cs="Times New Roman" w:eastAsia="Times New Roman" w:hAnsi="Times New Roman"/>
                <w:sz w:val="18"/>
                <w:szCs w:val="18"/>
                <w:color w:val="auto"/>
              </w:rPr>
              <w:t>Management and advisory fee revenues for the</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8"/>
        </w:trPr>
        <w:tc>
          <w:tcPr>
            <w:tcW w:w="4100" w:type="dxa"/>
            <w:vAlign w:val="bottom"/>
            <w:shd w:val="clear" w:color="auto" w:fill="CCEEFF"/>
          </w:tcPr>
          <w:p>
            <w:pPr>
              <w:ind w:left="680"/>
              <w:spacing w:after="0" w:line="237" w:lineRule="exact"/>
              <w:rPr>
                <w:sz w:val="20"/>
                <w:szCs w:val="20"/>
                <w:color w:val="auto"/>
              </w:rPr>
            </w:pPr>
            <w:r>
              <w:rPr>
                <w:rFonts w:ascii="Times New Roman" w:cs="Times New Roman" w:eastAsia="Times New Roman" w:hAnsi="Times New Roman"/>
                <w:sz w:val="18"/>
                <w:szCs w:val="18"/>
                <w:color w:val="auto"/>
              </w:rPr>
              <w:t>Consolidated Funds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29"/>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Incentive fees for the Consolidated Funds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282,342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519,809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429,953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incentive fee revenues for the Consolidated Funds, which have been eliminated in consolidation.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351"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The table below shows a reconciliation of GAAP measures to additional non-GAAP measures. We use the non-GAAP measures presented below as components when calculating FRE and ANI.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management and advisory fees,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362,773</w:t>
            </w:r>
          </w:p>
        </w:tc>
      </w:tr>
      <w:tr>
        <w:trPr>
          <w:trHeight w:val="176"/>
        </w:trPr>
        <w:tc>
          <w:tcPr>
            <w:tcW w:w="41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Management and advisory fee revenues for the</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Borders>
              <w:bottom w:val="single" w:sz="8" w:color="CCEEFF"/>
            </w:tcBorders>
          </w:tcPr>
          <w:p>
            <w:pPr>
              <w:ind w:left="680"/>
              <w:spacing w:after="0" w:line="243" w:lineRule="exact"/>
              <w:rPr>
                <w:sz w:val="20"/>
                <w:szCs w:val="20"/>
                <w:color w:val="auto"/>
              </w:rPr>
            </w:pPr>
            <w:r>
              <w:rPr>
                <w:rFonts w:ascii="Times New Roman" w:cs="Times New Roman" w:eastAsia="Times New Roman" w:hAnsi="Times New Roman"/>
                <w:sz w:val="18"/>
                <w:szCs w:val="18"/>
                <w:color w:val="auto"/>
              </w:rPr>
              <w:t>Consolidated Funds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217,461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363,995</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incentive fees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r>
      <w:tr>
        <w:trPr>
          <w:trHeight w:val="270"/>
        </w:trPr>
        <w:tc>
          <w:tcPr>
            <w:tcW w:w="4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incentive fees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r>
      <w:tr>
        <w:trPr>
          <w:trHeight w:val="221"/>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income earned by the Consolidated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65"/>
        </w:trPr>
        <w:tc>
          <w:tcPr>
            <w:tcW w:w="4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Funds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interest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other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0"/>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other income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60" w:right="180" w:hanging="652"/>
        <w:spacing w:after="0" w:line="250"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incentive fee revenues for the Consolidated Funds, which have been eliminated in consolidation, and deferred incentive fees that are not included in GAAP revenues.</w:t>
      </w:r>
    </w:p>
    <w:p>
      <w:pPr>
        <w:ind w:left="640" w:hanging="63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60" w:right="60" w:hanging="652"/>
        <w:spacing w:after="0" w:line="260"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amounts for Tax Receivable Agreements adjustments recognized as other income (loss) and the impact of consolidation of the Consolidated Funds.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income (loss) before income tax to ANI and FRE.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(696,176)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112,730</w:t>
            </w:r>
          </w:p>
        </w:tc>
      </w:tr>
      <w:tr>
        <w:trPr>
          <w:trHeight w:val="175"/>
        </w:trPr>
        <w:tc>
          <w:tcPr>
            <w:tcW w:w="41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Pr>
          <w:p>
            <w:pPr>
              <w:ind w:left="680"/>
              <w:spacing w:after="0" w:line="243" w:lineRule="exact"/>
              <w:rPr>
                <w:sz w:val="20"/>
                <w:szCs w:val="20"/>
                <w:color w:val="auto"/>
              </w:rPr>
            </w:pPr>
            <w:r>
              <w:rPr>
                <w:rFonts w:ascii="Times New Roman" w:cs="Times New Roman" w:eastAsia="Times New Roman" w:hAnsi="Times New Roman"/>
                <w:sz w:val="18"/>
                <w:szCs w:val="18"/>
                <w:color w:val="auto"/>
              </w:rPr>
              <w:t>interests in subsidiaries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(36,763)</w:t>
            </w:r>
          </w:p>
        </w:tc>
      </w:tr>
      <w:tr>
        <w:trPr>
          <w:trHeight w:val="175"/>
        </w:trPr>
        <w:tc>
          <w:tcPr>
            <w:tcW w:w="41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interests in legacy Greenspring entities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(27,045)</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Unrealized performance fee-related compensation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16,825</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investment (income) loss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Impact of Consolidated Funds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(16,998)</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29"/>
        </w:trPr>
        <w:tc>
          <w:tcPr>
            <w:tcW w:w="41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51,732</w:t>
            </w:r>
          </w:p>
        </w:tc>
      </w:tr>
      <w:tr>
        <w:trPr>
          <w:trHeight w:val="230"/>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w:t>
            </w:r>
          </w:p>
        </w:tc>
      </w:tr>
      <w:tr>
        <w:trPr>
          <w:trHeight w:val="175"/>
        </w:trPr>
        <w:tc>
          <w:tcPr>
            <w:tcW w:w="41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Tax Receivable Agreements adjustments through</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earnings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15,486</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ANI</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142,594</w:t>
            </w:r>
          </w:p>
        </w:tc>
      </w:tr>
      <w:tr>
        <w:trPr>
          <w:trHeight w:val="229"/>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(31,784)</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110,810</w:t>
            </w:r>
          </w:p>
        </w:tc>
      </w:tr>
      <w:tr>
        <w:trPr>
          <w:trHeight w:val="229"/>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31,784</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Realized carried interest allocations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(59,436)</w:t>
            </w:r>
          </w:p>
        </w:tc>
      </w:tr>
      <w:tr>
        <w:trPr>
          <w:trHeight w:val="230"/>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Realized performance fee-related compensation</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29,615</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r>
      <w:tr>
        <w:trPr>
          <w:trHeight w:val="270"/>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Adjusted incentive fees</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r>
      <w:tr>
        <w:trPr>
          <w:trHeight w:val="229"/>
        </w:trPr>
        <w:tc>
          <w:tcPr>
            <w:tcW w:w="41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Adjusted interest income</w:t>
            </w:r>
            <w:r>
              <w:rPr>
                <w:rFonts w:ascii="Times New Roman" w:cs="Times New Roman" w:eastAsia="Times New Roman" w:hAnsi="Times New Roman"/>
                <w:sz w:val="23"/>
                <w:szCs w:val="23"/>
                <w:color w:val="auto"/>
                <w:vertAlign w:val="superscript"/>
              </w:rPr>
              <w:t>(6)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230"/>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Adjusted other (income) loss</w:t>
            </w:r>
            <w:r>
              <w:rPr>
                <w:rFonts w:ascii="Times New Roman" w:cs="Times New Roman" w:eastAsia="Times New Roman" w:hAnsi="Times New Roman"/>
                <w:sz w:val="23"/>
                <w:szCs w:val="23"/>
                <w:color w:val="auto"/>
                <w:vertAlign w:val="superscript"/>
              </w:rPr>
              <w:t>(7)</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175"/>
        </w:trPr>
        <w:tc>
          <w:tcPr>
            <w:tcW w:w="41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Borders>
              <w:bottom w:val="single" w:sz="8" w:color="CCEEFF"/>
            </w:tcBorders>
          </w:tcPr>
          <w:p>
            <w:pPr>
              <w:ind w:left="680"/>
              <w:spacing w:after="0" w:line="243" w:lineRule="exact"/>
              <w:rPr>
                <w:sz w:val="20"/>
                <w:szCs w:val="20"/>
                <w:color w:val="auto"/>
              </w:rPr>
            </w:pPr>
            <w:r>
              <w:rPr>
                <w:rFonts w:ascii="Times New Roman" w:cs="Times New Roman" w:eastAsia="Times New Roman" w:hAnsi="Times New Roman"/>
                <w:sz w:val="18"/>
                <w:szCs w:val="18"/>
                <w:color w:val="auto"/>
              </w:rPr>
              <w:t>interests in subsidiaries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58,370</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36,763</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159,879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144,005</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20" w:hanging="652"/>
        <w:spacing w:after="0" w:line="250"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pre-tax ANI attributable to non-controlling interests in our subsidiaries and realized gains attributable to the profits interests issued in the private wealth subsidiary. Amounts attributable to the profits interests issued in the private wealth subsidiary were $10.1 million and $2.3 million for the three months ended September 30, 2025 and 2024, respectively, and $18.6 million and $2.9 million for the six months ended September 30, 2025 and 2024, respectively. Amounts specifically attributable to non-controlling interests in subsidiaries not attributable to the private wealth subsidiary were $17.5 million and $15.6 million for the three months ended September 30, 2025 and 2024, respectively, and $39.8 million and $33.9 million for the six months ended September 30, 2025 and 2024, respectively.</w:t>
      </w:r>
    </w:p>
    <w:p>
      <w:pPr>
        <w:spacing w:after="0" w:line="2"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expense related to transaction costs ($24 thousand and $0.1 million for the three months ended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56" w:lineRule="exact"/>
        <w:rPr>
          <w:sz w:val="20"/>
          <w:szCs w:val="20"/>
          <w:color w:val="auto"/>
        </w:rPr>
      </w:pPr>
    </w:p>
    <w:p>
      <w:pPr>
        <w:ind w:left="660" w:right="40"/>
        <w:spacing w:after="0" w:line="268" w:lineRule="auto"/>
        <w:rPr>
          <w:sz w:val="20"/>
          <w:szCs w:val="20"/>
          <w:color w:val="auto"/>
        </w:rPr>
      </w:pPr>
      <w:r>
        <w:rPr>
          <w:rFonts w:ascii="Times New Roman" w:cs="Times New Roman" w:eastAsia="Times New Roman" w:hAnsi="Times New Roman"/>
          <w:sz w:val="17"/>
          <w:szCs w:val="17"/>
          <w:color w:val="auto"/>
        </w:rPr>
        <w:t>September 30, 2025 and 2024, respectively, and $0.6 million and $0.8 million for the six months ended September 30, 2025 and 2024, respectively), unrealized amounts associated with cash-based incentive awards tracked to investment funds ($17 thousand and $34 thousand for the three and six months ended September 30, 2025, respectively), loss on change in fair value for contingent consideration obligation ($0.1 million and $10.9 million for the three months ended September 30, 2025 and 2024, respectively, and $0.1 million and $13.8 million for the six months ended September 30, 2025 and 2024, respectively), compensation paid to certain employees as part of an acquisition earn-out ($0.3 million and $0.8 million for the three and six months ended September 30, 2024, respectively) and other non-core operating income and expenses.</w:t>
      </w:r>
    </w:p>
    <w:p>
      <w:pPr>
        <w:spacing w:after="0" w:line="5" w:lineRule="exact"/>
        <w:rPr>
          <w:sz w:val="20"/>
          <w:szCs w:val="20"/>
          <w:color w:val="auto"/>
        </w:rPr>
      </w:pPr>
    </w:p>
    <w:p>
      <w:pPr>
        <w:ind w:left="660" w:right="180" w:hanging="652"/>
        <w:spacing w:after="0" w:line="265" w:lineRule="auto"/>
        <w:tabs>
          <w:tab w:leader="none" w:pos="65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corporate income taxes at a blended statutory rate of 22.3% applied to pre-tax ANI for the three and six months ended September 30, 2025 and 2024, which is based on a federal statutory rate of 21.0% and a combined state, local and foreign rate net of federal benefits of 1.3%.</w:t>
      </w:r>
    </w:p>
    <w:p>
      <w:pPr>
        <w:ind w:left="660" w:right="180" w:hanging="652"/>
        <w:spacing w:after="0" w:line="250"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incentive fee revenues for the Consolidated Funds, which have been eliminated in consolidation, and deferred incentive fees that are not included in GAAP revenues.</w:t>
      </w:r>
    </w:p>
    <w:p>
      <w:pPr>
        <w:ind w:left="640" w:hanging="63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60" w:right="760" w:hanging="652"/>
        <w:spacing w:after="0" w:line="260"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the impact of consolidation of the Consolidated Funds and amounts for Tax Receivable Agreements adjustments recognized as other income (loss) ($1.3 million for the three and six months ended September 30, 2025).</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Investment Performance</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are generally presented from the inception date of each strategy and asset class through June 30, 2025 and have not been adjusted to reflect acquisitions or disposals of investments subsequent to that date.</w:t>
      </w:r>
    </w:p>
    <w:p>
      <w:pPr>
        <w:spacing w:after="0" w:line="187"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46"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investment opportunities may differ from those in the past;</w:t>
      </w:r>
    </w:p>
    <w:p>
      <w:pPr>
        <w:spacing w:after="0" w:line="229"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is largely based on the NAV (as defined below) of the funds’ investments, including unrealized gains, which may never be realized;</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newly-established funds may generate lower investment returns during the period that they initially deploy their capital;</w:t>
      </w:r>
    </w:p>
    <w:p>
      <w:pPr>
        <w:spacing w:after="0" w:line="229"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67" w:lineRule="exact"/>
        <w:rPr>
          <w:rFonts w:ascii="Times New Roman" w:cs="Times New Roman" w:eastAsia="Times New Roman" w:hAnsi="Times New Roman"/>
          <w:sz w:val="20"/>
          <w:szCs w:val="20"/>
          <w:color w:val="auto"/>
        </w:rPr>
      </w:pPr>
    </w:p>
    <w:p>
      <w:pPr>
        <w:ind w:left="660" w:right="340" w:hanging="328"/>
        <w:spacing w:after="0" w:line="310" w:lineRule="auto"/>
        <w:tabs>
          <w:tab w:leader="none" w:pos="64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37"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Historical and future returns of investments included in our track record are not directly correlated to potential returns on our Class A common stock.</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the following table:</w:t>
      </w:r>
    </w:p>
    <w:p>
      <w:pPr>
        <w:spacing w:after="0" w:line="229" w:lineRule="exact"/>
        <w:rPr>
          <w:sz w:val="20"/>
          <w:szCs w:val="20"/>
          <w:color w:val="auto"/>
        </w:rPr>
      </w:pPr>
    </w:p>
    <w:p>
      <w:pPr>
        <w:ind w:left="660" w:right="1000" w:hanging="328"/>
        <w:spacing w:after="0" w:line="269"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“Invested capital” refers to the total amount of all investments made by a fund, including commitment-reducing and non-commitment-reducing capital calls;</w:t>
      </w:r>
    </w:p>
    <w:p>
      <w:pPr>
        <w:spacing w:after="0" w:line="172" w:lineRule="exact"/>
        <w:rPr>
          <w:rFonts w:ascii="Times New Roman" w:cs="Times New Roman" w:eastAsia="Times New Roman" w:hAnsi="Times New Roman"/>
          <w:sz w:val="20"/>
          <w:szCs w:val="20"/>
          <w:color w:val="auto"/>
        </w:rPr>
      </w:pPr>
    </w:p>
    <w:p>
      <w:pPr>
        <w:ind w:left="660" w:right="120" w:hanging="328"/>
        <w:spacing w:after="0" w:line="269"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 refers to the estimated fair value of unrealized investments plus any net assets or liabilities associated with the investment as of June 30, 2025;</w:t>
      </w:r>
    </w:p>
    <w:p>
      <w:pPr>
        <w:spacing w:after="0" w:line="172"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“IRR” refers to the annualized internal rate of return for all investments within the relevant investment strategy on an inception-to-date basis as of June 30, 2025 (except as noted otherwise below), based on contributions, distributions and unrealized value;</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IRR” refers to IRR net of fees and expenses charged by both the underlying fund managers and StepStone; and</w:t>
      </w:r>
    </w:p>
    <w:p>
      <w:pPr>
        <w:spacing w:after="0" w:line="229" w:lineRule="exact"/>
        <w:rPr>
          <w:rFonts w:ascii="Times New Roman" w:cs="Times New Roman" w:eastAsia="Times New Roman" w:hAnsi="Times New Roman"/>
          <w:sz w:val="20"/>
          <w:szCs w:val="20"/>
          <w:color w:val="auto"/>
        </w:rPr>
      </w:pPr>
    </w:p>
    <w:p>
      <w:pPr>
        <w:ind w:left="660" w:right="320" w:hanging="328"/>
        <w:spacing w:after="0" w:line="269"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StepStone Performance Summary by Asset Class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PRIVATE EQUITY</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PRIVATE DEBT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shd w:val="clear" w:color="auto" w:fill="CCEEFF"/>
          </w:tcPr>
          <w:p>
            <w:pPr>
              <w:jc w:val="center"/>
              <w:ind w:left="188"/>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20" w:type="dxa"/>
            <w:vAlign w:val="bottom"/>
            <w:shd w:val="clear" w:color="auto" w:fill="CCEEFF"/>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(1,2,4)</w:t>
            </w:r>
          </w:p>
        </w:tc>
        <w:tc>
          <w:tcPr>
            <w:tcW w:w="880" w:type="dxa"/>
            <w:vAlign w:val="bottom"/>
            <w:shd w:val="clear" w:color="auto" w:fill="CCEEFF"/>
          </w:tcPr>
          <w:p>
            <w:pPr>
              <w:jc w:val="center"/>
              <w:ind w:left="188"/>
              <w:spacing w:after="0" w:line="202" w:lineRule="exact"/>
              <w:rPr>
                <w:sz w:val="20"/>
                <w:szCs w:val="20"/>
                <w:color w:val="auto"/>
              </w:rPr>
            </w:pPr>
            <w:r>
              <w:rPr>
                <w:rFonts w:ascii="Times New Roman" w:cs="Times New Roman" w:eastAsia="Times New Roman" w:hAnsi="Times New Roman"/>
                <w:sz w:val="14"/>
                <w:szCs w:val="14"/>
                <w:b w:val="1"/>
                <w:bCs w:val="1"/>
                <w:color w:val="auto"/>
                <w:w w:val="95"/>
              </w:rPr>
              <w:t>IRR</w:t>
            </w:r>
            <w:r>
              <w:rPr>
                <w:rFonts w:ascii="Times New Roman" w:cs="Times New Roman" w:eastAsia="Times New Roman" w:hAnsi="Times New Roman"/>
                <w:sz w:val="18"/>
                <w:szCs w:val="18"/>
                <w:b w:val="1"/>
                <w:bCs w:val="1"/>
                <w:color w:val="auto"/>
                <w:w w:val="95"/>
                <w:vertAlign w:val="superscript"/>
              </w:rPr>
              <w:t>(3)</w:t>
            </w:r>
          </w:p>
        </w:tc>
        <w:tc>
          <w:tcPr>
            <w:tcW w:w="78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8"/>
              </w:rPr>
              <w:t>TVM</w:t>
            </w:r>
            <w:r>
              <w:rPr>
                <w:rFonts w:ascii="Times New Roman" w:cs="Times New Roman" w:eastAsia="Times New Roman" w:hAnsi="Times New Roman"/>
                <w:sz w:val="18"/>
                <w:szCs w:val="18"/>
                <w:b w:val="1"/>
                <w:bCs w:val="1"/>
                <w:color w:val="auto"/>
                <w:w w:val="98"/>
                <w:vertAlign w:val="superscript"/>
              </w:rPr>
              <w:t>(3)</w:t>
            </w:r>
          </w:p>
        </w:tc>
        <w:tc>
          <w:tcPr>
            <w:tcW w:w="18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(1,4,5)</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0"/>
              </w:rPr>
              <w:t>IRR</w:t>
            </w:r>
            <w:r>
              <w:rPr>
                <w:rFonts w:ascii="Times New Roman" w:cs="Times New Roman" w:eastAsia="Times New Roman" w:hAnsi="Times New Roman"/>
                <w:sz w:val="18"/>
                <w:szCs w:val="18"/>
                <w:b w:val="1"/>
                <w:bCs w:val="1"/>
                <w:color w:val="auto"/>
                <w:w w:val="90"/>
                <w:vertAlign w:val="superscript"/>
              </w:rPr>
              <w:t>(3)</w:t>
            </w:r>
          </w:p>
        </w:tc>
        <w:tc>
          <w:tcPr>
            <w:tcW w:w="76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4"/>
              </w:rPr>
              <w:t>TVM</w:t>
            </w:r>
            <w:r>
              <w:rPr>
                <w:rFonts w:ascii="Times New Roman" w:cs="Times New Roman" w:eastAsia="Times New Roman" w:hAnsi="Times New Roman"/>
                <w:sz w:val="18"/>
                <w:szCs w:val="18"/>
                <w:b w:val="1"/>
                <w:bCs w:val="1"/>
                <w:color w:val="auto"/>
                <w:w w:val="94"/>
                <w:vertAlign w:val="superscript"/>
              </w:rPr>
              <w:t>(3)</w:t>
            </w:r>
          </w:p>
        </w:tc>
        <w:tc>
          <w:tcPr>
            <w:tcW w:w="18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(1,4,6)</w:t>
            </w:r>
          </w:p>
        </w:tc>
        <w:tc>
          <w:tcPr>
            <w:tcW w:w="620" w:type="dxa"/>
            <w:vAlign w:val="bottom"/>
            <w:gridSpan w:val="2"/>
            <w:shd w:val="clear" w:color="auto" w:fill="CCEEFF"/>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0"/>
              </w:rPr>
              <w:t>IRR</w:t>
            </w:r>
            <w:r>
              <w:rPr>
                <w:rFonts w:ascii="Times New Roman" w:cs="Times New Roman" w:eastAsia="Times New Roman" w:hAnsi="Times New Roman"/>
                <w:sz w:val="18"/>
                <w:szCs w:val="18"/>
                <w:b w:val="1"/>
                <w:bCs w:val="1"/>
                <w:color w:val="auto"/>
                <w:w w:val="90"/>
                <w:vertAlign w:val="superscript"/>
              </w:rPr>
              <w:t>(3)</w:t>
            </w:r>
          </w:p>
        </w:tc>
        <w:tc>
          <w:tcPr>
            <w:tcW w:w="18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(1,4,8)</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IRR</w:t>
            </w:r>
            <w:r>
              <w:rPr>
                <w:rFonts w:ascii="Times New Roman" w:cs="Times New Roman" w:eastAsia="Times New Roman" w:hAnsi="Times New Roman"/>
                <w:sz w:val="18"/>
                <w:szCs w:val="18"/>
                <w:b w:val="1"/>
                <w:bCs w:val="1"/>
                <w:color w:val="auto"/>
                <w:w w:val="95"/>
                <w:vertAlign w:val="superscript"/>
              </w:rPr>
              <w:t>(3)</w:t>
            </w:r>
          </w:p>
        </w:tc>
        <w:tc>
          <w:tcPr>
            <w:tcW w:w="0" w:type="dxa"/>
            <w:vAlign w:val="bottom"/>
          </w:tcPr>
          <w:p>
            <w:pPr>
              <w:spacing w:after="0"/>
              <w:rPr>
                <w:sz w:val="1"/>
                <w:szCs w:val="1"/>
                <w:color w:val="auto"/>
              </w:rPr>
            </w:pPr>
          </w:p>
        </w:tc>
      </w:tr>
      <w:tr>
        <w:trPr>
          <w:trHeight w:val="190"/>
        </w:trPr>
        <w:tc>
          <w:tcPr>
            <w:tcW w:w="1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880" w:type="dxa"/>
            <w:vAlign w:val="bottom"/>
            <w:tcBorders>
              <w:top w:val="single" w:sz="8" w:color="auto"/>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rPr>
              <w:t>14.0%</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1.5x</w:t>
            </w:r>
          </w:p>
        </w:tc>
        <w:tc>
          <w:tcPr>
            <w:tcW w:w="100" w:type="dxa"/>
            <w:vAlign w:val="bottom"/>
            <w:tcBorders>
              <w:bottom w:val="single" w:sz="8" w:color="CCEEFF"/>
            </w:tcBorders>
          </w:tcPr>
          <w:p>
            <w:pPr>
              <w:spacing w:after="0"/>
              <w:rPr>
                <w:sz w:val="16"/>
                <w:szCs w:val="16"/>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1.4x</w:t>
            </w:r>
          </w:p>
        </w:tc>
        <w:tc>
          <w:tcPr>
            <w:tcW w:w="80" w:type="dxa"/>
            <w:vAlign w:val="bottom"/>
            <w:tcBorders>
              <w:bottom w:val="single" w:sz="8" w:color="CCEEFF"/>
            </w:tcBorders>
          </w:tcPr>
          <w:p>
            <w:pPr>
              <w:spacing w:after="0"/>
              <w:rPr>
                <w:sz w:val="16"/>
                <w:szCs w:val="16"/>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Core/debt - all strategies</w:t>
            </w:r>
          </w:p>
        </w:tc>
        <w:tc>
          <w:tcPr>
            <w:tcW w:w="52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1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Primaries</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7.7%</w:t>
            </w:r>
          </w:p>
        </w:tc>
        <w:tc>
          <w:tcPr>
            <w:tcW w:w="0" w:type="dxa"/>
            <w:vAlign w:val="bottom"/>
          </w:tcPr>
          <w:p>
            <w:pPr>
              <w:spacing w:after="0"/>
              <w:rPr>
                <w:sz w:val="1"/>
                <w:szCs w:val="1"/>
                <w:color w:val="auto"/>
              </w:rPr>
            </w:pPr>
          </w:p>
        </w:tc>
      </w:tr>
      <w:tr>
        <w:trPr>
          <w:trHeight w:val="135"/>
        </w:trPr>
        <w:tc>
          <w:tcPr>
            <w:tcW w:w="1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880" w:type="dxa"/>
            <w:vAlign w:val="bottom"/>
            <w:vMerge w:val="restart"/>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14.5%</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1.4x</w:t>
            </w:r>
          </w:p>
        </w:tc>
        <w:tc>
          <w:tcPr>
            <w:tcW w:w="10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1.3x</w:t>
            </w:r>
          </w:p>
        </w:tc>
        <w:tc>
          <w:tcPr>
            <w:tcW w:w="80" w:type="dxa"/>
            <w:vAlign w:val="bottom"/>
            <w:vMerge w:val="restart"/>
            <w:shd w:val="clear" w:color="auto" w:fill="CCEEFF"/>
          </w:tcPr>
          <w:p>
            <w:pPr>
              <w:spacing w:after="0"/>
              <w:rPr>
                <w:sz w:val="11"/>
                <w:szCs w:val="11"/>
                <w:color w:val="auto"/>
              </w:rPr>
            </w:pPr>
          </w:p>
        </w:tc>
        <w:tc>
          <w:tcPr>
            <w:tcW w:w="18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Core+/value-add - primary</w:t>
            </w:r>
          </w:p>
        </w:tc>
        <w:tc>
          <w:tcPr>
            <w:tcW w:w="52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10.5%</w:t>
            </w:r>
          </w:p>
        </w:tc>
        <w:tc>
          <w:tcPr>
            <w:tcW w:w="100" w:type="dxa"/>
            <w:vAlign w:val="bottom"/>
            <w:shd w:val="clear" w:color="auto" w:fill="CCEEFF"/>
          </w:tcPr>
          <w:p>
            <w:pPr>
              <w:spacing w:after="0"/>
              <w:rPr>
                <w:sz w:val="11"/>
                <w:szCs w:val="11"/>
                <w:color w:val="auto"/>
              </w:rPr>
            </w:pPr>
          </w:p>
        </w:tc>
        <w:tc>
          <w:tcPr>
            <w:tcW w:w="18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 lending</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Co-investments</w:t>
            </w:r>
            <w:r>
              <w:rPr>
                <w:rFonts w:ascii="Times New Roman" w:cs="Times New Roman" w:eastAsia="Times New Roman" w:hAnsi="Times New Roman"/>
                <w:sz w:val="18"/>
                <w:szCs w:val="18"/>
                <w:color w:val="auto"/>
                <w:vertAlign w:val="superscript"/>
              </w:rPr>
              <w:t>(7)</w:t>
            </w:r>
          </w:p>
        </w:tc>
        <w:tc>
          <w:tcPr>
            <w:tcW w:w="8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15.2%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1.6x</w:t>
            </w:r>
          </w:p>
        </w:tc>
        <w:tc>
          <w:tcPr>
            <w:tcW w:w="100" w:type="dxa"/>
            <w:vAlign w:val="bottom"/>
            <w:vMerge w:val="restart"/>
          </w:tcPr>
          <w:p>
            <w:pPr>
              <w:spacing w:after="0"/>
              <w:rPr>
                <w:sz w:val="11"/>
                <w:szCs w:val="11"/>
                <w:color w:val="auto"/>
              </w:rPr>
            </w:pPr>
          </w:p>
        </w:tc>
        <w:tc>
          <w:tcPr>
            <w:tcW w:w="1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Real estate debt fund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1.2x</w:t>
            </w:r>
          </w:p>
        </w:tc>
        <w:tc>
          <w:tcPr>
            <w:tcW w:w="80" w:type="dxa"/>
            <w:vAlign w:val="bottom"/>
            <w:vMerge w:val="restart"/>
          </w:tcPr>
          <w:p>
            <w:pPr>
              <w:spacing w:after="0"/>
              <w:rPr>
                <w:sz w:val="11"/>
                <w:szCs w:val="11"/>
                <w:color w:val="auto"/>
              </w:rPr>
            </w:pPr>
          </w:p>
        </w:tc>
        <w:tc>
          <w:tcPr>
            <w:tcW w:w="18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Core+/value-add - secondary</w:t>
            </w:r>
          </w:p>
        </w:tc>
        <w:tc>
          <w:tcPr>
            <w:tcW w:w="5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1"/>
                <w:szCs w:val="11"/>
                <w:color w:val="auto"/>
              </w:rPr>
            </w:pPr>
          </w:p>
        </w:tc>
        <w:tc>
          <w:tcPr>
            <w:tcW w:w="1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Opportunistic</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03"/>
        </w:trPr>
        <w:tc>
          <w:tcPr>
            <w:tcW w:w="14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Value-add/opportunistic</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7"/>
              </w:rPr>
              <w:t>1.2x</w:t>
            </w:r>
          </w:p>
        </w:tc>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Core+/value-add - co-</w:t>
            </w:r>
          </w:p>
        </w:tc>
        <w:tc>
          <w:tcPr>
            <w:tcW w:w="52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11.7%</w:t>
            </w:r>
          </w:p>
        </w:tc>
        <w:tc>
          <w:tcPr>
            <w:tcW w:w="100" w:type="dxa"/>
            <w:vAlign w:val="bottom"/>
            <w:shd w:val="clear" w:color="auto" w:fill="CCEEFF"/>
          </w:tcPr>
          <w:p>
            <w:pPr>
              <w:spacing w:after="0"/>
              <w:rPr>
                <w:sz w:val="11"/>
                <w:szCs w:val="11"/>
                <w:color w:val="auto"/>
              </w:rPr>
            </w:pP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Co-investments/secondaries</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9.5%</w:t>
            </w:r>
          </w:p>
        </w:tc>
        <w:tc>
          <w:tcPr>
            <w:tcW w:w="0" w:type="dxa"/>
            <w:vAlign w:val="bottom"/>
          </w:tcPr>
          <w:p>
            <w:pPr>
              <w:spacing w:after="0"/>
              <w:rPr>
                <w:sz w:val="1"/>
                <w:szCs w:val="1"/>
                <w:color w:val="auto"/>
              </w:rPr>
            </w:pPr>
          </w:p>
        </w:tc>
      </w:tr>
      <w:tr>
        <w:trPr>
          <w:trHeight w:val="196"/>
        </w:trPr>
        <w:tc>
          <w:tcPr>
            <w:tcW w:w="1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 &amp; co-investments</w:t>
            </w:r>
          </w:p>
        </w:tc>
        <w:tc>
          <w:tcPr>
            <w:tcW w:w="60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4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Direct lending</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6"/>
        </w:trPr>
        <w:tc>
          <w:tcPr>
            <w:tcW w:w="1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Opportunistic</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Customized Managed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100" w:hanging="652"/>
        <w:spacing w:after="0" w:line="250" w:lineRule="auto"/>
        <w:tabs>
          <w:tab w:leader="none" w:pos="654"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Investment returns reflect NAV data for underlying investments as of June 30, 2025, as reported by underlying managers up to </w:t>
      </w:r>
      <w:r>
        <w:rPr>
          <w:rFonts w:ascii="Times New Roman" w:cs="Times New Roman" w:eastAsia="Times New Roman" w:hAnsi="Times New Roman"/>
          <w:sz w:val="18"/>
          <w:szCs w:val="18"/>
          <w:color w:val="231F20"/>
        </w:rPr>
        <w:t>the business 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occurring on or after 100 </w:t>
      </w:r>
      <w:r>
        <w:rPr>
          <w:rFonts w:ascii="Times New Roman" w:cs="Times New Roman" w:eastAsia="Times New Roman" w:hAnsi="Times New Roman"/>
          <w:sz w:val="18"/>
          <w:szCs w:val="18"/>
          <w:color w:val="000000"/>
        </w:rPr>
        <w:t>days following June 30, 2025. For investment returns where NAV data is not available by</w:t>
      </w:r>
      <w:r>
        <w:rPr>
          <w:rFonts w:ascii="Times New Roman" w:cs="Times New Roman" w:eastAsia="Times New Roman" w:hAnsi="Times New Roman"/>
          <w:sz w:val="18"/>
          <w:szCs w:val="18"/>
          <w:color w:val="231F20"/>
        </w:rPr>
        <w:t xml:space="preserve"> the business day occurring on or after 100 </w:t>
      </w:r>
      <w:r>
        <w:rPr>
          <w:rFonts w:ascii="Times New Roman" w:cs="Times New Roman" w:eastAsia="Times New Roman" w:hAnsi="Times New Roman"/>
          <w:sz w:val="18"/>
          <w:szCs w:val="18"/>
          <w:color w:val="000000"/>
        </w:rPr>
        <w:t>days following June 30, 2025, such NAVs are adjusted for cash activity following the last available reported NAV. Investment returns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Times New Roman" w:cs="Times New Roman" w:eastAsia="Times New Roman" w:hAnsi="Times New Roman"/>
          <w:sz w:val="18"/>
          <w:szCs w:val="18"/>
          <w:color w:val="231F20"/>
        </w:rPr>
      </w:pPr>
    </w:p>
    <w:p>
      <w:pPr>
        <w:ind w:left="660" w:right="40" w:hanging="652"/>
        <w:spacing w:after="0" w:line="252"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includes 3,100 investments totaling $219.8 billion of capital commitments and excludes (i) two advisory co-investments, totaling $100.0 million of capital commitments, (ii) 242 client-directed private equity investments, totaling $33.5 billion of capital commitments, and (iii) investments that do not have client data monitored in SPI Reporting. Private equity includes buyout, venture capital, growth equity, fund-of-funds, and energy focused strategies. StepStone’s venture capital and growth equity strategy is composed of a) venture capital and growth equity focused commingled funds and separately managed accounts (the “StepStone VC Platform”) and b) underlying venture capital and growth equity investments within StepStone’s broader private equity accounts (“StepStone PE Accounts”).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356" w:lineRule="exact"/>
        <w:rPr>
          <w:sz w:val="20"/>
          <w:szCs w:val="20"/>
          <w:color w:val="auto"/>
        </w:rPr>
      </w:pPr>
    </w:p>
    <w:p>
      <w:pPr>
        <w:ind w:left="652" w:right="140" w:hanging="652"/>
        <w:spacing w:after="0" w:line="254" w:lineRule="auto"/>
        <w:tabs>
          <w:tab w:leader="none" w:pos="6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charged quarterly):</w:t>
      </w:r>
    </w:p>
    <w:p>
      <w:pPr>
        <w:spacing w:after="0" w:line="3" w:lineRule="exact"/>
        <w:rPr>
          <w:rFonts w:ascii="Times New Roman" w:cs="Times New Roman" w:eastAsia="Times New Roman" w:hAnsi="Times New Roman"/>
          <w:sz w:val="18"/>
          <w:szCs w:val="18"/>
          <w:color w:val="auto"/>
        </w:rPr>
      </w:pPr>
    </w:p>
    <w:p>
      <w:pPr>
        <w:ind w:left="1292" w:right="200" w:hanging="644"/>
        <w:spacing w:after="0" w:line="250" w:lineRule="auto"/>
        <w:tabs>
          <w:tab w:leader="none" w:pos="127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Primaries management fee: 25 basis points of net invested capital for private equity, real estate and infrastructure; 25 basis points of net asset value for private debt; 75 basis points of committed capital for the StepStone VC Platform.</w:t>
      </w:r>
    </w:p>
    <w:p>
      <w:pPr>
        <w:ind w:left="1292" w:right="80" w:hanging="644"/>
        <w:spacing w:after="0" w:line="250" w:lineRule="auto"/>
        <w:tabs>
          <w:tab w:leader="none" w:pos="12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Secondaries management fee: 125 basis points, 125 basis points and 95 basis points of capital commitments for private equity, real estate and infrastructure, respectively, in years 1 through 4 for management fees, charged quarterly. In year 5, management fees step down to 90% of the previous year’s fee; 65 basis points of net asset value for private debt; 75 basis points of committed capital for the StepStone VC Platform.</w:t>
      </w:r>
    </w:p>
    <w:p>
      <w:pPr>
        <w:spacing w:after="0" w:line="1" w:lineRule="exact"/>
        <w:rPr>
          <w:rFonts w:ascii="Times New Roman" w:cs="Times New Roman" w:eastAsia="Times New Roman" w:hAnsi="Times New Roman"/>
          <w:sz w:val="18"/>
          <w:szCs w:val="18"/>
          <w:color w:val="auto"/>
        </w:rPr>
      </w:pPr>
    </w:p>
    <w:p>
      <w:pPr>
        <w:ind w:left="1292" w:hanging="644"/>
        <w:spacing w:after="0" w:line="250" w:lineRule="auto"/>
        <w:tabs>
          <w:tab w:leader="none" w:pos="12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management fee: 100 basis points of net committed capital for private equity and real estate; 85 and 50 basis points of net committed capital for infrastructure co-investments and direct asset management investments, respectively; 65 basis points of net asset value for private debt; 200 basis points of net invested capital for the StepStone VC Platform.</w:t>
      </w:r>
    </w:p>
    <w:p>
      <w:pPr>
        <w:spacing w:after="0" w:line="1" w:lineRule="exact"/>
        <w:rPr>
          <w:rFonts w:ascii="Times New Roman" w:cs="Times New Roman" w:eastAsia="Times New Roman" w:hAnsi="Times New Roman"/>
          <w:sz w:val="18"/>
          <w:szCs w:val="18"/>
          <w:color w:val="auto"/>
        </w:rPr>
      </w:pPr>
    </w:p>
    <w:p>
      <w:pPr>
        <w:ind w:left="1292" w:right="880" w:hanging="644"/>
        <w:spacing w:after="0" w:line="250" w:lineRule="auto"/>
        <w:tabs>
          <w:tab w:leader="none" w:pos="127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assess 5 basis points of capital commitments for fund expenses, charged quarterly, and 1 basis point of capital commitments drawn down in the first cash flow quarter for organizational costs.</w:t>
      </w:r>
    </w:p>
    <w:p>
      <w:pPr>
        <w:ind w:left="1292" w:hanging="644"/>
        <w:spacing w:after="0"/>
        <w:tabs>
          <w:tab w:leader="none" w:pos="12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secondaries and co-investments include 12.5% and 10.0% of paid and unrealized carry, respectively, with an 8.0%</w:t>
      </w:r>
    </w:p>
    <w:p>
      <w:pPr>
        <w:spacing w:after="0" w:line="9" w:lineRule="exact"/>
        <w:rPr>
          <w:sz w:val="20"/>
          <w:szCs w:val="20"/>
          <w:color w:val="auto"/>
        </w:rPr>
      </w:pPr>
    </w:p>
    <w:p>
      <w:pPr>
        <w:ind w:left="1292" w:right="200"/>
        <w:spacing w:after="0" w:line="250" w:lineRule="auto"/>
        <w:rPr>
          <w:sz w:val="20"/>
          <w:szCs w:val="20"/>
          <w:color w:val="auto"/>
        </w:rPr>
      </w:pPr>
      <w:r>
        <w:rPr>
          <w:rFonts w:ascii="Times New Roman" w:cs="Times New Roman" w:eastAsia="Times New Roman" w:hAnsi="Times New Roman"/>
          <w:sz w:val="18"/>
          <w:szCs w:val="18"/>
          <w:color w:val="auto"/>
        </w:rPr>
        <w:t>preferred return hurdle; infrastructure secondaries and co-investments include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 5.0% preferred return hurdle; and the StepStone VC Platform primaries, secondaries and co-investments/directs include 5.0%, 5.0% and 20.0%, respectively, of paid and unrealized carry with no preferred return hurdle.</w:t>
      </w:r>
    </w:p>
    <w:p>
      <w:pPr>
        <w:spacing w:after="0" w:line="2" w:lineRule="exact"/>
        <w:rPr>
          <w:sz w:val="20"/>
          <w:szCs w:val="20"/>
          <w:color w:val="auto"/>
        </w:rPr>
      </w:pPr>
    </w:p>
    <w:p>
      <w:pPr>
        <w:ind w:left="652" w:right="340"/>
        <w:spacing w:after="0" w:line="250" w:lineRule="auto"/>
        <w:rPr>
          <w:sz w:val="20"/>
          <w:szCs w:val="20"/>
          <w:color w:val="auto"/>
        </w:rPr>
      </w:pPr>
      <w:r>
        <w:rPr>
          <w:rFonts w:ascii="Times New Roman" w:cs="Times New Roman" w:eastAsia="Times New Roman" w:hAnsi="Times New Roman"/>
          <w:sz w:val="18"/>
          <w:szCs w:val="18"/>
          <w:color w:val="auto"/>
        </w:rPr>
        <w:t>Net IRR and Net TVM for certain investments may have been impacted by StepStone’s, or the underlying fund manager’s, use of subscription backed credit facilities by such vehicles. Reinvested/recycled amounts increase contributed capital.</w:t>
      </w:r>
    </w:p>
    <w:p>
      <w:pPr>
        <w:spacing w:after="0" w:line="1" w:lineRule="exact"/>
        <w:rPr>
          <w:sz w:val="20"/>
          <w:szCs w:val="20"/>
          <w:color w:val="auto"/>
        </w:rPr>
      </w:pPr>
    </w:p>
    <w:p>
      <w:pPr>
        <w:ind w:left="652" w:right="40" w:hanging="652"/>
        <w:spacing w:after="0" w:line="250" w:lineRule="auto"/>
        <w:tabs>
          <w:tab w:leader="none" w:pos="6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Times New Roman" w:cs="Times New Roman" w:eastAsia="Times New Roman" w:hAnsi="Times New Roman"/>
          <w:sz w:val="18"/>
          <w:szCs w:val="18"/>
          <w:color w:val="auto"/>
        </w:rPr>
      </w:pPr>
    </w:p>
    <w:p>
      <w:pPr>
        <w:ind w:left="652" w:right="300" w:hanging="652"/>
        <w:spacing w:after="0" w:line="250" w:lineRule="auto"/>
        <w:tabs>
          <w:tab w:leader="none" w:pos="6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includes 494 investments totaling $86.9 billion of capital commitments and excludes (i) 97 client-directed real estate investments, totaling $16.3 billion of capital commitments, (ii) 17 secondary/co-investment core/core+ or credit investments, totaling $1.1 billion of capital commitments, (iii) four advisory fund investments totaling $463.6 million of capital commitments, and (iv) investments that do not have client data monitored in SPI Reporting.</w:t>
      </w:r>
    </w:p>
    <w:p>
      <w:pPr>
        <w:spacing w:after="0" w:line="1" w:lineRule="exact"/>
        <w:rPr>
          <w:rFonts w:ascii="Times New Roman" w:cs="Times New Roman" w:eastAsia="Times New Roman" w:hAnsi="Times New Roman"/>
          <w:sz w:val="18"/>
          <w:szCs w:val="18"/>
          <w:color w:val="auto"/>
        </w:rPr>
      </w:pPr>
    </w:p>
    <w:p>
      <w:pPr>
        <w:ind w:left="652" w:right="140" w:hanging="652"/>
        <w:spacing w:after="0" w:line="250" w:lineRule="auto"/>
        <w:tabs>
          <w:tab w:leader="none" w:pos="6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includes 317 investments totaling $67.0 billion of capital commitments and excludes (i) eight infrastructure investments made by the Partnership prior to the formation of the infrastructure subsidiary in 2013 or made prior to StepStone’s acquisition of Courtland Partners, Ltd. on April 1, 2018 (the “Courtland acquisition”), totaling $501.9 million of capital commitments, (ii) 46 client-directed infrastructure investments, totaling $11.0 billion of capital commitments, and (iii) investments that do not have client data monitored in SPI Reporting.</w:t>
      </w:r>
    </w:p>
    <w:p>
      <w:pPr>
        <w:spacing w:after="0" w:line="1"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include venture capital and growth equity direct investments for private equity.</w:t>
      </w:r>
    </w:p>
    <w:p>
      <w:pPr>
        <w:spacing w:after="0" w:line="9" w:lineRule="exact"/>
        <w:rPr>
          <w:rFonts w:ascii="Times New Roman" w:cs="Times New Roman" w:eastAsia="Times New Roman" w:hAnsi="Times New Roman"/>
          <w:sz w:val="18"/>
          <w:szCs w:val="18"/>
          <w:color w:val="auto"/>
        </w:rPr>
      </w:pPr>
    </w:p>
    <w:p>
      <w:pPr>
        <w:ind w:left="652" w:right="20" w:hanging="652"/>
        <w:spacing w:after="0" w:line="252" w:lineRule="auto"/>
        <w:tabs>
          <w:tab w:leader="none" w:pos="6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includes 1,642 investments totaling $62.9 billion of capital commitments and excludes (i) 46 client-directed debt investments, totaling $3.9 billion of capital commitments, (ii) 50 real estate credit investments that were recommended by Courtland Partners, Ltd. prior to the Courtland acquisition, totaling $5.1 billion of capital commitments, and (iii) investments that do not have client data monitored in SPI Reporting. *Net IRRs are not aggregated and shown for customized managed accounts (which include capacity-negotiated GP co-investment accounts and GP primary managed accounts) totaling $34.6 billion of committed capital, as the investment objective of those investments are customized to the respective client’s investment target on multiple-on-committed-capital (“MOCC”) and can differ significantly.</w:t>
      </w:r>
    </w:p>
    <w:p>
      <w:pPr>
        <w:spacing w:after="0" w:line="200" w:lineRule="exact"/>
        <w:rPr>
          <w:sz w:val="20"/>
          <w:szCs w:val="20"/>
          <w:color w:val="auto"/>
        </w:rPr>
      </w:pPr>
    </w:p>
    <w:p>
      <w:pPr>
        <w:spacing w:after="0" w:line="33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80" w:name="page81"/>
    <w:bookmarkEnd w:id="80"/>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Sources and Uses of Liquidity</w:t>
      </w:r>
    </w:p>
    <w:p>
      <w:pPr>
        <w:spacing w:after="0" w:line="22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0"/>
          <w:szCs w:val="20"/>
          <w:color w:val="auto"/>
        </w:rPr>
        <w:t>We generate cash primarily from management and advisory fees and performance fees. We have historically managed our liquidity and capital resource needs through (a) cash generated from our operating activities, (b) realizations from investment activities, (c) borrowings, interest payments and repayments under credit agreements, senior note issuances and other borrowing arrangements, (d) funding capital commitments to our funds, and (e) funding our growth initiatives, including capital expenditures for property, equipment, and acquisitions to expand into new businesses.</w:t>
      </w:r>
    </w:p>
    <w:p>
      <w:pPr>
        <w:spacing w:after="0" w:line="173" w:lineRule="exact"/>
        <w:rPr>
          <w:sz w:val="20"/>
          <w:szCs w:val="20"/>
          <w:color w:val="auto"/>
        </w:rPr>
      </w:pPr>
    </w:p>
    <w:p>
      <w:pPr>
        <w:ind w:right="560" w:firstLine="648"/>
        <w:spacing w:after="0" w:line="258" w:lineRule="auto"/>
        <w:rPr>
          <w:sz w:val="20"/>
          <w:szCs w:val="20"/>
          <w:color w:val="auto"/>
        </w:rPr>
      </w:pPr>
      <w:r>
        <w:rPr>
          <w:rFonts w:ascii="Times New Roman" w:cs="Times New Roman" w:eastAsia="Times New Roman" w:hAnsi="Times New Roman"/>
          <w:sz w:val="20"/>
          <w:szCs w:val="20"/>
          <w:color w:val="auto"/>
        </w:rPr>
        <w:t>As of September 30, 2025, we had $230.4 million of cash, cash equivalents and restricted cash ($366.7 million including Consolidated Funds) and $1,944.1 million of investments in StepStone Funds, including $1,733.9 million of accrued carried interest allocations, against $269.9 million in debt obligations, net of debt issuance costs, and $891.5 million in accrued carried interest-related compensation payable.</w:t>
      </w:r>
    </w:p>
    <w:p>
      <w:pPr>
        <w:spacing w:after="0" w:line="186"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Ongoing sources of cash include (a) management and advisory fees, which are collected monthly or quarterly, (b) performance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ability to meet our liquidity and capital resources requirements for the next 12 months through cash flows from operating activities, existing cash and cash equivalents, and our ability to obtain future financing.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20"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19"/>
          <w:szCs w:val="19"/>
          <w:color w:val="auto"/>
        </w:rPr>
        <w:t>The accompanying condensed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our cash flows attributable to operating, investing and financing activities: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103,866</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(34,089)</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(23,623)</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3" w:lineRule="exact"/>
        <w:rPr>
          <w:sz w:val="20"/>
          <w:szCs w:val="20"/>
          <w:color w:val="auto"/>
        </w:rPr>
      </w:pPr>
    </w:p>
    <w:p>
      <w:pPr>
        <w:jc w:val="both"/>
        <w:ind w:right="520" w:firstLine="648"/>
        <w:spacing w:after="0" w:line="295" w:lineRule="auto"/>
        <w:rPr>
          <w:sz w:val="20"/>
          <w:szCs w:val="20"/>
          <w:color w:val="auto"/>
        </w:rPr>
      </w:pPr>
      <w:r>
        <w:rPr>
          <w:rFonts w:ascii="Times New Roman" w:cs="Times New Roman" w:eastAsia="Times New Roman" w:hAnsi="Times New Roman"/>
          <w:sz w:val="19"/>
          <w:szCs w:val="19"/>
          <w:color w:val="auto"/>
        </w:rPr>
        <w:t>Operating activities provided $62.5 million and $103.9 million of cash for the six months ended September 30, 2025 and 2024, respectively. For the six months ended September 30, 2025 and 2024, respectively, these amounts primarily consisted of the following: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351" w:lineRule="exact"/>
        <w:rPr>
          <w:sz w:val="20"/>
          <w:szCs w:val="20"/>
          <w:color w:val="auto"/>
        </w:rPr>
      </w:pPr>
    </w:p>
    <w:p>
      <w:pPr>
        <w:ind w:left="980" w:hanging="324"/>
        <w:spacing w:after="0" w:line="258" w:lineRule="auto"/>
        <w:tabs>
          <w:tab w:leader="none" w:pos="96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after adjustments for non-cash items (including unrealized mark-to-market changes in the fair value of the profits interests issued in the private wealth subsidiary, unrealized carried interest allocations, unrealized performance fee-related compensation, unrealized investment (income) loss and fair value adjustment for acquisition-related contingent consideration), of $243.0 million and $190.2 million;</w:t>
      </w:r>
    </w:p>
    <w:p>
      <w:pPr>
        <w:spacing w:after="0" w:line="172"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$48.0 million and $14.6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for unrealized investment income from Consolidated Funds of $66.3 million and $15.6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purchases of investments of Consolidated Funds of $166.5 million and $86.0 million; and</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Consolidated Funds of $4.3 million and $0.7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20" w:lineRule="exact"/>
        <w:rPr>
          <w:sz w:val="20"/>
          <w:szCs w:val="20"/>
          <w:color w:val="auto"/>
        </w:rPr>
      </w:pPr>
    </w:p>
    <w:p>
      <w:pPr>
        <w:ind w:right="1000" w:firstLine="648"/>
        <w:spacing w:after="0" w:line="283" w:lineRule="auto"/>
        <w:rPr>
          <w:sz w:val="20"/>
          <w:szCs w:val="20"/>
          <w:color w:val="auto"/>
        </w:rPr>
      </w:pPr>
      <w:r>
        <w:rPr>
          <w:rFonts w:ascii="Times New Roman" w:cs="Times New Roman" w:eastAsia="Times New Roman" w:hAnsi="Times New Roman"/>
          <w:sz w:val="20"/>
          <w:szCs w:val="20"/>
          <w:color w:val="auto"/>
        </w:rPr>
        <w:t>Investing activities used $21.6 million and $34.1 million of cash for the six months ended September 30, 2025 and 2024, respectively, and primarily consisted of the following amounts:</w:t>
      </w:r>
    </w:p>
    <w:p>
      <w:pPr>
        <w:spacing w:after="0" w:line="160" w:lineRule="exact"/>
        <w:rPr>
          <w:sz w:val="20"/>
          <w:szCs w:val="20"/>
          <w:color w:val="auto"/>
        </w:rPr>
      </w:pPr>
    </w:p>
    <w:p>
      <w:pPr>
        <w:ind w:left="960" w:hanging="304"/>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of $21.2 million and $20.3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distributions from investments in legacy Greenspring entities of $1.1 million and $(12.0) million;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fixed assets of $1.4 million and $1.9 million.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33" w:lineRule="exact"/>
        <w:rPr>
          <w:sz w:val="20"/>
          <w:szCs w:val="20"/>
          <w:color w:val="auto"/>
        </w:rPr>
      </w:pPr>
    </w:p>
    <w:p>
      <w:pPr>
        <w:ind w:right="420" w:firstLine="648"/>
        <w:spacing w:after="0" w:line="283" w:lineRule="auto"/>
        <w:rPr>
          <w:sz w:val="20"/>
          <w:szCs w:val="20"/>
          <w:color w:val="auto"/>
        </w:rPr>
      </w:pPr>
      <w:r>
        <w:rPr>
          <w:rFonts w:ascii="Times New Roman" w:cs="Times New Roman" w:eastAsia="Times New Roman" w:hAnsi="Times New Roman"/>
          <w:sz w:val="20"/>
          <w:szCs w:val="20"/>
          <w:color w:val="auto"/>
        </w:rPr>
        <w:t>Financing activities provided (used) $43.4 million and $(23.6) million of cash for the six months ended September 30, 2025 and 2024, respectively, and primarily consisted of the following:</w:t>
      </w:r>
    </w:p>
    <w:p>
      <w:pPr>
        <w:spacing w:after="0" w:line="146" w:lineRule="exact"/>
        <w:rPr>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borrowings on revolving credit facility of $0 million and $25.0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financing costs of $0 million and $1.8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from non-controlling interests of $1.6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of $112.9 million and $78.4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non-controlling interests of $10.3 million and $5.4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of redeemable non-controlling interests of $0 million and $13.0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to legacy Greenspring entities of $0.8 million and $18.7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in legacy Greenspring entities of $4.4 million and $9.7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paid to common stockholders of $72.3 million and $40.1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for taxes related to the net settlement of RSUs of $0 million and $1.1 million;</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82" w:name="page83"/>
    <w:bookmarkEnd w:id="82"/>
    <w:p>
      <w:pPr>
        <w:spacing w:after="0" w:line="351" w:lineRule="exact"/>
        <w:rPr>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issuance of Class A common stock under ESPP of $1.7 million and $1.1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related parties under the Tax Receivable Agreements of $11.5 million and $9.8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borrowings on fund credit facility of $17.5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from redeemable non-controlling interests in Consolidated Funds of $281.4 million and $90.8 million; and</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redemptions of redeemable non-controlling interests in Consolidated Funds of $48.3 million and $0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2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We are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administrative agent and collateral agent, and certain other lenders party thereto and provides for a $300.0 million multicurrency Revolver.</w:t>
      </w:r>
    </w:p>
    <w:p>
      <w:pPr>
        <w:spacing w:after="0" w:line="18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We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September 30, 2025 was 6.40%.</w:t>
      </w:r>
    </w:p>
    <w:p>
      <w:pPr>
        <w:spacing w:after="0" w:line="20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68"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We can use available funding capacity under the Revolver to satisfy letters of credit in amounts up to $10.0 million. Amounts used to satisfy the letters of credit reduce the available capacity under the Revolver. As of September 30, 2025, we had outstanding letters of credit totaling $10.1 million.</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Senior Notes</w:t>
      </w:r>
    </w:p>
    <w:p>
      <w:pPr>
        <w:spacing w:after="0" w:line="233"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20"/>
          <w:szCs w:val="20"/>
          <w:color w:val="auto"/>
        </w:rPr>
        <w:t>On October 22, 2024, we issued $175.0 million aggregate principal amount of our 5.52% Series A senior notes due October 22, 2029, pursuant to the Note Purchase Agreement, dated as of October 22, 2024, in a private placement exempt from registration under the Securities Act.</w:t>
      </w:r>
    </w:p>
    <w:p>
      <w:pPr>
        <w:spacing w:after="0" w:line="16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is payable semi-annually in arrears on April 22 and October 22 of each year. Interest on the Notes accrues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Debt Obligations of Consolidated Funds</w:t>
      </w:r>
    </w:p>
    <w:p>
      <w:pPr>
        <w:spacing w:after="0" w:line="233"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Certain Consolidated Funds may maintain revolving credit facilities that are secured by fund assets to fund investments on a short-term basis. The debt obligations of the Consolidated Funds are non-recourse to us.</w:t>
      </w:r>
    </w:p>
    <w:p>
      <w:pPr>
        <w:spacing w:after="0" w:line="17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In December 2024, one of our consolidated investment funds entered into a credit agreement with Northern Trust Global Service SE (the “Fund Credit Facility”). The Fund Credit Facility provides for a multi-currency revolving credit facility of up to $125.0 million. Amounts drawn under the facility must be repaid within 180 days. As of September 30, 2025, the outstanding balance on the Fund Credit Facility was $17.5 million and is presented within other liabilities of Consolidated Funds in the condensed consolidated balance sheets. The outstanding borrowings under the Fund Credit Facility mature in March 2026.</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 The weighted-average interest rate in effect for the Fund Credit Facility as of September 30, 2025 was 6.75%.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Debt Covenants</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us to maintain a total net leverage ratio, and a minimum total of fee-earning assets under management.</w:t>
      </w:r>
    </w:p>
    <w:p>
      <w:pPr>
        <w:spacing w:after="0" w:line="173"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The Note Purchase Agreement contains certain covenants, including those requiring us to (a) maintain a total net leverage ratio, (b) maintain a minimum total of fee-earning assets under management, (c) cause at least 80% of all management fees payable by material subsidiaries to us to be collected each period without deferral, waiver or reduction, (d) limit the amount of secured indebtedness to be incurred by us,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3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Fund Credit Facility, certain of the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September 30, 2025, we were in compliance with the covenants under our various debt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June 2025, we issued 152,768 shares of Class A common stock to certain limited partners of the Partnership in exchange for</w:t>
      </w:r>
    </w:p>
    <w:p>
      <w:pPr>
        <w:spacing w:after="0" w:line="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152,768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18,000 shares of Class A common stock to certain limited partners of the Partnership in exchange for 18,000 Class C units of the Partnership in accordance with the elective exchange notices submitted pursuant to the Class C Exchange Agreement, and a corresponding number of Class A units of the Partnership were issued to us. We also issued 864,640 shares of Class A common stock to certain limited partners of the Partnership in exchange for 864,640 Class D units of the Partnership in accordance with the elective exchange notices submitted pursuant to the Class D Exchange Agreement, and a corresponding number of Class A units of the Partnership were issued to us.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September 2025, we issued 370,470 shares of Class A common stock to certain limited partners of the Partnership in exchange for</w:t>
      </w:r>
    </w:p>
    <w:p>
      <w:pPr>
        <w:spacing w:after="0" w:line="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370,470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16,658 shares of Class A common stock to certain limited partners of the Partnership in exchange for 16,658 Class C units of the Partnership in accordance with the elective exchange notices submitted pursuant to the Class C Exchange Agreement, and a corresponding number of Class A units of the Partnership were issued to us. We also issued 135,697 shares of Class A common stock to certain limited partners of the Partnership in exchange for 135,697 Class D units of the Partnership in accordance with the elective exchange notices submitted pursuant to the Class D Exchange Agreement, and a corresponding number of Class A units of the Partnership were issued to us.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Future Sources and Uses of Liquidity</w:t>
      </w:r>
    </w:p>
    <w:p>
      <w:pPr>
        <w:spacing w:after="0" w:line="220"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Dividend and Distribution Policy</w:t>
      </w:r>
    </w:p>
    <w:p>
      <w:pPr>
        <w:spacing w:after="0" w:line="233" w:lineRule="exact"/>
        <w:rPr>
          <w:sz w:val="20"/>
          <w:szCs w:val="20"/>
          <w:color w:val="auto"/>
        </w:rPr>
      </w:pPr>
    </w:p>
    <w:p>
      <w:pPr>
        <w:ind w:right="300" w:firstLine="648"/>
        <w:spacing w:after="0" w:line="269" w:lineRule="auto"/>
        <w:rPr>
          <w:sz w:val="20"/>
          <w:szCs w:val="20"/>
          <w:color w:val="auto"/>
        </w:rPr>
      </w:pPr>
      <w:r>
        <w:rPr>
          <w:rFonts w:ascii="Times New Roman" w:cs="Times New Roman" w:eastAsia="Times New Roman" w:hAnsi="Times New Roman"/>
          <w:sz w:val="20"/>
          <w:szCs w:val="20"/>
          <w:color w:val="auto"/>
        </w:rPr>
        <w:t>On November 6, 2025, we announced a dividend of $0.28 per share of Class A common stock, payable on December 15, 2025 to holders of record at the close of business on November 28, 2025.</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5" w:name="page86"/>
    <w:bookmarkEnd w:id="85"/>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information regarding cash quarterly dividends on Class A common shares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28, 2024</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13,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13, 2024</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2025</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FY2025</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2025</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378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2025</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2025</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FY2026</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years 2024 and 2025, respectively.</w:t>
      </w:r>
    </w:p>
    <w:p>
      <w:pPr>
        <w:spacing w:after="0" w:line="20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Tax Receivable Agreements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We have entered into an Exchanges Tax Receivable Agreement with the Class B limited partners, Class C limited partners, and Class D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Option Agreement Payment</w:t>
      </w:r>
    </w:p>
    <w:p>
      <w:pPr>
        <w:spacing w:after="0" w:line="233"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9"/>
          <w:szCs w:val="19"/>
          <w:color w:val="auto"/>
        </w:rPr>
        <w:t>In November 2022, we entered into arrangements with the SPW management team (the “Private Wealth Transaction”) under which certain members of the SPW team received a profits interest in SPW and concurrently entered into an option agreement which provides that</w:t>
      </w:r>
    </w:p>
    <w:p>
      <w:pPr>
        <w:spacing w:after="0" w:line="2" w:lineRule="exact"/>
        <w:rPr>
          <w:sz w:val="20"/>
          <w:szCs w:val="20"/>
          <w:color w:val="auto"/>
        </w:rPr>
      </w:pPr>
    </w:p>
    <w:p>
      <w:pPr>
        <w:ind w:firstLine="8"/>
        <w:spacing w:after="0" w:line="249" w:lineRule="auto"/>
        <w:tabs>
          <w:tab w:leader="none" w:pos="23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up to 75% of the consideration in units of the Partnership, each to be exchangeable into shares of our Class A common stock, and, in either case, rights under one or more tax receivable agreements. As of September 30, 2025, based on the fair value of the liability classified awards, the estimated minimum and maximum amount of cash that would be potentially payable to settle the liability under the Private Wealth Transaction was $427.2 million and $1,708.8 million, respectively. We believe that we will be able to meet the cash requirements for settlement of the liability through our ability to obtain future financing. See note 9 to our condensed consolidated financial statements included elsewhere in this quarterly report for more information. Certain assumptions used in determining the fair value are inherently subjective; therefore, the ultimate settlement amount for the liability classified awards may differ materially from the current estimate.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3"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9"/>
          <w:szCs w:val="19"/>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64" w:lineRule="exact"/>
        <w:rPr>
          <w:sz w:val="20"/>
          <w:szCs w:val="20"/>
          <w:color w:val="auto"/>
        </w:rPr>
      </w:pPr>
    </w:p>
    <w:p>
      <w:pPr>
        <w:ind w:right="120" w:firstLine="648"/>
        <w:spacing w:after="0" w:line="310" w:lineRule="auto"/>
        <w:rPr>
          <w:sz w:val="20"/>
          <w:szCs w:val="20"/>
          <w:color w:val="auto"/>
        </w:rPr>
      </w:pPr>
      <w:r>
        <w:rPr>
          <w:rFonts w:ascii="Times New Roman" w:cs="Times New Roman" w:eastAsia="Times New Roman" w:hAnsi="Times New Roman"/>
          <w:sz w:val="19"/>
          <w:szCs w:val="19"/>
          <w:color w:val="auto"/>
        </w:rPr>
        <w:t>See note 2 to our condensed consolidated financial statements included elsewhere in this quarterly report, and note 2 to our audited consolidated financial statements in our Form 10-K for the year ended March 31, 2025 for a summary of our significant accounting policies.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Recent Accounting Developments</w:t>
      </w:r>
    </w:p>
    <w:p>
      <w:pPr>
        <w:spacing w:after="0" w:line="220"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2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Our management fee and advisory fee revenue is only marginally affected by changes in investment values because our management fees are generally based on commitments or net invested capital and our advisory fees are fixed. As of September 30, 2025, and March 31, 2025, NAV-based management fees represented approximately 18% and 14%, respectively, of total net management and advisory fees. We estimate that a 10% decline in market values of the investments held in our funds as of September 30, 2025 and March 31, 2025, would result in an approximate decrease to annual management fees of $15.0 million and $11.2 million, respectively.</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1" w:lineRule="exact"/>
        <w:rPr>
          <w:sz w:val="20"/>
          <w:szCs w:val="20"/>
          <w:color w:val="auto"/>
        </w:rPr>
      </w:pPr>
    </w:p>
    <w:p>
      <w:pPr>
        <w:ind w:left="660" w:right="40" w:hanging="328"/>
        <w:spacing w:after="0" w:line="254" w:lineRule="auto"/>
        <w:tabs>
          <w:tab w:leader="none" w:pos="6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September 30, 2025 and March 31, 2025, we had $21.4 million and $22.3 million of deferred incentive fee revenue recorded in accounts payable, accrued expenses and other liabilities in the condensed consolidated balance sheets.</w:t>
      </w:r>
    </w:p>
    <w:p>
      <w:pPr>
        <w:spacing w:after="0" w:line="187" w:lineRule="exact"/>
        <w:rPr>
          <w:rFonts w:ascii="Times New Roman" w:cs="Times New Roman" w:eastAsia="Times New Roman" w:hAnsi="Times New Roman"/>
          <w:sz w:val="20"/>
          <w:szCs w:val="20"/>
          <w:color w:val="auto"/>
        </w:rPr>
      </w:pPr>
    </w:p>
    <w:p>
      <w:pPr>
        <w:ind w:left="660" w:hanging="328"/>
        <w:spacing w:after="0" w:line="262" w:lineRule="auto"/>
        <w:tabs>
          <w:tab w:leader="none" w:pos="648"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is paid to employees as carried interest-related compensation, the overall net impact to our income would be mitigated by lower compensation payments. As of September 30, 2025, and March 31, 2025, the maximum amount of carried interest allocations (excluding legacy Greenspring carried interest allocations) subject to contingent repayment, net of tax, was an estimated</w:t>
      </w:r>
    </w:p>
    <w:p>
      <w:pPr>
        <w:spacing w:after="0" w:line="8" w:lineRule="exact"/>
        <w:rPr>
          <w:rFonts w:ascii="Times New Roman" w:cs="Times New Roman" w:eastAsia="Times New Roman" w:hAnsi="Times New Roman"/>
          <w:sz w:val="19"/>
          <w:szCs w:val="19"/>
          <w:color w:val="auto"/>
        </w:rPr>
      </w:pPr>
    </w:p>
    <w:p>
      <w:pPr>
        <w:ind w:left="660" w:right="2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$396.4 million and $355.0 million, respectively, assuming the fair value of all investments was zero, a possibility that we view as remote. The primary driver for the change in the contingent repayment between periods is due to additional carried interest allocation realizations in fiscal 2026 that are potentially subject to clawback.</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351" w:lineRule="exact"/>
        <w:rPr>
          <w:sz w:val="20"/>
          <w:szCs w:val="20"/>
          <w:color w:val="auto"/>
        </w:rPr>
      </w:pPr>
    </w:p>
    <w:p>
      <w:pPr>
        <w:ind w:left="660" w:hanging="328"/>
        <w:spacing w:after="0" w:line="258" w:lineRule="auto"/>
        <w:tabs>
          <w:tab w:leader="none" w:pos="6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September 30, 2025 and March 31, 2025, we estimate that a 10% decline in fair value of the investments in funds would result in a decrease in investment income of $21.0 million and $18.4 million, respectively.</w:t>
      </w:r>
    </w:p>
    <w:p>
      <w:pPr>
        <w:spacing w:after="0" w:line="16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Exchange Rate Risk</w:t>
      </w:r>
    </w:p>
    <w:p>
      <w:pPr>
        <w:spacing w:after="0" w:line="2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17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3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As of September 30, 2025 and March 31, 2025, we had $175.0 million outstanding under our Notes and $100.0 million in</w:t>
      </w:r>
    </w:p>
    <w:p>
      <w:pPr>
        <w:spacing w:after="0" w:line="2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borrowings outstanding under our Revolver. The Revolver accrues interest at a variable rate and the Notes accrue interest at a fixed rate of 5.52%. As of September 30, 2025 and March 31, 2025, we estimate that interest expense would increase by $2.8 million on an annualized basis as a result of a 100 basis point increase in interest rates. Based on the $230.4 million and $245.3 million of cash, cash equivalents and restricted cash (excluding Consolidated Funds) as of September 30, 2025 and March 31, 2025, we estimate that interest income would increase by $2.3 million and $2.5 million, respectively, on an annualized basis as a result of a 100 basis point increase in interest rates.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33" w:lineRule="exact"/>
        <w:rPr>
          <w:sz w:val="20"/>
          <w:szCs w:val="20"/>
          <w:color w:val="auto"/>
        </w:rPr>
      </w:pPr>
    </w:p>
    <w:p>
      <w:pPr>
        <w:jc w:val="both"/>
        <w:ind w:right="60" w:firstLine="648"/>
        <w:spacing w:after="0" w:line="253"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9" w:name="page90"/>
    <w:bookmarkEnd w:id="89"/>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Disclosure Controls and Procedures</w:t>
      </w:r>
    </w:p>
    <w:p>
      <w:pPr>
        <w:spacing w:after="0" w:line="22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77"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Changes in Internal Controls over Financial Reporting</w:t>
      </w:r>
    </w:p>
    <w:p>
      <w:pPr>
        <w:spacing w:after="0" w:line="220"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such term is defined in Rules 13a-15(f) and 15d-15(f) under the Exchange Act) during our most recent quarter ended September 30, 2025, that have materially affected, or are reasonably likely to materially affect, our internal control over financial reporting.</w:t>
      </w:r>
    </w:p>
    <w:p>
      <w:pPr>
        <w:spacing w:after="0" w:line="1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PART II—OTHER INFORMATION</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20" w:lineRule="exact"/>
        <w:rPr>
          <w:sz w:val="20"/>
          <w:szCs w:val="20"/>
          <w:color w:val="auto"/>
        </w:rPr>
      </w:pPr>
    </w:p>
    <w:p>
      <w:pPr>
        <w:jc w:val="both"/>
        <w:ind w:right="560" w:firstLine="648"/>
        <w:spacing w:after="0" w:line="268" w:lineRule="auto"/>
        <w:rPr>
          <w:sz w:val="20"/>
          <w:szCs w:val="20"/>
          <w:color w:val="auto"/>
        </w:rPr>
      </w:pPr>
      <w:r>
        <w:rPr>
          <w:rFonts w:ascii="Times New Roman" w:cs="Times New Roman" w:eastAsia="Times New Roman" w:hAnsi="Times New Roman"/>
          <w:sz w:val="20"/>
          <w:szCs w:val="20"/>
          <w:color w:val="auto"/>
        </w:rPr>
        <w:t>The information required with respect to this item can be found under the heading “Litigation” in note 14, Commitments and Contingencies, to our condensed consolidated financial statements included elsewhere in this quarterly report, and such information is incorporated by reference into this Part II, Item 1.</w:t>
      </w:r>
    </w:p>
    <w:p>
      <w:pPr>
        <w:spacing w:after="0" w:line="1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There have been no material changes from the risk factors previously disclosed in Part I, Item 1A of our annual report on Form 10-K for the fiscal year ended March 31, 2025.</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0" w:name="page91"/>
    <w:bookmarkEnd w:id="90"/>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 Trading Arrangements.</w:t>
      </w:r>
    </w:p>
    <w:p>
      <w:pPr>
        <w:spacing w:after="0" w:line="216"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20"/>
          <w:szCs w:val="20"/>
          <w:color w:val="auto"/>
        </w:rPr>
        <w:t>The table below summarizes the terms of “Rule 10b5-1 trading arrangements,” as defined in Item 408 of Regulation S-K, adopted, modified or terminated by our executive officers or directors during the period covered by this quarterly report on Form 10-Q. All of the trading arrangements listed below are intended to satisfy the affirmative defense conditions of Rule 10b5-1(c).</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060" w:type="dxa"/>
            <w:vAlign w:val="bottom"/>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Date of Adoption or</w:t>
            </w:r>
          </w:p>
        </w:tc>
        <w:tc>
          <w:tcPr>
            <w:tcW w:w="2140" w:type="dxa"/>
            <w:vAlign w:val="bottom"/>
            <w:shd w:val="clear" w:color="auto" w:fill="CCEEFF"/>
          </w:tcPr>
          <w:p>
            <w:pPr>
              <w:spacing w:after="0"/>
              <w:rPr>
                <w:sz w:val="17"/>
                <w:szCs w:val="17"/>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 Class A ordinary</w:t>
            </w:r>
          </w:p>
        </w:tc>
        <w:tc>
          <w:tcPr>
            <w:tcW w:w="0" w:type="dxa"/>
            <w:vAlign w:val="bottom"/>
          </w:tcPr>
          <w:p>
            <w:pPr>
              <w:spacing w:after="0"/>
              <w:rPr>
                <w:sz w:val="1"/>
                <w:szCs w:val="1"/>
                <w:color w:val="auto"/>
              </w:rPr>
            </w:pPr>
          </w:p>
        </w:tc>
      </w:tr>
      <w:tr>
        <w:trPr>
          <w:trHeight w:val="184"/>
        </w:trPr>
        <w:tc>
          <w:tcPr>
            <w:tcW w:w="14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vMerge w:val="restart"/>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60" w:type="dxa"/>
            <w:vAlign w:val="bottom"/>
            <w:vMerge w:val="continue"/>
            <w:shd w:val="clear" w:color="auto" w:fill="CCEEFF"/>
          </w:tcPr>
          <w:p>
            <w:pPr>
              <w:spacing w:after="0"/>
              <w:rPr>
                <w:sz w:val="16"/>
                <w:szCs w:val="16"/>
                <w:color w:val="auto"/>
              </w:rPr>
            </w:pPr>
          </w:p>
        </w:tc>
        <w:tc>
          <w:tcPr>
            <w:tcW w:w="21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Duration of Plan</w:t>
            </w:r>
            <w:r>
              <w:rPr>
                <w:rFonts w:ascii="Times New Roman" w:cs="Times New Roman" w:eastAsia="Times New Roman" w:hAnsi="Times New Roman"/>
                <w:sz w:val="23"/>
                <w:szCs w:val="23"/>
                <w:b w:val="1"/>
                <w:bCs w:val="1"/>
                <w:color w:val="auto"/>
                <w:vertAlign w:val="superscript"/>
              </w:rPr>
              <w:t>(1)</w:t>
            </w:r>
          </w:p>
        </w:tc>
        <w:tc>
          <w:tcPr>
            <w:tcW w:w="32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 to be sold pursuant to the trading</w:t>
            </w:r>
          </w:p>
        </w:tc>
        <w:tc>
          <w:tcPr>
            <w:tcW w:w="0" w:type="dxa"/>
            <w:vAlign w:val="bottom"/>
          </w:tcPr>
          <w:p>
            <w:pPr>
              <w:spacing w:after="0"/>
              <w:rPr>
                <w:sz w:val="1"/>
                <w:szCs w:val="1"/>
                <w:color w:val="auto"/>
              </w:rPr>
            </w:pPr>
          </w:p>
        </w:tc>
      </w:tr>
      <w:tr>
        <w:trPr>
          <w:trHeight w:val="229"/>
        </w:trPr>
        <w:tc>
          <w:tcPr>
            <w:tcW w:w="1400" w:type="dxa"/>
            <w:vAlign w:val="bottom"/>
            <w:vMerge w:val="continue"/>
            <w:shd w:val="clear" w:color="auto" w:fill="CCEEFF"/>
          </w:tcPr>
          <w:p>
            <w:pPr>
              <w:spacing w:after="0"/>
              <w:rPr>
                <w:sz w:val="19"/>
                <w:szCs w:val="19"/>
                <w:color w:val="auto"/>
              </w:rPr>
            </w:pPr>
          </w:p>
        </w:tc>
        <w:tc>
          <w:tcPr>
            <w:tcW w:w="2380" w:type="dxa"/>
            <w:vAlign w:val="bottom"/>
            <w:vMerge w:val="continue"/>
            <w:shd w:val="clear" w:color="auto" w:fill="CCEEFF"/>
          </w:tcPr>
          <w:p>
            <w:pPr>
              <w:spacing w:after="0"/>
              <w:rPr>
                <w:sz w:val="19"/>
                <w:szCs w:val="19"/>
                <w:color w:val="auto"/>
              </w:rPr>
            </w:pPr>
          </w:p>
        </w:tc>
        <w:tc>
          <w:tcPr>
            <w:tcW w:w="20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2140" w:type="dxa"/>
            <w:vAlign w:val="bottom"/>
            <w:vMerge w:val="continue"/>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6"/>
                <w:szCs w:val="16"/>
                <w:color w:val="auto"/>
              </w:rPr>
            </w:pPr>
          </w:p>
        </w:tc>
        <w:tc>
          <w:tcPr>
            <w:tcW w:w="23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Co-Chief Operating Officer</w:t>
            </w:r>
          </w:p>
        </w:tc>
        <w:tc>
          <w:tcPr>
            <w:tcW w:w="20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Plan adopted August 11,</w:t>
            </w:r>
          </w:p>
        </w:tc>
        <w:tc>
          <w:tcPr>
            <w:tcW w:w="21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Plan terminates December</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 Fernandez</w:t>
            </w:r>
          </w:p>
        </w:tc>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Director</w:t>
            </w: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211,210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will expire on the earlier of the expiration date or the completion of all transactions under the trading arrangement.</w:t>
      </w:r>
    </w:p>
    <w:p>
      <w:pPr>
        <w:spacing w:after="0" w:line="200" w:lineRule="exact"/>
        <w:rPr>
          <w:rFonts w:ascii="Times New Roman" w:cs="Times New Roman" w:eastAsia="Times New Roman" w:hAnsi="Times New Roman"/>
          <w:sz w:val="18"/>
          <w:szCs w:val="18"/>
          <w:color w:val="auto"/>
        </w:rPr>
      </w:pPr>
    </w:p>
    <w:p>
      <w:pPr>
        <w:spacing w:after="0" w:line="353"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vMerge w:val="continue"/>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6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3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40" w:type="dxa"/>
            <w:vAlign w:val="bottom"/>
            <w:gridSpan w:val="2"/>
          </w:tcPr>
          <w:p>
            <w:pPr>
              <w:ind w:left="20"/>
              <w:spacing w:after="0" w:line="182" w:lineRule="exact"/>
              <w:rPr>
                <w:rFonts w:ascii="Times New Roman" w:cs="Times New Roman" w:eastAsia="Times New Roman" w:hAnsi="Times New Roman"/>
                <w:sz w:val="18"/>
                <w:szCs w:val="18"/>
                <w:color w:val="0000FF"/>
                <w:w w:val="79"/>
              </w:rPr>
            </w:pPr>
            <w:hyperlink r:id="rId105">
              <w:r>
                <w:rPr>
                  <w:rFonts w:ascii="Times New Roman" w:cs="Times New Roman" w:eastAsia="Times New Roman" w:hAnsi="Times New Roman"/>
                  <w:sz w:val="18"/>
                  <w:szCs w:val="18"/>
                  <w:color w:val="0000FF"/>
                  <w:w w:val="79"/>
                </w:rPr>
                <w:t>3.</w:t>
              </w:r>
              <w:r>
                <w:rPr>
                  <w:rFonts w:ascii="Times New Roman" w:cs="Times New Roman" w:eastAsia="Times New Roman" w:hAnsi="Times New Roman"/>
                  <w:sz w:val="18"/>
                  <w:szCs w:val="18"/>
                  <w:u w:val="single" w:color="auto"/>
                  <w:color w:val="0000FF"/>
                  <w:w w:val="79"/>
                </w:rPr>
                <w:t>1</w:t>
              </w:r>
            </w:hyperlink>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20" w:type="dxa"/>
            <w:vAlign w:val="bottom"/>
            <w:gridSpan w:val="10"/>
          </w:tcPr>
          <w:p>
            <w:pPr>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Certificate of Amendment to the Certificate of Incorporation</w:t>
              </w:r>
            </w:hyperlink>
          </w:p>
        </w:tc>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380" w:type="dxa"/>
            <w:vAlign w:val="bottom"/>
          </w:tcPr>
          <w:p>
            <w:pPr>
              <w:jc w:val="center"/>
              <w:ind w:right="90"/>
              <w:spacing w:after="0" w:line="182" w:lineRule="exact"/>
              <w:rPr>
                <w:sz w:val="20"/>
                <w:szCs w:val="20"/>
                <w:color w:val="auto"/>
              </w:rPr>
            </w:pPr>
            <w:r>
              <w:rPr>
                <w:rFonts w:ascii="Times New Roman" w:cs="Times New Roman" w:eastAsia="Times New Roman" w:hAnsi="Times New Roman"/>
                <w:sz w:val="18"/>
                <w:szCs w:val="18"/>
                <w:color w:val="auto"/>
                <w:w w:val="98"/>
              </w:rPr>
              <w:t>9/11/2025</w:t>
            </w:r>
          </w:p>
        </w:tc>
        <w:tc>
          <w:tcPr>
            <w:tcW w:w="1040" w:type="dxa"/>
            <w:vAlign w:val="bottom"/>
          </w:tcPr>
          <w:p>
            <w:pPr>
              <w:jc w:val="center"/>
              <w:ind w:right="90"/>
              <w:spacing w:after="0" w:line="182" w:lineRule="exact"/>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gridSpan w:val="2"/>
          </w:tcPr>
          <w:p>
            <w:pPr>
              <w:ind w:left="20"/>
              <w:spacing w:after="0"/>
              <w:rPr>
                <w:rFonts w:ascii="Times New Roman" w:cs="Times New Roman" w:eastAsia="Times New Roman" w:hAnsi="Times New Roman"/>
                <w:sz w:val="18"/>
                <w:szCs w:val="18"/>
                <w:color w:val="0000FF"/>
                <w:w w:val="79"/>
              </w:rPr>
            </w:pPr>
            <w:hyperlink r:id="rId106">
              <w:r>
                <w:rPr>
                  <w:rFonts w:ascii="Times New Roman" w:cs="Times New Roman" w:eastAsia="Times New Roman" w:hAnsi="Times New Roman"/>
                  <w:sz w:val="18"/>
                  <w:szCs w:val="18"/>
                  <w:color w:val="0000FF"/>
                  <w:w w:val="79"/>
                </w:rPr>
                <w:t>3.</w:t>
              </w:r>
              <w:r>
                <w:rPr>
                  <w:rFonts w:ascii="Times New Roman" w:cs="Times New Roman" w:eastAsia="Times New Roman" w:hAnsi="Times New Roman"/>
                  <w:sz w:val="18"/>
                  <w:szCs w:val="18"/>
                  <w:u w:val="single" w:color="auto"/>
                  <w:color w:val="0000FF"/>
                  <w:w w:val="79"/>
                </w:rPr>
                <w:t>2</w:t>
              </w:r>
            </w:hyperlink>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Certificate of Amendment to the Certificate of Incorporation</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9/19/2025</w:t>
            </w: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gridSpan w:val="2"/>
          </w:tcPr>
          <w:p>
            <w:pPr>
              <w:ind w:left="20"/>
              <w:spacing w:after="0"/>
              <w:rPr>
                <w:rFonts w:ascii="Times New Roman" w:cs="Times New Roman" w:eastAsia="Times New Roman" w:hAnsi="Times New Roman"/>
                <w:sz w:val="18"/>
                <w:szCs w:val="18"/>
                <w:color w:val="0000FF"/>
                <w:w w:val="79"/>
              </w:rPr>
            </w:pPr>
            <w:hyperlink r:id="rId107">
              <w:r>
                <w:rPr>
                  <w:rFonts w:ascii="Times New Roman" w:cs="Times New Roman" w:eastAsia="Times New Roman" w:hAnsi="Times New Roman"/>
                  <w:sz w:val="18"/>
                  <w:szCs w:val="18"/>
                  <w:color w:val="0000FF"/>
                  <w:w w:val="79"/>
                </w:rPr>
                <w:t>3.</w:t>
              </w:r>
              <w:r>
                <w:rPr>
                  <w:rFonts w:ascii="Times New Roman" w:cs="Times New Roman" w:eastAsia="Times New Roman" w:hAnsi="Times New Roman"/>
                  <w:sz w:val="18"/>
                  <w:szCs w:val="18"/>
                  <w:u w:val="single" w:color="auto"/>
                  <w:color w:val="0000FF"/>
                  <w:w w:val="79"/>
                </w:rPr>
                <w:t>3</w:t>
              </w:r>
            </w:hyperlink>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Restated Certificate of Incorporation of StepStone Group Inc.</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9/19/2025</w:t>
            </w: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gridSpan w:val="2"/>
          </w:tcPr>
          <w:p>
            <w:pPr>
              <w:ind w:left="20"/>
              <w:spacing w:after="0"/>
              <w:rPr>
                <w:rFonts w:ascii="Times New Roman" w:cs="Times New Roman" w:eastAsia="Times New Roman" w:hAnsi="Times New Roman"/>
                <w:sz w:val="18"/>
                <w:szCs w:val="18"/>
                <w:color w:val="0000FF"/>
                <w:w w:val="79"/>
              </w:rPr>
            </w:pPr>
            <w:hyperlink r:id="rId108">
              <w:r>
                <w:rPr>
                  <w:rFonts w:ascii="Times New Roman" w:cs="Times New Roman" w:eastAsia="Times New Roman" w:hAnsi="Times New Roman"/>
                  <w:sz w:val="18"/>
                  <w:szCs w:val="18"/>
                  <w:color w:val="0000FF"/>
                  <w:w w:val="79"/>
                </w:rPr>
                <w:t>3.</w:t>
              </w:r>
              <w:r>
                <w:rPr>
                  <w:rFonts w:ascii="Times New Roman" w:cs="Times New Roman" w:eastAsia="Times New Roman" w:hAnsi="Times New Roman"/>
                  <w:sz w:val="18"/>
                  <w:szCs w:val="18"/>
                  <w:u w:val="single" w:color="auto"/>
                  <w:color w:val="0000FF"/>
                  <w:w w:val="79"/>
                </w:rPr>
                <w:t>4</w:t>
              </w:r>
            </w:hyperlink>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Amended and Restated Bylaws of StepStone Group Inc.</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2/09/2023</w:t>
            </w: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6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amended</w:t>
            </w:r>
          </w:p>
        </w:tc>
        <w:tc>
          <w:tcPr>
            <w:tcW w:w="3700" w:type="dxa"/>
            <w:vAlign w:val="bottom"/>
            <w:tcBorders>
              <w:top w:val="single" w:sz="8" w:color="0000FF"/>
            </w:tcBorders>
            <w:gridSpan w:val="5"/>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4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amended</w:t>
            </w:r>
          </w:p>
        </w:tc>
        <w:tc>
          <w:tcPr>
            <w:tcW w:w="3700" w:type="dxa"/>
            <w:vAlign w:val="bottom"/>
            <w:tcBorders>
              <w:top w:val="single" w:sz="8" w:color="0000FF"/>
            </w:tcBorders>
            <w:gridSpan w:val="5"/>
          </w:tcPr>
          <w:p>
            <w:pPr>
              <w:spacing w:after="0"/>
              <w:rPr>
                <w:sz w:val="13"/>
                <w:szCs w:val="13"/>
                <w:color w:val="auto"/>
              </w:rPr>
            </w:pPr>
          </w:p>
        </w:tc>
        <w:tc>
          <w:tcPr>
            <w:tcW w:w="2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906 of the Sarbanes-Oxley Act of 2002</w:t>
            </w:r>
          </w:p>
        </w:tc>
        <w:tc>
          <w:tcPr>
            <w:tcW w:w="1480" w:type="dxa"/>
            <w:vAlign w:val="bottom"/>
            <w:tcBorders>
              <w:top w:val="single" w:sz="8" w:color="0000FF"/>
            </w:tcBorders>
            <w:gridSpan w:val="2"/>
          </w:tcPr>
          <w:p>
            <w:pPr>
              <w:spacing w:after="0"/>
              <w:rPr>
                <w:sz w:val="13"/>
                <w:szCs w:val="13"/>
                <w:color w:val="auto"/>
              </w:rPr>
            </w:pPr>
          </w:p>
        </w:tc>
        <w:tc>
          <w:tcPr>
            <w:tcW w:w="26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6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200" w:right="5400" w:hanging="1181"/>
        <w:spacing w:after="0" w:line="212" w:lineRule="auto"/>
        <w:tabs>
          <w:tab w:leader="none" w:pos="1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quarter ended September 30, 2025 formatted in Inline XBRL (Extensible Business Reporting Language): (i) the Condensed Consolidated Balance Sheets; (ii) the Condensed Consolidated Statements of Income (Loss); (iii) the Condensed Consolidated Statements of Comprehensive</w:t>
      </w:r>
    </w:p>
    <w:p>
      <w:pPr>
        <w:ind w:left="1200"/>
        <w:spacing w:after="0" w:line="206" w:lineRule="auto"/>
        <w:rPr>
          <w:sz w:val="20"/>
          <w:szCs w:val="20"/>
          <w:color w:val="auto"/>
        </w:rPr>
      </w:pPr>
      <w:r>
        <w:rPr>
          <w:rFonts w:ascii="Times New Roman" w:cs="Times New Roman" w:eastAsia="Times New Roman" w:hAnsi="Times New Roman"/>
          <w:sz w:val="18"/>
          <w:szCs w:val="18"/>
          <w:color w:val="auto"/>
        </w:rPr>
        <w:t>Income (Loss); (iv) the Condensed Consolidated Statements of</w:t>
      </w:r>
    </w:p>
    <w:p>
      <w:pPr>
        <w:ind w:left="1200"/>
        <w:spacing w:after="0" w:line="204" w:lineRule="auto"/>
        <w:rPr>
          <w:sz w:val="20"/>
          <w:szCs w:val="20"/>
          <w:color w:val="auto"/>
        </w:rPr>
      </w:pPr>
      <w:r>
        <w:rPr>
          <w:rFonts w:ascii="Times New Roman" w:cs="Times New Roman" w:eastAsia="Times New Roman" w:hAnsi="Times New Roman"/>
          <w:sz w:val="18"/>
          <w:szCs w:val="18"/>
          <w:color w:val="auto"/>
        </w:rPr>
        <w:t>Stockholders’ Equity; (v) the Condensed Consolidated</w:t>
      </w:r>
    </w:p>
    <w:p>
      <w:pPr>
        <w:ind w:left="1200"/>
        <w:spacing w:after="0" w:line="219" w:lineRule="auto"/>
        <w:rPr>
          <w:sz w:val="20"/>
          <w:szCs w:val="20"/>
          <w:color w:val="auto"/>
        </w:rPr>
      </w:pPr>
      <w:r>
        <w:rPr>
          <w:rFonts w:ascii="Times New Roman" w:cs="Times New Roman" w:eastAsia="Times New Roman" w:hAnsi="Times New Roman"/>
          <w:sz w:val="18"/>
          <w:szCs w:val="18"/>
          <w:color w:val="auto"/>
        </w:rPr>
        <w:t>Statements of Cash Flows; (vi) Notes to Condensed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Consolidated Financial Statements; and (vii) Part II, Item 5(c).</w:t>
            </w:r>
          </w:p>
        </w:tc>
        <w:tc>
          <w:tcPr>
            <w:tcW w:w="256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1"/>
              </w:rPr>
              <w:t>X</w:t>
            </w:r>
          </w:p>
        </w:tc>
      </w:tr>
      <w:tr>
        <w:trPr>
          <w:trHeight w:val="180"/>
        </w:trPr>
        <w:tc>
          <w:tcPr>
            <w:tcW w:w="720" w:type="dxa"/>
            <w:vAlign w:val="bottom"/>
          </w:tcPr>
          <w:p>
            <w:pPr>
              <w:jc w:val="right"/>
              <w:ind w:right="370"/>
              <w:spacing w:after="0" w:line="181" w:lineRule="exact"/>
              <w:rPr>
                <w:sz w:val="20"/>
                <w:szCs w:val="20"/>
                <w:color w:val="auto"/>
              </w:rPr>
            </w:pPr>
            <w:r>
              <w:rPr>
                <w:rFonts w:ascii="Times New Roman" w:cs="Times New Roman" w:eastAsia="Times New Roman" w:hAnsi="Times New Roman"/>
                <w:sz w:val="18"/>
                <w:szCs w:val="18"/>
                <w:color w:val="auto"/>
                <w:w w:val="88"/>
              </w:rPr>
              <w:t>104</w:t>
            </w:r>
          </w:p>
        </w:tc>
        <w:tc>
          <w:tcPr>
            <w:tcW w:w="742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2560" w:type="dxa"/>
            <w:vAlign w:val="bottom"/>
          </w:tcPr>
          <w:p>
            <w:pPr>
              <w:spacing w:after="0"/>
              <w:rPr>
                <w:sz w:val="15"/>
                <w:szCs w:val="15"/>
                <w:color w:val="auto"/>
              </w:rPr>
            </w:pPr>
          </w:p>
        </w:tc>
      </w:tr>
      <w:tr>
        <w:trPr>
          <w:trHeight w:val="243"/>
        </w:trPr>
        <w:tc>
          <w:tcPr>
            <w:tcW w:w="720" w:type="dxa"/>
            <w:vAlign w:val="bottom"/>
          </w:tcPr>
          <w:p>
            <w:pPr>
              <w:spacing w:after="0"/>
              <w:rPr>
                <w:sz w:val="21"/>
                <w:szCs w:val="21"/>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256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207010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2" w:name="page93"/>
    <w:bookmarkEnd w:id="92"/>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 on November 6, 2025</w:t>
      </w:r>
      <w:r>
        <w:rPr>
          <w:rFonts w:ascii="Times New Roman" w:cs="Times New Roman" w:eastAsia="Times New Roman" w:hAnsi="Times New Roman"/>
          <w:sz w:val="20"/>
          <w:szCs w:val="20"/>
          <w:b w:val="1"/>
          <w:bCs w:val="1"/>
          <w:color w:val="auto"/>
        </w:rPr>
        <w:t>.</w:t>
      </w:r>
    </w:p>
    <w:p>
      <w:pPr>
        <w:spacing w:after="0" w:line="2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0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0940"/>
          </w:cols>
          <w:pgMar w:left="320" w:top="1440" w:right="6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CERTIFICATION BY THE CHIEF EXECUTIVE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Scott W. Hart, certify that:</w:t>
      </w:r>
    </w:p>
    <w:p>
      <w:pPr>
        <w:spacing w:after="0" w:line="229"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StepStone Group Inc.;</w:t>
      </w:r>
    </w:p>
    <w:p>
      <w:pPr>
        <w:spacing w:after="0" w:line="215"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89"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20"/>
          <w:szCs w:val="20"/>
          <w:color w:val="auto"/>
        </w:rPr>
      </w:pPr>
    </w:p>
    <w:p>
      <w:pPr>
        <w:ind w:left="1300" w:right="560" w:hanging="320"/>
        <w:spacing w:after="0" w:line="288" w:lineRule="auto"/>
        <w:tabs>
          <w:tab w:leader="none" w:pos="130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9"/>
          <w:szCs w:val="19"/>
          <w:color w:val="auto"/>
        </w:rPr>
      </w:pPr>
    </w:p>
    <w:p>
      <w:pPr>
        <w:ind w:left="1300" w:right="60" w:hanging="320"/>
        <w:spacing w:after="0" w:line="261" w:lineRule="auto"/>
        <w:tabs>
          <w:tab w:leader="none" w:pos="1289"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ind w:left="1300" w:right="600" w:hanging="320"/>
        <w:spacing w:after="0" w:line="269" w:lineRule="auto"/>
        <w:tabs>
          <w:tab w:leader="none" w:pos="13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w:t>
      </w:r>
    </w:p>
    <w:p>
      <w:pPr>
        <w:sectPr>
          <w:pgSz w:w="11900" w:h="16838" w:orient="portrait"/>
          <w:cols w:equalWidth="0" w:num="1">
            <w:col w:w="11240"/>
          </w:cols>
          <w:pgMar w:left="320" w:top="114" w:right="339" w:bottom="1440" w:gutter="0" w:footer="0" w:header="0"/>
        </w:sectPr>
      </w:pPr>
    </w:p>
    <w:bookmarkStart w:id="94" w:name="page95"/>
    <w:bookmarkEnd w:id="94"/>
    <w:p>
      <w:pPr>
        <w:spacing w:after="0" w:line="135" w:lineRule="exact"/>
        <w:rPr>
          <w:sz w:val="20"/>
          <w:szCs w:val="20"/>
          <w:color w:val="auto"/>
        </w:rPr>
      </w:pPr>
    </w:p>
    <w:p>
      <w:pPr>
        <w:ind w:left="1280" w:right="160"/>
        <w:spacing w:after="0" w:line="283" w:lineRule="auto"/>
        <w:rPr>
          <w:sz w:val="20"/>
          <w:szCs w:val="20"/>
          <w:color w:val="auto"/>
        </w:rPr>
      </w:pPr>
      <w:r>
        <w:rPr>
          <w:rFonts w:ascii="Times New Roman" w:cs="Times New Roman" w:eastAsia="Times New Roman" w:hAnsi="Times New Roman"/>
          <w:sz w:val="20"/>
          <w:szCs w:val="20"/>
          <w:color w:val="auto"/>
        </w:rPr>
        <w:t>the case of an annual report) that has materially affected, or is reasonably likely to materially affect, the registrant’s internal control over financial reporting; and</w:t>
      </w:r>
    </w:p>
    <w:p>
      <w:pPr>
        <w:spacing w:after="0" w:line="146" w:lineRule="exact"/>
        <w:rPr>
          <w:sz w:val="20"/>
          <w:szCs w:val="20"/>
          <w:color w:val="auto"/>
        </w:rPr>
      </w:pPr>
    </w:p>
    <w:p>
      <w:pPr>
        <w:ind w:left="640" w:right="60" w:hanging="328"/>
        <w:spacing w:after="0" w:line="261"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ind w:left="1280" w:right="340" w:hanging="320"/>
        <w:spacing w:after="0" w:line="261" w:lineRule="auto"/>
        <w:tabs>
          <w:tab w:leader="none" w:pos="126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20"/>
          <w:szCs w:val="20"/>
          <w:color w:val="auto"/>
        </w:rPr>
      </w:pPr>
    </w:p>
    <w:p>
      <w:pPr>
        <w:ind w:left="1280" w:right="740" w:hanging="320"/>
        <w:spacing w:after="0" w:line="269" w:lineRule="auto"/>
        <w:tabs>
          <w:tab w:leader="none" w:pos="128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6, 2025</w:t>
            </w:r>
          </w:p>
        </w:tc>
        <w:tc>
          <w:tcPr>
            <w:tcW w:w="7660" w:type="dxa"/>
            <w:vAlign w:val="bottom"/>
            <w:gridSpan w:val="2"/>
          </w:tcPr>
          <w:p>
            <w:pPr>
              <w:ind w:left="1600"/>
              <w:spacing w:after="0"/>
              <w:rPr>
                <w:sz w:val="20"/>
                <w:szCs w:val="20"/>
                <w:color w:val="auto"/>
              </w:rPr>
            </w:pPr>
            <w:r>
              <w:rPr>
                <w:rFonts w:ascii="Times New Roman" w:cs="Times New Roman" w:eastAsia="Times New Roman" w:hAnsi="Times New Roman"/>
                <w:sz w:val="20"/>
                <w:szCs w:val="20"/>
                <w:color w:val="auto"/>
              </w:rPr>
              <w:t>By: /s/ Scott W. Hart</w:t>
            </w:r>
          </w:p>
        </w:tc>
      </w:tr>
      <w:tr>
        <w:trPr>
          <w:trHeight w:val="244"/>
        </w:trPr>
        <w:tc>
          <w:tcPr>
            <w:tcW w:w="35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Scott W. Hart</w:t>
            </w:r>
          </w:p>
        </w:tc>
      </w:tr>
      <w:tr>
        <w:trPr>
          <w:trHeight w:val="253"/>
        </w:trPr>
        <w:tc>
          <w:tcPr>
            <w:tcW w:w="35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62"/>
        </w:trPr>
        <w:tc>
          <w:tcPr>
            <w:tcW w:w="35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ectPr>
          <w:pgSz w:w="11900" w:h="16838" w:orient="portrait"/>
          <w:cols w:equalWidth="0" w:num="1">
            <w:col w:w="11220"/>
          </w:cols>
          <w:pgMar w:left="340" w:top="1440" w:right="339" w:bottom="1440" w:gutter="0" w:footer="0" w:header="0"/>
        </w:sectPr>
      </w:pPr>
    </w:p>
    <w:bookmarkStart w:id="95" w:name="page96"/>
    <w:bookmarkEnd w:id="95"/>
    <w:p>
      <w:pPr>
        <w:ind w:left="10000"/>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CERTIFICATION BY THE CHIEF FINANCIAL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Y. Park, certify that:</w:t>
      </w:r>
    </w:p>
    <w:p>
      <w:pPr>
        <w:spacing w:after="0" w:line="229"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StepStone Group Inc.;</w:t>
      </w:r>
    </w:p>
    <w:p>
      <w:pPr>
        <w:spacing w:after="0" w:line="215"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89"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20"/>
          <w:szCs w:val="20"/>
          <w:color w:val="auto"/>
        </w:rPr>
      </w:pPr>
    </w:p>
    <w:p>
      <w:pPr>
        <w:ind w:left="1300" w:right="560" w:hanging="320"/>
        <w:spacing w:after="0" w:line="288" w:lineRule="auto"/>
        <w:tabs>
          <w:tab w:leader="none" w:pos="130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9"/>
          <w:szCs w:val="19"/>
          <w:color w:val="auto"/>
        </w:rPr>
      </w:pPr>
    </w:p>
    <w:p>
      <w:pPr>
        <w:ind w:left="1300" w:right="60" w:hanging="320"/>
        <w:spacing w:after="0" w:line="261" w:lineRule="auto"/>
        <w:tabs>
          <w:tab w:leader="none" w:pos="1289"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ind w:left="1300" w:right="80" w:hanging="320"/>
        <w:spacing w:after="0" w:line="261" w:lineRule="auto"/>
        <w:tabs>
          <w:tab w:leader="none" w:pos="130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14" w:right="339" w:bottom="1440" w:gutter="0" w:footer="0" w:header="0"/>
        </w:sectPr>
      </w:pPr>
    </w:p>
    <w:bookmarkStart w:id="96" w:name="page97"/>
    <w:bookmarkEnd w:id="96"/>
    <w:p>
      <w:pPr>
        <w:spacing w:after="0" w:line="351" w:lineRule="exact"/>
        <w:rPr>
          <w:sz w:val="20"/>
          <w:szCs w:val="20"/>
          <w:color w:val="auto"/>
        </w:rPr>
      </w:pPr>
    </w:p>
    <w:p>
      <w:pPr>
        <w:ind w:left="640" w:right="60" w:hanging="328"/>
        <w:spacing w:after="0" w:line="261" w:lineRule="auto"/>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ind w:left="1280" w:right="340" w:hanging="320"/>
        <w:spacing w:after="0" w:line="261" w:lineRule="auto"/>
        <w:tabs>
          <w:tab w:leader="none" w:pos="126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20"/>
          <w:szCs w:val="20"/>
          <w:color w:val="auto"/>
        </w:rPr>
      </w:pPr>
    </w:p>
    <w:p>
      <w:pPr>
        <w:ind w:left="1280" w:right="740" w:hanging="320"/>
        <w:spacing w:after="0" w:line="269" w:lineRule="auto"/>
        <w:tabs>
          <w:tab w:leader="none" w:pos="12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6, 2025</w:t>
            </w:r>
          </w:p>
        </w:tc>
        <w:tc>
          <w:tcPr>
            <w:tcW w:w="7660" w:type="dxa"/>
            <w:vAlign w:val="bottom"/>
            <w:gridSpan w:val="2"/>
          </w:tcPr>
          <w:p>
            <w:pPr>
              <w:ind w:left="1600"/>
              <w:spacing w:after="0"/>
              <w:rPr>
                <w:sz w:val="20"/>
                <w:szCs w:val="20"/>
                <w:color w:val="auto"/>
              </w:rPr>
            </w:pPr>
            <w:r>
              <w:rPr>
                <w:rFonts w:ascii="Times New Roman" w:cs="Times New Roman" w:eastAsia="Times New Roman" w:hAnsi="Times New Roman"/>
                <w:sz w:val="20"/>
                <w:szCs w:val="20"/>
                <w:color w:val="auto"/>
              </w:rPr>
              <w:t>By: /s/ David Y. Park</w:t>
            </w:r>
          </w:p>
        </w:tc>
      </w:tr>
      <w:tr>
        <w:trPr>
          <w:trHeight w:val="244"/>
        </w:trPr>
        <w:tc>
          <w:tcPr>
            <w:tcW w:w="35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David Y. Park</w:t>
            </w:r>
          </w:p>
        </w:tc>
      </w:tr>
      <w:tr>
        <w:trPr>
          <w:trHeight w:val="253"/>
        </w:trPr>
        <w:tc>
          <w:tcPr>
            <w:tcW w:w="35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2"/>
        </w:trPr>
        <w:tc>
          <w:tcPr>
            <w:tcW w:w="35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r>
    </w:tbl>
    <w:p>
      <w:pPr>
        <w:sectPr>
          <w:pgSz w:w="11900" w:h="16838" w:orient="portrait"/>
          <w:cols w:equalWidth="0" w:num="1">
            <w:col w:w="11220"/>
          </w:cols>
          <w:pgMar w:left="340" w:top="144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StepStone Group Inc. (the “Company”) on Form 10-Q for the three months ended September 30, 2025,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November 6, 2025</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Scott W. Hart</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StepStone Group Inc. (the “Company”) on Form 10-Q for the three months ended September 30, 2025, as filed with the Securities and Exchange Commission (the “SEC”) on or about the date hereof (the “Report”), I, David Y. Park, Chief Financial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November 6, 2025</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endash "/>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3"/>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decimal"/>
      <w:start w:val="1"/>
    </w:lvl>
    <w:lvl w:ilvl="1">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3"/>
    </w:lvl>
  </w:abstractNum>
  <w:abstractNum w:abstractNumId="27">
    <w:nsid w:val="153EA438"/>
    <w:multiLevelType w:val="hybridMultilevel"/>
    <w:lvl w:ilvl="0">
      <w:lvlJc w:val="left"/>
      <w:lvlText w:val="(%1)"/>
      <w:numFmt w:val="lowerLetter"/>
      <w:start w:val="5"/>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4"/>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3"/>
    </w:lvl>
    <w:lvl w:ilvl="1">
      <w:lvlJc w:val="left"/>
      <w:lvlText w:val="%2."/>
      <w:numFmt w:val="lowerRoman"/>
      <w:start w:val="1"/>
    </w:lvl>
  </w:abstractNum>
  <w:abstractNum w:abstractNumId="37">
    <w:nsid w:val="4B588F54"/>
    <w:multiLevelType w:val="hybridMultilevel"/>
    <w:lvl w:ilvl="0">
      <w:lvlJc w:val="left"/>
      <w:lvlText w:val="(%1)"/>
      <w:numFmt w:val="decimal"/>
      <w:start w:val="4"/>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lowerRoman"/>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101"/>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decimal"/>
      <w:start w:val="5"/>
    </w:lvl>
    <w:lvl w:ilvl="1">
      <w:lvlJc w:val="left"/>
      <w:lvlText w:val="%2."/>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5"/>
    </w:lvl>
    <w:lvl w:ilvl="1">
      <w:lvlJc w:val="left"/>
      <w:lvlText w:val="%2."/>
      <w:numFmt w:val="lowerLetter"/>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05" Type="http://schemas.openxmlformats.org/officeDocument/2006/relationships/hyperlink" Target="https://www.sec.gov/Archives/edgar/data/1796022/000179602225000068/ex31-certificateofamendmen.htm" TargetMode="External"/><Relationship Id="rId106" Type="http://schemas.openxmlformats.org/officeDocument/2006/relationships/hyperlink" Target="https://www.sec.gov/Archives/edgar/data/1796022/000179602225000072/ex31-certificateofamendmen.htm" TargetMode="External"/><Relationship Id="rId107" Type="http://schemas.openxmlformats.org/officeDocument/2006/relationships/hyperlink" Target="https://www.sec.gov/Archives/edgar/data/1796022/000179602225000072/ex32-restatedcertificateof.htm" TargetMode="External"/><Relationship Id="rId108" Type="http://schemas.openxmlformats.org/officeDocument/2006/relationships/hyperlink" Target="https://www.sec.gov/Archives/edgar/data/1796022/000179602223000011/exhibit32q3fy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2025-11-06T15:49:15Z</dcterms:created>
  <dcterms:modified xsi:type="dcterms:W3CDTF">2025-11-06T15:49:15Z</dcterms:modified>
</cp:coreProperties>
</file>