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StepStone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6,831,317.00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6,831,317.00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6,831,317.00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7,173,424.00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7,173,424.00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7,173,424.00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7,173,424.00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7,173,424.00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7,173,424.00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7,173,424.00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7,173,424.00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7,173,424.00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StepStone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 Park Avenue, 45th Floor, New York, New York 10172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80" w:firstLine="6"/>
        <w:spacing w:after="0" w:line="509" w:lineRule="auto"/>
        <w:tabs>
          <w:tab w:leader="none" w:pos="25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0"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60" w:orient="portrait"/>
          <w:cols w:equalWidth="0" w:num="1">
            <w:col w:w="11140"/>
          </w:cols>
          <w:pgMar w:left="360" w:top="112"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24, 2026,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$0.001 per share, of StepStone Group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2026-04-27T18:24:02Z</dcterms:created>
  <dcterms:modified xsi:type="dcterms:W3CDTF">2026-04-27T18:24:02Z</dcterms:modified>
</cp:coreProperties>
</file>