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59" w:lineRule="exact"/>
        <w:rPr>
          <w:sz w:val="24"/>
          <w:szCs w:val="24"/>
          <w:color w:val="auto"/>
        </w:rPr>
      </w:pPr>
    </w:p>
    <w:p>
      <w:pPr>
        <w:ind w:left="420" w:hanging="311"/>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March 31, 2022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8" w:lineRule="exact"/>
        <w:rPr>
          <w:sz w:val="24"/>
          <w:szCs w:val="24"/>
          <w:color w:val="auto"/>
        </w:rPr>
      </w:pPr>
    </w:p>
    <w:p>
      <w:pPr>
        <w:ind w:left="2520" w:right="2500" w:hanging="2411"/>
        <w:spacing w:after="0" w:line="416"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jc w:val="center"/>
        <w:spacing w:after="0"/>
        <w:rPr>
          <w:sz w:val="20"/>
          <w:szCs w:val="20"/>
          <w:color w:val="auto"/>
        </w:rPr>
      </w:pPr>
      <w:r>
        <w:rPr>
          <w:rFonts w:ascii="Arial" w:cs="Arial" w:eastAsia="Arial" w:hAnsi="Arial"/>
          <w:sz w:val="16"/>
          <w:szCs w:val="16"/>
          <w:color w:val="auto"/>
        </w:rPr>
        <w:t>Commission file number 001-39510</w:t>
      </w:r>
    </w:p>
    <w:p>
      <w:pPr>
        <w:spacing w:after="0" w:line="41" w:lineRule="exact"/>
        <w:rPr>
          <w:sz w:val="24"/>
          <w:szCs w:val="24"/>
          <w:color w:val="auto"/>
        </w:rPr>
      </w:pPr>
    </w:p>
    <w:tbl>
      <w:tblPr>
        <w:tblLayout w:type="fixed"/>
        <w:tblInd w:w="1540" w:type="dxa"/>
        <w:tblCellMar>
          <w:top w:w="0" w:type="dxa"/>
          <w:left w:w="0" w:type="dxa"/>
          <w:bottom w:w="0" w:type="dxa"/>
          <w:right w:w="0" w:type="dxa"/>
        </w:tblCellMar>
      </w:tblPr>
      <w:tr>
        <w:trPr>
          <w:trHeight w:val="421"/>
        </w:trPr>
        <w:tc>
          <w:tcPr>
            <w:tcW w:w="8200" w:type="dxa"/>
            <w:vAlign w:val="bottom"/>
            <w:gridSpan w:val="5"/>
          </w:tcPr>
          <w:p>
            <w:pPr>
              <w:jc w:val="right"/>
              <w:ind w:right="1928"/>
              <w:spacing w:after="0"/>
              <w:rPr>
                <w:sz w:val="20"/>
                <w:szCs w:val="20"/>
                <w:color w:val="auto"/>
              </w:rPr>
            </w:pPr>
            <w:r>
              <w:rPr>
                <w:rFonts w:ascii="Arial" w:cs="Arial" w:eastAsia="Arial" w:hAnsi="Arial"/>
                <w:sz w:val="32"/>
                <w:szCs w:val="32"/>
                <w:b w:val="1"/>
                <w:bCs w:val="1"/>
                <w:color w:val="auto"/>
              </w:rPr>
              <w:t>STEPSTONE GROUP INC.</w:t>
            </w:r>
          </w:p>
        </w:tc>
      </w:tr>
      <w:tr>
        <w:trPr>
          <w:trHeight w:val="202"/>
        </w:trPr>
        <w:tc>
          <w:tcPr>
            <w:tcW w:w="8200" w:type="dxa"/>
            <w:vAlign w:val="bottom"/>
            <w:gridSpan w:val="5"/>
          </w:tcPr>
          <w:p>
            <w:pPr>
              <w:jc w:val="right"/>
              <w:ind w:right="226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03"/>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508"/>
              <w:spacing w:after="0"/>
              <w:rPr>
                <w:sz w:val="20"/>
                <w:szCs w:val="20"/>
                <w:color w:val="auto"/>
              </w:rPr>
            </w:pPr>
            <w:r>
              <w:rPr>
                <w:rFonts w:ascii="Arial" w:cs="Arial" w:eastAsia="Arial" w:hAnsi="Arial"/>
                <w:sz w:val="14"/>
                <w:szCs w:val="14"/>
                <w:b w:val="1"/>
                <w:bCs w:val="1"/>
                <w:color w:val="auto"/>
              </w:rPr>
              <w:t>84-3868757</w:t>
            </w:r>
          </w:p>
        </w:tc>
      </w:tr>
      <w:tr>
        <w:trPr>
          <w:trHeight w:val="147"/>
        </w:trPr>
        <w:tc>
          <w:tcPr>
            <w:tcW w:w="3340" w:type="dxa"/>
            <w:vAlign w:val="bottom"/>
            <w:gridSpan w:val="2"/>
          </w:tcPr>
          <w:p>
            <w:pPr>
              <w:jc w:val="center"/>
              <w:ind w:right="92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jc w:val="right"/>
              <w:ind w:right="368"/>
              <w:spacing w:after="0" w:line="147" w:lineRule="exact"/>
              <w:rPr>
                <w:sz w:val="20"/>
                <w:szCs w:val="20"/>
                <w:color w:val="auto"/>
              </w:rPr>
            </w:pPr>
            <w:r>
              <w:rPr>
                <w:rFonts w:ascii="Arial" w:cs="Arial" w:eastAsia="Arial" w:hAnsi="Arial"/>
                <w:sz w:val="14"/>
                <w:szCs w:val="14"/>
                <w:color w:val="auto"/>
              </w:rPr>
              <w:t>(I.R.S. Employer</w:t>
            </w:r>
          </w:p>
        </w:tc>
      </w:tr>
      <w:tr>
        <w:trPr>
          <w:trHeight w:val="182"/>
        </w:trPr>
        <w:tc>
          <w:tcPr>
            <w:tcW w:w="3340" w:type="dxa"/>
            <w:vAlign w:val="bottom"/>
            <w:gridSpan w:val="2"/>
          </w:tcPr>
          <w:p>
            <w:pPr>
              <w:ind w:left="180"/>
              <w:spacing w:after="0"/>
              <w:rPr>
                <w:sz w:val="20"/>
                <w:szCs w:val="20"/>
                <w:color w:val="auto"/>
              </w:rPr>
            </w:pPr>
            <w:r>
              <w:rPr>
                <w:rFonts w:ascii="Arial" w:cs="Arial" w:eastAsia="Arial" w:hAnsi="Arial"/>
                <w:sz w:val="14"/>
                <w:szCs w:val="14"/>
                <w:color w:val="auto"/>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right"/>
              <w:ind w:right="488"/>
              <w:spacing w:after="0"/>
              <w:rPr>
                <w:sz w:val="20"/>
                <w:szCs w:val="20"/>
                <w:color w:val="auto"/>
              </w:rPr>
            </w:pPr>
            <w:r>
              <w:rPr>
                <w:rFonts w:ascii="Arial" w:cs="Arial" w:eastAsia="Arial" w:hAnsi="Arial"/>
                <w:sz w:val="14"/>
                <w:szCs w:val="14"/>
                <w:color w:val="auto"/>
              </w:rPr>
              <w:t>Identification No.)</w:t>
            </w:r>
          </w:p>
        </w:tc>
      </w:tr>
      <w:tr>
        <w:trPr>
          <w:trHeight w:val="332"/>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9"/>
        </w:trPr>
        <w:tc>
          <w:tcPr>
            <w:tcW w:w="33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688"/>
              <w:spacing w:after="0"/>
              <w:rPr>
                <w:sz w:val="20"/>
                <w:szCs w:val="20"/>
                <w:color w:val="auto"/>
              </w:rPr>
            </w:pPr>
            <w:r>
              <w:rPr>
                <w:rFonts w:ascii="Arial" w:cs="Arial" w:eastAsia="Arial" w:hAnsi="Arial"/>
                <w:sz w:val="14"/>
                <w:szCs w:val="14"/>
                <w:b w:val="1"/>
                <w:bCs w:val="1"/>
                <w:color w:val="auto"/>
              </w:rPr>
              <w:t>10017</w:t>
            </w:r>
          </w:p>
        </w:tc>
      </w:tr>
      <w:tr>
        <w:trPr>
          <w:trHeight w:val="189"/>
        </w:trPr>
        <w:tc>
          <w:tcPr>
            <w:tcW w:w="3340" w:type="dxa"/>
            <w:vAlign w:val="bottom"/>
            <w:gridSpan w:val="2"/>
          </w:tcPr>
          <w:p>
            <w:pPr>
              <w:jc w:val="center"/>
              <w:ind w:right="94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548"/>
              <w:spacing w:after="0"/>
              <w:rPr>
                <w:sz w:val="20"/>
                <w:szCs w:val="20"/>
                <w:color w:val="auto"/>
              </w:rPr>
            </w:pPr>
            <w:r>
              <w:rPr>
                <w:rFonts w:ascii="Arial" w:cs="Arial" w:eastAsia="Arial" w:hAnsi="Arial"/>
                <w:sz w:val="14"/>
                <w:szCs w:val="14"/>
                <w:color w:val="auto"/>
              </w:rPr>
              <w:t>(Zip Code)</w:t>
            </w:r>
          </w:p>
        </w:tc>
      </w:tr>
      <w:tr>
        <w:trPr>
          <w:trHeight w:val="236"/>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182"/>
        </w:trPr>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03"/>
        </w:trPr>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95"/>
        </w:trPr>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right"/>
              <w:ind w:right="388"/>
              <w:spacing w:after="0"/>
              <w:rPr>
                <w:sz w:val="20"/>
                <w:szCs w:val="20"/>
                <w:color w:val="auto"/>
              </w:rPr>
            </w:pPr>
            <w:r>
              <w:rPr>
                <w:rFonts w:ascii="Arial" w:cs="Arial" w:eastAsia="Arial" w:hAnsi="Arial"/>
                <w:sz w:val="14"/>
                <w:szCs w:val="14"/>
                <w:color w:val="auto"/>
              </w:rPr>
              <w:t>Name of each exchange on which registered</w:t>
            </w:r>
          </w:p>
        </w:tc>
      </w:tr>
      <w:tr>
        <w:trPr>
          <w:trHeight w:val="186"/>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111" w:lineRule="exact"/>
        <w:rPr>
          <w:sz w:val="24"/>
          <w:szCs w:val="24"/>
          <w:color w:val="auto"/>
        </w:rPr>
      </w:pPr>
    </w:p>
    <w:p>
      <w:pPr>
        <w:ind w:right="2600"/>
        <w:spacing w:after="0" w:line="25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spacing w:after="0" w:line="3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4"/>
        </w:trPr>
        <w:tc>
          <w:tcPr>
            <w:tcW w:w="1140" w:type="dxa"/>
            <w:vAlign w:val="bottom"/>
            <w:vMerge w:val="restart"/>
          </w:tcPr>
          <w:p>
            <w:pPr>
              <w:spacing w:after="0"/>
              <w:rPr>
                <w:sz w:val="20"/>
                <w:szCs w:val="20"/>
                <w:color w:val="auto"/>
              </w:rPr>
            </w:pPr>
            <w:r>
              <w:rPr>
                <w:rFonts w:ascii="Arial" w:cs="Arial" w:eastAsia="Arial" w:hAnsi="Arial"/>
                <w:sz w:val="16"/>
                <w:szCs w:val="16"/>
                <w:color w:val="auto"/>
              </w:rPr>
              <w:t>Act.</w:t>
            </w:r>
          </w:p>
        </w:tc>
        <w:tc>
          <w:tcPr>
            <w:tcW w:w="312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140" w:type="dxa"/>
            <w:vAlign w:val="bottom"/>
            <w:vMerge w:val="continue"/>
          </w:tcPr>
          <w:p>
            <w:pPr>
              <w:spacing w:after="0"/>
              <w:rPr>
                <w:sz w:val="7"/>
                <w:szCs w:val="7"/>
                <w:color w:val="auto"/>
              </w:rPr>
            </w:pPr>
          </w:p>
        </w:tc>
        <w:tc>
          <w:tcPr>
            <w:tcW w:w="3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315" w:lineRule="auto"/>
        <w:rPr>
          <w:sz w:val="20"/>
          <w:szCs w:val="20"/>
          <w:color w:val="auto"/>
        </w:rPr>
      </w:pPr>
      <w:r>
        <w:rPr>
          <w:rFonts w:ascii="Arial" w:cs="Arial" w:eastAsia="Arial" w:hAnsi="Arial"/>
          <w:sz w:val="14"/>
          <w:szCs w:val="14"/>
          <w:color w:val="auto"/>
        </w:rPr>
        <w:t>The aggregate market value of Class A common stock held by non-affiliates of the registrant on September 30, 2021, the last business day of the registrant’s most recently completed second fiscal quarter, was approximately $1,760.6 million, based on the closing price of $42.64 as reported by the Nasdaq Stock Market. As of May 25, 2022, there were 61,141,306 shares of the registrant’s Class A common stock and 47,149,673 shares of the registrant’s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Portions of the Registrant’s definitive proxy statement relating to its 2022 annual meeting of stockholders (the “2022 Proxy Statement”) are incorporated by reference into Part III of this Annual Report on Form 10-K where indicated. The 2022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60" w:type="dxa"/>
            <w:vAlign w:val="bottom"/>
            <w:gridSpan w:val="17"/>
          </w:tcPr>
          <w:p>
            <w:pPr>
              <w:ind w:left="44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2"/>
        </w:trPr>
        <w:tc>
          <w:tcPr>
            <w:tcW w:w="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Page</w:t>
            </w:r>
          </w:p>
        </w:tc>
      </w:tr>
      <w:tr>
        <w:trPr>
          <w:trHeight w:val="190"/>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40" w:type="dxa"/>
            <w:vAlign w:val="bottom"/>
            <w:gridSpan w:val="13"/>
            <w:shd w:val="clear" w:color="auto" w:fill="CCEEFF"/>
          </w:tcPr>
          <w:p>
            <w:pPr>
              <w:jc w:val="center"/>
              <w:ind w:right="4180"/>
              <w:spacing w:after="0" w:line="169" w:lineRule="exact"/>
              <w:rPr>
                <w:rFonts w:ascii="Arial" w:cs="Arial" w:eastAsia="Arial" w:hAnsi="Arial"/>
                <w:sz w:val="18"/>
                <w:szCs w:val="18"/>
                <w:b w:val="1"/>
                <w:bCs w:val="1"/>
                <w:color w:val="0000FF"/>
                <w:w w:val="98"/>
              </w:rPr>
            </w:pPr>
            <w:hyperlink w:anchor="page7">
              <w:r>
                <w:rPr>
                  <w:rFonts w:ascii="Arial" w:cs="Arial" w:eastAsia="Arial" w:hAnsi="Arial"/>
                  <w:sz w:val="18"/>
                  <w:szCs w:val="18"/>
                  <w:b w:val="1"/>
                  <w:bCs w:val="1"/>
                  <w:color w:val="0000FF"/>
                  <w:w w:val="98"/>
                </w:rPr>
                <w:t>PART I</w:t>
              </w:r>
            </w:hyperlink>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Item 1.</w:t>
            </w:r>
          </w:p>
        </w:tc>
        <w:tc>
          <w:tcPr>
            <w:tcW w:w="4460" w:type="dxa"/>
            <w:vAlign w:val="bottom"/>
            <w:tcBorders>
              <w:top w:val="single" w:sz="8" w:color="CCEEFF"/>
            </w:tcBorders>
            <w:gridSpan w:val="19"/>
          </w:tcPr>
          <w:p>
            <w:pPr>
              <w:ind w:left="28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16"/>
                <w:szCs w:val="16"/>
                <w:color w:val="auto"/>
              </w:rPr>
            </w:pPr>
          </w:p>
        </w:tc>
        <w:tc>
          <w:tcPr>
            <w:tcW w:w="4220" w:type="dxa"/>
            <w:vAlign w:val="bottom"/>
            <w:tcBorders>
              <w:top w:val="single" w:sz="8" w:color="CCEEFF"/>
            </w:tcBorders>
            <w:gridSpan w:val="10"/>
          </w:tcPr>
          <w:p>
            <w:pPr>
              <w:spacing w:after="0"/>
              <w:rPr>
                <w:sz w:val="16"/>
                <w:szCs w:val="16"/>
                <w:color w:val="auto"/>
              </w:rPr>
            </w:pPr>
          </w:p>
        </w:tc>
        <w:tc>
          <w:tcPr>
            <w:tcW w:w="620" w:type="dxa"/>
            <w:vAlign w:val="bottom"/>
            <w:tcBorders>
              <w:top w:val="single" w:sz="8" w:color="CCEEFF"/>
            </w:tcBorders>
            <w:gridSpan w:val="5"/>
          </w:tcPr>
          <w:p>
            <w:pPr>
              <w:jc w:val="center"/>
              <w:ind w:left="37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1A.</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Risk Factors</w:t>
              </w:r>
            </w:hyperlink>
          </w:p>
        </w:tc>
        <w:tc>
          <w:tcPr>
            <w:tcW w:w="680" w:type="dxa"/>
            <w:vAlign w:val="bottom"/>
            <w:gridSpan w:val="6"/>
            <w:shd w:val="clear" w:color="auto" w:fill="CCEEFF"/>
          </w:tcPr>
          <w:p>
            <w:pPr>
              <w:jc w:val="center"/>
              <w:ind w:left="290"/>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8"/>
                <w:szCs w:val="18"/>
                <w:color w:val="auto"/>
              </w:rPr>
              <w:t>Item 1B.</w:t>
            </w:r>
          </w:p>
        </w:tc>
        <w:tc>
          <w:tcPr>
            <w:tcW w:w="9260" w:type="dxa"/>
            <w:vAlign w:val="bottom"/>
            <w:gridSpan w:val="31"/>
          </w:tcPr>
          <w:p>
            <w:pPr>
              <w:ind w:left="280"/>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Unresolved Staff Comments</w:t>
              </w:r>
            </w:hyperlink>
          </w:p>
        </w:tc>
        <w:tc>
          <w:tcPr>
            <w:tcW w:w="680" w:type="dxa"/>
            <w:vAlign w:val="bottom"/>
            <w:gridSpan w:val="6"/>
          </w:tcPr>
          <w:p>
            <w:pPr>
              <w:jc w:val="center"/>
              <w:ind w:left="290"/>
              <w:spacing w:after="0" w:line="189"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Properties</w:t>
              </w:r>
            </w:hyperlink>
          </w:p>
        </w:tc>
        <w:tc>
          <w:tcPr>
            <w:tcW w:w="680" w:type="dxa"/>
            <w:vAlign w:val="bottom"/>
            <w:gridSpan w:val="6"/>
            <w:shd w:val="clear" w:color="auto" w:fill="CCEEFF"/>
          </w:tcPr>
          <w:p>
            <w:pPr>
              <w:jc w:val="center"/>
              <w:ind w:left="290"/>
              <w:spacing w:after="0" w:line="189"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8"/>
                <w:szCs w:val="18"/>
                <w:color w:val="auto"/>
              </w:rPr>
              <w:t>Item 3.</w:t>
            </w:r>
          </w:p>
        </w:tc>
        <w:tc>
          <w:tcPr>
            <w:tcW w:w="9260" w:type="dxa"/>
            <w:vAlign w:val="bottom"/>
            <w:gridSpan w:val="31"/>
          </w:tcPr>
          <w:p>
            <w:pPr>
              <w:ind w:left="280"/>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Legal Proceedings</w:t>
              </w:r>
            </w:hyperlink>
          </w:p>
        </w:tc>
        <w:tc>
          <w:tcPr>
            <w:tcW w:w="680" w:type="dxa"/>
            <w:vAlign w:val="bottom"/>
            <w:gridSpan w:val="6"/>
          </w:tcPr>
          <w:p>
            <w:pPr>
              <w:jc w:val="center"/>
              <w:ind w:left="290"/>
              <w:spacing w:after="0" w:line="189"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Mine Safety Disclosures</w:t>
              </w:r>
            </w:hyperlink>
          </w:p>
        </w:tc>
        <w:tc>
          <w:tcPr>
            <w:tcW w:w="680" w:type="dxa"/>
            <w:vAlign w:val="bottom"/>
            <w:gridSpan w:val="6"/>
            <w:shd w:val="clear" w:color="auto" w:fill="CCEEFF"/>
          </w:tcPr>
          <w:p>
            <w:pPr>
              <w:jc w:val="center"/>
              <w:ind w:left="290"/>
              <w:spacing w:after="0" w:line="189"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42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0000FF"/>
            </w:tcBorders>
            <w:gridSpan w:val="4"/>
            <w:shd w:val="clear" w:color="auto" w:fill="CCEEFF"/>
          </w:tcPr>
          <w:p>
            <w:pPr>
              <w:jc w:val="center"/>
              <w:spacing w:after="0" w:line="189" w:lineRule="exact"/>
              <w:rPr>
                <w:rFonts w:ascii="Arial" w:cs="Arial" w:eastAsia="Arial" w:hAnsi="Arial"/>
                <w:sz w:val="18"/>
                <w:szCs w:val="18"/>
                <w:b w:val="1"/>
                <w:bCs w:val="1"/>
                <w:color w:val="0000FF"/>
              </w:rPr>
            </w:pPr>
            <w:hyperlink w:anchor="page69">
              <w:r>
                <w:rPr>
                  <w:rFonts w:ascii="Arial" w:cs="Arial" w:eastAsia="Arial" w:hAnsi="Arial"/>
                  <w:sz w:val="18"/>
                  <w:szCs w:val="18"/>
                  <w:b w:val="1"/>
                  <w:bCs w:val="1"/>
                  <w:color w:val="0000FF"/>
                </w:rPr>
                <w:t>PART II</w:t>
              </w:r>
            </w:hyperlink>
          </w:p>
        </w:tc>
        <w:tc>
          <w:tcPr>
            <w:tcW w:w="4180" w:type="dxa"/>
            <w:vAlign w:val="bottom"/>
            <w:tcBorders>
              <w:bottom w:val="single" w:sz="8" w:color="CCEEFF"/>
            </w:tcBorders>
            <w:gridSpan w:val="9"/>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8"/>
                <w:szCs w:val="18"/>
                <w:color w:val="auto"/>
              </w:rPr>
              <w:t>Item 5.</w:t>
            </w:r>
          </w:p>
        </w:tc>
        <w:tc>
          <w:tcPr>
            <w:tcW w:w="9260" w:type="dxa"/>
            <w:vAlign w:val="bottom"/>
            <w:gridSpan w:val="31"/>
          </w:tcPr>
          <w:p>
            <w:pPr>
              <w:ind w:left="280"/>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Market for Registrant’s Common Equity, Related Stockholder Matters and Issuer Purchases of Equity Securities</w:t>
              </w:r>
            </w:hyperlink>
          </w:p>
        </w:tc>
        <w:tc>
          <w:tcPr>
            <w:tcW w:w="680" w:type="dxa"/>
            <w:vAlign w:val="bottom"/>
            <w:gridSpan w:val="6"/>
          </w:tcPr>
          <w:p>
            <w:pPr>
              <w:jc w:val="center"/>
              <w:ind w:left="290"/>
              <w:spacing w:after="0" w:line="189"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70</w:t>
              </w:r>
            </w:hyperlink>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6.</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[Reserved]</w:t>
              </w:r>
            </w:hyperlink>
          </w:p>
        </w:tc>
        <w:tc>
          <w:tcPr>
            <w:tcW w:w="680" w:type="dxa"/>
            <w:vAlign w:val="bottom"/>
            <w:gridSpan w:val="6"/>
            <w:shd w:val="clear" w:color="auto" w:fill="CCEEFF"/>
          </w:tcPr>
          <w:p>
            <w:pPr>
              <w:jc w:val="center"/>
              <w:ind w:left="290"/>
              <w:spacing w:after="0" w:line="189"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73</w:t>
              </w:r>
            </w:hyperlink>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8"/>
                <w:szCs w:val="18"/>
                <w:color w:val="auto"/>
              </w:rPr>
              <w:t>Item 7.</w:t>
            </w:r>
          </w:p>
        </w:tc>
        <w:tc>
          <w:tcPr>
            <w:tcW w:w="9260" w:type="dxa"/>
            <w:vAlign w:val="bottom"/>
            <w:gridSpan w:val="31"/>
          </w:tcPr>
          <w:p>
            <w:pPr>
              <w:ind w:left="28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Management’s Discussion and Analysis of Financial Condition and Results of Operations</w:t>
              </w:r>
            </w:hyperlink>
          </w:p>
        </w:tc>
        <w:tc>
          <w:tcPr>
            <w:tcW w:w="680" w:type="dxa"/>
            <w:vAlign w:val="bottom"/>
            <w:gridSpan w:val="6"/>
          </w:tcPr>
          <w:p>
            <w:pPr>
              <w:jc w:val="center"/>
              <w:ind w:left="290"/>
              <w:spacing w:after="0" w:line="189"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74</w:t>
              </w:r>
            </w:hyperlink>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7A.</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Quantitative and Qualitative Disclosures About Market Risk</w:t>
              </w:r>
            </w:hyperlink>
          </w:p>
        </w:tc>
        <w:tc>
          <w:tcPr>
            <w:tcW w:w="680" w:type="dxa"/>
            <w:vAlign w:val="bottom"/>
            <w:gridSpan w:val="6"/>
            <w:shd w:val="clear" w:color="auto" w:fill="CCEEFF"/>
          </w:tcPr>
          <w:p>
            <w:pPr>
              <w:jc w:val="center"/>
              <w:ind w:left="310"/>
              <w:spacing w:after="0" w:line="189" w:lineRule="exact"/>
              <w:rPr>
                <w:rFonts w:ascii="Arial" w:cs="Arial" w:eastAsia="Arial" w:hAnsi="Arial"/>
                <w:sz w:val="18"/>
                <w:szCs w:val="18"/>
                <w:color w:val="0000FF"/>
                <w:w w:val="93"/>
              </w:rPr>
            </w:pPr>
            <w:hyperlink w:anchor="page116">
              <w:r>
                <w:rPr>
                  <w:rFonts w:ascii="Arial" w:cs="Arial" w:eastAsia="Arial" w:hAnsi="Arial"/>
                  <w:sz w:val="18"/>
                  <w:szCs w:val="18"/>
                  <w:color w:val="0000FF"/>
                  <w:w w:val="93"/>
                </w:rPr>
                <w:t>116</w:t>
              </w:r>
            </w:hyperlink>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8"/>
                <w:szCs w:val="18"/>
                <w:color w:val="auto"/>
              </w:rPr>
              <w:t>Item 8.</w:t>
            </w:r>
          </w:p>
        </w:tc>
        <w:tc>
          <w:tcPr>
            <w:tcW w:w="9260" w:type="dxa"/>
            <w:vAlign w:val="bottom"/>
            <w:gridSpan w:val="31"/>
          </w:tcPr>
          <w:p>
            <w:pPr>
              <w:ind w:left="280"/>
              <w:spacing w:after="0" w:line="189" w:lineRule="exact"/>
              <w:rPr>
                <w:rFonts w:ascii="Arial" w:cs="Arial" w:eastAsia="Arial" w:hAnsi="Arial"/>
                <w:sz w:val="18"/>
                <w:szCs w:val="18"/>
                <w:color w:val="0000FF"/>
              </w:rPr>
            </w:pPr>
            <w:hyperlink w:anchor="page118">
              <w:r>
                <w:rPr>
                  <w:rFonts w:ascii="Arial" w:cs="Arial" w:eastAsia="Arial" w:hAnsi="Arial"/>
                  <w:sz w:val="18"/>
                  <w:szCs w:val="18"/>
                  <w:color w:val="0000FF"/>
                </w:rPr>
                <w:t>Financial Statements and Supplementary Data</w:t>
              </w:r>
            </w:hyperlink>
          </w:p>
        </w:tc>
        <w:tc>
          <w:tcPr>
            <w:tcW w:w="680" w:type="dxa"/>
            <w:vAlign w:val="bottom"/>
            <w:gridSpan w:val="6"/>
          </w:tcPr>
          <w:p>
            <w:pPr>
              <w:jc w:val="center"/>
              <w:ind w:left="310"/>
              <w:spacing w:after="0" w:line="189" w:lineRule="exact"/>
              <w:rPr>
                <w:rFonts w:ascii="Arial" w:cs="Arial" w:eastAsia="Arial" w:hAnsi="Arial"/>
                <w:sz w:val="18"/>
                <w:szCs w:val="18"/>
                <w:color w:val="0000FF"/>
                <w:w w:val="93"/>
              </w:rPr>
            </w:pPr>
            <w:hyperlink w:anchor="page118">
              <w:r>
                <w:rPr>
                  <w:rFonts w:ascii="Arial" w:cs="Arial" w:eastAsia="Arial" w:hAnsi="Arial"/>
                  <w:sz w:val="18"/>
                  <w:szCs w:val="18"/>
                  <w:color w:val="0000FF"/>
                  <w:w w:val="93"/>
                </w:rPr>
                <w:t>119</w:t>
              </w:r>
            </w:hyperlink>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9.</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171">
              <w:r>
                <w:rPr>
                  <w:rFonts w:ascii="Arial" w:cs="Arial" w:eastAsia="Arial" w:hAnsi="Arial"/>
                  <w:sz w:val="18"/>
                  <w:szCs w:val="18"/>
                  <w:color w:val="0000FF"/>
                </w:rPr>
                <w:t>Changes in and Disagreements with Accountants on Accounting and Financial Disclosure</w:t>
              </w:r>
            </w:hyperlink>
          </w:p>
        </w:tc>
        <w:tc>
          <w:tcPr>
            <w:tcW w:w="1100" w:type="dxa"/>
            <w:vAlign w:val="bottom"/>
            <w:gridSpan w:val="7"/>
            <w:shd w:val="clear" w:color="auto" w:fill="CCEEFF"/>
          </w:tcPr>
          <w:p>
            <w:pPr>
              <w:jc w:val="center"/>
              <w:ind w:right="20"/>
              <w:spacing w:after="0" w:line="189" w:lineRule="exact"/>
              <w:rPr>
                <w:rFonts w:ascii="Arial" w:cs="Arial" w:eastAsia="Arial" w:hAnsi="Arial"/>
                <w:sz w:val="18"/>
                <w:szCs w:val="18"/>
                <w:color w:val="0000FF"/>
                <w:w w:val="93"/>
              </w:rPr>
            </w:pPr>
            <w:hyperlink w:anchor="page171">
              <w:r>
                <w:rPr>
                  <w:rFonts w:ascii="Arial" w:cs="Arial" w:eastAsia="Arial" w:hAnsi="Arial"/>
                  <w:sz w:val="18"/>
                  <w:szCs w:val="18"/>
                  <w:color w:val="0000FF"/>
                  <w:w w:val="93"/>
                </w:rPr>
                <w:t>172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8"/>
                <w:szCs w:val="18"/>
                <w:color w:val="auto"/>
              </w:rPr>
              <w:t>Item 9A.</w:t>
            </w:r>
          </w:p>
        </w:tc>
        <w:tc>
          <w:tcPr>
            <w:tcW w:w="9260" w:type="dxa"/>
            <w:vAlign w:val="bottom"/>
            <w:gridSpan w:val="31"/>
          </w:tcPr>
          <w:p>
            <w:pPr>
              <w:ind w:left="280"/>
              <w:spacing w:after="0" w:line="189" w:lineRule="exact"/>
              <w:rPr>
                <w:rFonts w:ascii="Arial" w:cs="Arial" w:eastAsia="Arial" w:hAnsi="Arial"/>
                <w:sz w:val="18"/>
                <w:szCs w:val="18"/>
                <w:color w:val="0000FF"/>
              </w:rPr>
            </w:pPr>
            <w:hyperlink w:anchor="page172">
              <w:r>
                <w:rPr>
                  <w:rFonts w:ascii="Arial" w:cs="Arial" w:eastAsia="Arial" w:hAnsi="Arial"/>
                  <w:sz w:val="18"/>
                  <w:szCs w:val="18"/>
                  <w:color w:val="0000FF"/>
                </w:rPr>
                <w:t>Controls and Procedures</w:t>
              </w:r>
            </w:hyperlink>
          </w:p>
        </w:tc>
        <w:tc>
          <w:tcPr>
            <w:tcW w:w="1100" w:type="dxa"/>
            <w:vAlign w:val="bottom"/>
            <w:gridSpan w:val="7"/>
          </w:tcPr>
          <w:p>
            <w:pPr>
              <w:jc w:val="center"/>
              <w:ind w:right="20"/>
              <w:spacing w:after="0" w:line="189" w:lineRule="exact"/>
              <w:rPr>
                <w:rFonts w:ascii="Arial" w:cs="Arial" w:eastAsia="Arial" w:hAnsi="Arial"/>
                <w:sz w:val="18"/>
                <w:szCs w:val="18"/>
                <w:color w:val="0000FF"/>
                <w:w w:val="93"/>
              </w:rPr>
            </w:pPr>
            <w:hyperlink w:anchor="page172">
              <w:r>
                <w:rPr>
                  <w:rFonts w:ascii="Arial" w:cs="Arial" w:eastAsia="Arial" w:hAnsi="Arial"/>
                  <w:sz w:val="18"/>
                  <w:szCs w:val="18"/>
                  <w:color w:val="0000FF"/>
                  <w:w w:val="93"/>
                </w:rPr>
                <w:t>172</w:t>
              </w:r>
            </w:hyperlink>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9B.</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173">
              <w:r>
                <w:rPr>
                  <w:rFonts w:ascii="Arial" w:cs="Arial" w:eastAsia="Arial" w:hAnsi="Arial"/>
                  <w:sz w:val="18"/>
                  <w:szCs w:val="18"/>
                  <w:color w:val="0000FF"/>
                </w:rPr>
                <w:t>Other Information</w:t>
              </w:r>
            </w:hyperlink>
          </w:p>
        </w:tc>
        <w:tc>
          <w:tcPr>
            <w:tcW w:w="1100" w:type="dxa"/>
            <w:vAlign w:val="bottom"/>
            <w:gridSpan w:val="7"/>
            <w:shd w:val="clear" w:color="auto" w:fill="CCEEFF"/>
          </w:tcPr>
          <w:p>
            <w:pPr>
              <w:jc w:val="center"/>
              <w:ind w:right="20"/>
              <w:spacing w:after="0" w:line="189" w:lineRule="exact"/>
              <w:rPr>
                <w:rFonts w:ascii="Arial" w:cs="Arial" w:eastAsia="Arial" w:hAnsi="Arial"/>
                <w:sz w:val="18"/>
                <w:szCs w:val="18"/>
                <w:color w:val="0000FF"/>
                <w:w w:val="93"/>
              </w:rPr>
            </w:pPr>
            <w:hyperlink w:anchor="page173">
              <w:r>
                <w:rPr>
                  <w:rFonts w:ascii="Arial" w:cs="Arial" w:eastAsia="Arial" w:hAnsi="Arial"/>
                  <w:sz w:val="18"/>
                  <w:szCs w:val="18"/>
                  <w:color w:val="0000FF"/>
                  <w:w w:val="93"/>
                </w:rPr>
                <w:t>173</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8"/>
                <w:szCs w:val="18"/>
                <w:color w:val="auto"/>
              </w:rPr>
              <w:t>Item 9C.</w:t>
            </w:r>
          </w:p>
        </w:tc>
        <w:tc>
          <w:tcPr>
            <w:tcW w:w="9260" w:type="dxa"/>
            <w:vAlign w:val="bottom"/>
            <w:gridSpan w:val="31"/>
          </w:tcPr>
          <w:p>
            <w:pPr>
              <w:ind w:left="280"/>
              <w:spacing w:after="0" w:line="189" w:lineRule="exact"/>
              <w:rPr>
                <w:rFonts w:ascii="Arial" w:cs="Arial" w:eastAsia="Arial" w:hAnsi="Arial"/>
                <w:sz w:val="18"/>
                <w:szCs w:val="18"/>
                <w:color w:val="0000FF"/>
              </w:rPr>
            </w:pPr>
            <w:hyperlink w:anchor="page173">
              <w:r>
                <w:rPr>
                  <w:rFonts w:ascii="Arial" w:cs="Arial" w:eastAsia="Arial" w:hAnsi="Arial"/>
                  <w:sz w:val="18"/>
                  <w:szCs w:val="18"/>
                  <w:color w:val="0000FF"/>
                </w:rPr>
                <w:t>Disclosure Regarding Foreign Jurisdictions that Prevent Inspections</w:t>
              </w:r>
            </w:hyperlink>
          </w:p>
        </w:tc>
        <w:tc>
          <w:tcPr>
            <w:tcW w:w="1100" w:type="dxa"/>
            <w:vAlign w:val="bottom"/>
            <w:gridSpan w:val="7"/>
          </w:tcPr>
          <w:p>
            <w:pPr>
              <w:jc w:val="center"/>
              <w:ind w:right="20"/>
              <w:spacing w:after="0" w:line="189" w:lineRule="exact"/>
              <w:rPr>
                <w:rFonts w:ascii="Arial" w:cs="Arial" w:eastAsia="Arial" w:hAnsi="Arial"/>
                <w:sz w:val="18"/>
                <w:szCs w:val="18"/>
                <w:color w:val="0000FF"/>
                <w:w w:val="93"/>
              </w:rPr>
            </w:pPr>
            <w:hyperlink w:anchor="page173">
              <w:r>
                <w:rPr>
                  <w:rFonts w:ascii="Arial" w:cs="Arial" w:eastAsia="Arial" w:hAnsi="Arial"/>
                  <w:sz w:val="18"/>
                  <w:szCs w:val="18"/>
                  <w:color w:val="0000FF"/>
                  <w:w w:val="93"/>
                </w:rPr>
                <w:t>173</w:t>
              </w:r>
            </w:hyperlink>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00" w:type="dxa"/>
            <w:vAlign w:val="bottom"/>
            <w:gridSpan w:val="16"/>
          </w:tcPr>
          <w:p>
            <w:pPr>
              <w:jc w:val="center"/>
              <w:ind w:right="4120"/>
              <w:spacing w:after="0" w:line="189" w:lineRule="exact"/>
              <w:rPr>
                <w:rFonts w:ascii="Arial" w:cs="Arial" w:eastAsia="Arial" w:hAnsi="Arial"/>
                <w:sz w:val="18"/>
                <w:szCs w:val="18"/>
                <w:b w:val="1"/>
                <w:bCs w:val="1"/>
                <w:color w:val="0000FF"/>
              </w:rPr>
            </w:pPr>
            <w:hyperlink w:anchor="page173">
              <w:r>
                <w:rPr>
                  <w:rFonts w:ascii="Arial" w:cs="Arial" w:eastAsia="Arial" w:hAnsi="Arial"/>
                  <w:sz w:val="18"/>
                  <w:szCs w:val="18"/>
                  <w:b w:val="1"/>
                  <w:bCs w:val="1"/>
                  <w:color w:val="0000FF"/>
                </w:rPr>
                <w:t>PART III</w:t>
              </w:r>
            </w:hyperlink>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10.</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174">
              <w:r>
                <w:rPr>
                  <w:rFonts w:ascii="Arial" w:cs="Arial" w:eastAsia="Arial" w:hAnsi="Arial"/>
                  <w:sz w:val="18"/>
                  <w:szCs w:val="18"/>
                  <w:color w:val="0000FF"/>
                </w:rPr>
                <w:t>Directors, Executive Officers and Corporate Governance</w:t>
              </w:r>
            </w:hyperlink>
          </w:p>
        </w:tc>
        <w:tc>
          <w:tcPr>
            <w:tcW w:w="1100" w:type="dxa"/>
            <w:vAlign w:val="bottom"/>
            <w:gridSpan w:val="7"/>
            <w:shd w:val="clear" w:color="auto" w:fill="CCEEFF"/>
          </w:tcPr>
          <w:p>
            <w:pPr>
              <w:jc w:val="center"/>
              <w:ind w:right="20"/>
              <w:spacing w:after="0" w:line="189" w:lineRule="exact"/>
              <w:rPr>
                <w:rFonts w:ascii="Arial" w:cs="Arial" w:eastAsia="Arial" w:hAnsi="Arial"/>
                <w:sz w:val="18"/>
                <w:szCs w:val="18"/>
                <w:color w:val="0000FF"/>
                <w:w w:val="93"/>
              </w:rPr>
            </w:pPr>
            <w:hyperlink w:anchor="page174">
              <w:r>
                <w:rPr>
                  <w:rFonts w:ascii="Arial" w:cs="Arial" w:eastAsia="Arial" w:hAnsi="Arial"/>
                  <w:sz w:val="18"/>
                  <w:szCs w:val="18"/>
                  <w:color w:val="0000FF"/>
                  <w:w w:val="93"/>
                </w:rPr>
                <w:t>174</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8"/>
                <w:szCs w:val="18"/>
                <w:color w:val="auto"/>
              </w:rPr>
              <w:t>Item 11.</w:t>
            </w:r>
          </w:p>
        </w:tc>
        <w:tc>
          <w:tcPr>
            <w:tcW w:w="9260" w:type="dxa"/>
            <w:vAlign w:val="bottom"/>
            <w:gridSpan w:val="31"/>
          </w:tcPr>
          <w:p>
            <w:pPr>
              <w:ind w:left="280"/>
              <w:spacing w:after="0" w:line="189" w:lineRule="exact"/>
              <w:rPr>
                <w:rFonts w:ascii="Arial" w:cs="Arial" w:eastAsia="Arial" w:hAnsi="Arial"/>
                <w:sz w:val="18"/>
                <w:szCs w:val="18"/>
                <w:color w:val="0000FF"/>
              </w:rPr>
            </w:pPr>
            <w:hyperlink w:anchor="page174">
              <w:r>
                <w:rPr>
                  <w:rFonts w:ascii="Arial" w:cs="Arial" w:eastAsia="Arial" w:hAnsi="Arial"/>
                  <w:sz w:val="18"/>
                  <w:szCs w:val="18"/>
                  <w:color w:val="0000FF"/>
                </w:rPr>
                <w:t>Executive Compensation</w:t>
              </w:r>
            </w:hyperlink>
          </w:p>
        </w:tc>
        <w:tc>
          <w:tcPr>
            <w:tcW w:w="1100" w:type="dxa"/>
            <w:vAlign w:val="bottom"/>
            <w:gridSpan w:val="7"/>
          </w:tcPr>
          <w:p>
            <w:pPr>
              <w:jc w:val="center"/>
              <w:ind w:right="20"/>
              <w:spacing w:after="0" w:line="189" w:lineRule="exact"/>
              <w:rPr>
                <w:rFonts w:ascii="Arial" w:cs="Arial" w:eastAsia="Arial" w:hAnsi="Arial"/>
                <w:sz w:val="18"/>
                <w:szCs w:val="18"/>
                <w:color w:val="0000FF"/>
                <w:w w:val="93"/>
              </w:rPr>
            </w:pPr>
            <w:hyperlink w:anchor="page174">
              <w:r>
                <w:rPr>
                  <w:rFonts w:ascii="Arial" w:cs="Arial" w:eastAsia="Arial" w:hAnsi="Arial"/>
                  <w:sz w:val="18"/>
                  <w:szCs w:val="18"/>
                  <w:color w:val="0000FF"/>
                  <w:w w:val="93"/>
                </w:rPr>
                <w:t>174</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12.</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174">
              <w:r>
                <w:rPr>
                  <w:rFonts w:ascii="Arial" w:cs="Arial" w:eastAsia="Arial" w:hAnsi="Arial"/>
                  <w:sz w:val="18"/>
                  <w:szCs w:val="18"/>
                  <w:color w:val="0000FF"/>
                </w:rPr>
                <w:t>Security Ownership of Certain Beneficial Owners and Management and Related Stockholder Matters</w:t>
              </w:r>
            </w:hyperlink>
          </w:p>
        </w:tc>
        <w:tc>
          <w:tcPr>
            <w:tcW w:w="1100" w:type="dxa"/>
            <w:vAlign w:val="bottom"/>
            <w:gridSpan w:val="7"/>
            <w:shd w:val="clear" w:color="auto" w:fill="CCEEFF"/>
          </w:tcPr>
          <w:p>
            <w:pPr>
              <w:jc w:val="center"/>
              <w:ind w:right="20"/>
              <w:spacing w:after="0" w:line="189" w:lineRule="exact"/>
              <w:rPr>
                <w:rFonts w:ascii="Arial" w:cs="Arial" w:eastAsia="Arial" w:hAnsi="Arial"/>
                <w:sz w:val="18"/>
                <w:szCs w:val="18"/>
                <w:color w:val="0000FF"/>
                <w:w w:val="93"/>
              </w:rPr>
            </w:pPr>
            <w:hyperlink w:anchor="page174">
              <w:r>
                <w:rPr>
                  <w:rFonts w:ascii="Arial" w:cs="Arial" w:eastAsia="Arial" w:hAnsi="Arial"/>
                  <w:sz w:val="18"/>
                  <w:szCs w:val="18"/>
                  <w:color w:val="0000FF"/>
                  <w:w w:val="93"/>
                </w:rPr>
                <w:t>174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line="189" w:lineRule="exact"/>
              <w:rPr>
                <w:sz w:val="20"/>
                <w:szCs w:val="20"/>
                <w:color w:val="auto"/>
              </w:rPr>
            </w:pPr>
            <w:r>
              <w:rPr>
                <w:rFonts w:ascii="Arial" w:cs="Arial" w:eastAsia="Arial" w:hAnsi="Arial"/>
                <w:sz w:val="18"/>
                <w:szCs w:val="18"/>
                <w:color w:val="auto"/>
              </w:rPr>
              <w:t>Item 13.</w:t>
            </w:r>
          </w:p>
        </w:tc>
        <w:tc>
          <w:tcPr>
            <w:tcW w:w="9260" w:type="dxa"/>
            <w:vAlign w:val="bottom"/>
            <w:gridSpan w:val="31"/>
          </w:tcPr>
          <w:p>
            <w:pPr>
              <w:ind w:left="280"/>
              <w:spacing w:after="0" w:line="189" w:lineRule="exact"/>
              <w:rPr>
                <w:rFonts w:ascii="Arial" w:cs="Arial" w:eastAsia="Arial" w:hAnsi="Arial"/>
                <w:sz w:val="18"/>
                <w:szCs w:val="18"/>
                <w:color w:val="0000FF"/>
              </w:rPr>
            </w:pPr>
            <w:hyperlink w:anchor="page174">
              <w:r>
                <w:rPr>
                  <w:rFonts w:ascii="Arial" w:cs="Arial" w:eastAsia="Arial" w:hAnsi="Arial"/>
                  <w:sz w:val="18"/>
                  <w:szCs w:val="18"/>
                  <w:color w:val="0000FF"/>
                </w:rPr>
                <w:t>Certain Relationships and Related Transactions, and Director Independence</w:t>
              </w:r>
            </w:hyperlink>
          </w:p>
        </w:tc>
        <w:tc>
          <w:tcPr>
            <w:tcW w:w="1100" w:type="dxa"/>
            <w:vAlign w:val="bottom"/>
            <w:gridSpan w:val="7"/>
          </w:tcPr>
          <w:p>
            <w:pPr>
              <w:jc w:val="center"/>
              <w:ind w:right="20"/>
              <w:spacing w:after="0" w:line="189" w:lineRule="exact"/>
              <w:rPr>
                <w:rFonts w:ascii="Arial" w:cs="Arial" w:eastAsia="Arial" w:hAnsi="Arial"/>
                <w:sz w:val="18"/>
                <w:szCs w:val="18"/>
                <w:color w:val="0000FF"/>
                <w:w w:val="93"/>
              </w:rPr>
            </w:pPr>
            <w:hyperlink w:anchor="page174">
              <w:r>
                <w:rPr>
                  <w:rFonts w:ascii="Arial" w:cs="Arial" w:eastAsia="Arial" w:hAnsi="Arial"/>
                  <w:sz w:val="18"/>
                  <w:szCs w:val="18"/>
                  <w:color w:val="0000FF"/>
                  <w:w w:val="93"/>
                </w:rPr>
                <w:t>175</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14.</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175">
              <w:r>
                <w:rPr>
                  <w:rFonts w:ascii="Arial" w:cs="Arial" w:eastAsia="Arial" w:hAnsi="Arial"/>
                  <w:sz w:val="18"/>
                  <w:szCs w:val="18"/>
                  <w:color w:val="0000FF"/>
                </w:rPr>
                <w:t>Principal Accountant Fees and Services</w:t>
              </w:r>
            </w:hyperlink>
          </w:p>
        </w:tc>
        <w:tc>
          <w:tcPr>
            <w:tcW w:w="1100" w:type="dxa"/>
            <w:vAlign w:val="bottom"/>
            <w:gridSpan w:val="7"/>
            <w:shd w:val="clear" w:color="auto" w:fill="CCEEFF"/>
          </w:tcPr>
          <w:p>
            <w:pPr>
              <w:jc w:val="center"/>
              <w:ind w:right="20"/>
              <w:spacing w:after="0" w:line="189" w:lineRule="exact"/>
              <w:rPr>
                <w:rFonts w:ascii="Arial" w:cs="Arial" w:eastAsia="Arial" w:hAnsi="Arial"/>
                <w:sz w:val="18"/>
                <w:szCs w:val="18"/>
                <w:color w:val="0000FF"/>
                <w:w w:val="93"/>
              </w:rPr>
            </w:pPr>
            <w:hyperlink w:anchor="page175">
              <w:r>
                <w:rPr>
                  <w:rFonts w:ascii="Arial" w:cs="Arial" w:eastAsia="Arial" w:hAnsi="Arial"/>
                  <w:sz w:val="18"/>
                  <w:szCs w:val="18"/>
                  <w:color w:val="0000FF"/>
                  <w:w w:val="93"/>
                </w:rPr>
                <w:t>175</w:t>
              </w:r>
            </w:hyperlink>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60" w:type="dxa"/>
            <w:vAlign w:val="bottom"/>
            <w:gridSpan w:val="14"/>
            <w:shd w:val="clear" w:color="auto" w:fill="CCEEFF"/>
          </w:tcPr>
          <w:p>
            <w:pPr>
              <w:jc w:val="center"/>
              <w:ind w:right="4160"/>
              <w:spacing w:after="0" w:line="189" w:lineRule="exact"/>
              <w:rPr>
                <w:rFonts w:ascii="Arial" w:cs="Arial" w:eastAsia="Arial" w:hAnsi="Arial"/>
                <w:sz w:val="18"/>
                <w:szCs w:val="18"/>
                <w:b w:val="1"/>
                <w:bCs w:val="1"/>
                <w:color w:val="0000FF"/>
                <w:w w:val="98"/>
              </w:rPr>
            </w:pPr>
            <w:hyperlink w:anchor="page175">
              <w:r>
                <w:rPr>
                  <w:rFonts w:ascii="Arial" w:cs="Arial" w:eastAsia="Arial" w:hAnsi="Arial"/>
                  <w:sz w:val="18"/>
                  <w:szCs w:val="18"/>
                  <w:b w:val="1"/>
                  <w:bCs w:val="1"/>
                  <w:color w:val="0000FF"/>
                  <w:w w:val="98"/>
                </w:rPr>
                <w:t>PART IV</w:t>
              </w:r>
            </w:hyperlink>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Item 15.</w:t>
            </w:r>
          </w:p>
        </w:tc>
        <w:tc>
          <w:tcPr>
            <w:tcW w:w="4400" w:type="dxa"/>
            <w:vAlign w:val="bottom"/>
            <w:tcBorders>
              <w:top w:val="single" w:sz="8" w:color="CCEEFF"/>
            </w:tcBorders>
            <w:gridSpan w:val="17"/>
          </w:tcPr>
          <w:p>
            <w:pPr>
              <w:ind w:left="280"/>
              <w:spacing w:after="0" w:line="189" w:lineRule="exact"/>
              <w:rPr>
                <w:rFonts w:ascii="Arial" w:cs="Arial" w:eastAsia="Arial" w:hAnsi="Arial"/>
                <w:sz w:val="18"/>
                <w:szCs w:val="18"/>
                <w:color w:val="0000FF"/>
              </w:rPr>
            </w:pPr>
            <w:hyperlink w:anchor="page176">
              <w:r>
                <w:rPr>
                  <w:rFonts w:ascii="Arial" w:cs="Arial" w:eastAsia="Arial" w:hAnsi="Arial"/>
                  <w:sz w:val="18"/>
                  <w:szCs w:val="18"/>
                  <w:color w:val="0000FF"/>
                </w:rPr>
                <w:t>Exhibit and Financial Statement Schedules</w:t>
              </w:r>
            </w:hyperlink>
          </w:p>
        </w:tc>
        <w:tc>
          <w:tcPr>
            <w:tcW w:w="700" w:type="dxa"/>
            <w:vAlign w:val="bottom"/>
            <w:tcBorders>
              <w:top w:val="single" w:sz="8" w:color="0000FF"/>
            </w:tcBorders>
            <w:gridSpan w:val="6"/>
          </w:tcPr>
          <w:p>
            <w:pPr>
              <w:spacing w:after="0"/>
              <w:rPr>
                <w:sz w:val="16"/>
                <w:szCs w:val="16"/>
                <w:color w:val="auto"/>
              </w:rPr>
            </w:pPr>
          </w:p>
        </w:tc>
        <w:tc>
          <w:tcPr>
            <w:tcW w:w="4160" w:type="dxa"/>
            <w:vAlign w:val="bottom"/>
            <w:tcBorders>
              <w:top w:val="single" w:sz="8" w:color="CCEEFF"/>
            </w:tcBorders>
            <w:gridSpan w:val="8"/>
          </w:tcPr>
          <w:p>
            <w:pPr>
              <w:spacing w:after="0"/>
              <w:rPr>
                <w:sz w:val="16"/>
                <w:szCs w:val="16"/>
                <w:color w:val="auto"/>
              </w:rPr>
            </w:pPr>
          </w:p>
        </w:tc>
        <w:tc>
          <w:tcPr>
            <w:tcW w:w="1100" w:type="dxa"/>
            <w:vAlign w:val="bottom"/>
            <w:tcBorders>
              <w:top w:val="single" w:sz="8" w:color="CCEEFF"/>
            </w:tcBorders>
            <w:gridSpan w:val="7"/>
          </w:tcPr>
          <w:p>
            <w:pPr>
              <w:jc w:val="center"/>
              <w:ind w:right="20"/>
              <w:spacing w:after="0" w:line="189" w:lineRule="exact"/>
              <w:rPr>
                <w:rFonts w:ascii="Arial" w:cs="Arial" w:eastAsia="Arial" w:hAnsi="Arial"/>
                <w:sz w:val="18"/>
                <w:szCs w:val="18"/>
                <w:color w:val="0000FF"/>
                <w:w w:val="93"/>
              </w:rPr>
            </w:pPr>
            <w:hyperlink w:anchor="page176">
              <w:r>
                <w:rPr>
                  <w:rFonts w:ascii="Arial" w:cs="Arial" w:eastAsia="Arial" w:hAnsi="Arial"/>
                  <w:sz w:val="18"/>
                  <w:szCs w:val="18"/>
                  <w:color w:val="0000FF"/>
                  <w:w w:val="93"/>
                </w:rPr>
                <w:t>176</w:t>
              </w:r>
            </w:hyperlink>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16.</w:t>
            </w:r>
          </w:p>
        </w:tc>
        <w:tc>
          <w:tcPr>
            <w:tcW w:w="9260" w:type="dxa"/>
            <w:vAlign w:val="bottom"/>
            <w:gridSpan w:val="31"/>
            <w:shd w:val="clear" w:color="auto" w:fill="CCEEFF"/>
          </w:tcPr>
          <w:p>
            <w:pPr>
              <w:ind w:left="280"/>
              <w:spacing w:after="0" w:line="189" w:lineRule="exact"/>
              <w:rPr>
                <w:rFonts w:ascii="Arial" w:cs="Arial" w:eastAsia="Arial" w:hAnsi="Arial"/>
                <w:sz w:val="18"/>
                <w:szCs w:val="18"/>
                <w:color w:val="0000FF"/>
              </w:rPr>
            </w:pPr>
            <w:hyperlink w:anchor="page177">
              <w:r>
                <w:rPr>
                  <w:rFonts w:ascii="Arial" w:cs="Arial" w:eastAsia="Arial" w:hAnsi="Arial"/>
                  <w:sz w:val="18"/>
                  <w:szCs w:val="18"/>
                  <w:color w:val="0000FF"/>
                </w:rPr>
                <w:t>Form 10-K Summary</w:t>
              </w:r>
            </w:hyperlink>
          </w:p>
        </w:tc>
        <w:tc>
          <w:tcPr>
            <w:tcW w:w="1100" w:type="dxa"/>
            <w:vAlign w:val="bottom"/>
            <w:gridSpan w:val="7"/>
            <w:shd w:val="clear" w:color="auto" w:fill="CCEEFF"/>
          </w:tcPr>
          <w:p>
            <w:pPr>
              <w:jc w:val="center"/>
              <w:ind w:right="20"/>
              <w:spacing w:after="0" w:line="189" w:lineRule="exact"/>
              <w:rPr>
                <w:rFonts w:ascii="Arial" w:cs="Arial" w:eastAsia="Arial" w:hAnsi="Arial"/>
                <w:sz w:val="18"/>
                <w:szCs w:val="18"/>
                <w:color w:val="0000FF"/>
                <w:w w:val="93"/>
              </w:rPr>
            </w:pPr>
            <w:hyperlink w:anchor="page177">
              <w:r>
                <w:rPr>
                  <w:rFonts w:ascii="Arial" w:cs="Arial" w:eastAsia="Arial" w:hAnsi="Arial"/>
                  <w:sz w:val="18"/>
                  <w:szCs w:val="18"/>
                  <w:color w:val="0000FF"/>
                  <w:w w:val="93"/>
                </w:rPr>
                <w:t>177</w:t>
              </w:r>
            </w:hyperlink>
          </w:p>
        </w:tc>
      </w:tr>
      <w:tr>
        <w:trPr>
          <w:trHeight w:val="189"/>
        </w:trPr>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bottom w:val="single" w:sz="8" w:color="0000FF"/>
            </w:tcBorders>
          </w:tcPr>
          <w:p>
            <w:pPr>
              <w:spacing w:after="0" w:line="189" w:lineRule="exact"/>
              <w:rPr>
                <w:rFonts w:ascii="Arial" w:cs="Arial" w:eastAsia="Arial" w:hAnsi="Arial"/>
                <w:sz w:val="18"/>
                <w:szCs w:val="18"/>
                <w:color w:val="0000FF"/>
                <w:w w:val="85"/>
              </w:rPr>
            </w:pPr>
            <w:hyperlink w:anchor="page177">
              <w:r>
                <w:rPr>
                  <w:rFonts w:ascii="Arial" w:cs="Arial" w:eastAsia="Arial" w:hAnsi="Arial"/>
                  <w:sz w:val="18"/>
                  <w:szCs w:val="18"/>
                  <w:color w:val="0000FF"/>
                  <w:w w:val="85"/>
                </w:rPr>
                <w:t>Signatures</w:t>
              </w:r>
            </w:hyperlink>
          </w:p>
        </w:tc>
        <w:tc>
          <w:tcPr>
            <w:tcW w:w="28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280" w:type="dxa"/>
            <w:vAlign w:val="bottom"/>
            <w:tcBorders>
              <w:top w:val="single" w:sz="8" w:color="0000FF"/>
              <w:bottom w:val="single" w:sz="8" w:color="0000FF"/>
            </w:tcBorders>
            <w:gridSpan w:val="5"/>
          </w:tcPr>
          <w:p>
            <w:pPr>
              <w:jc w:val="center"/>
              <w:spacing w:after="0" w:line="189" w:lineRule="exact"/>
              <w:rPr>
                <w:rFonts w:ascii="Arial" w:cs="Arial" w:eastAsia="Arial" w:hAnsi="Arial"/>
                <w:sz w:val="18"/>
                <w:szCs w:val="18"/>
                <w:color w:val="0000FF"/>
                <w:w w:val="93"/>
              </w:rPr>
            </w:pPr>
            <w:hyperlink w:anchor="page177">
              <w:r>
                <w:rPr>
                  <w:rFonts w:ascii="Arial" w:cs="Arial" w:eastAsia="Arial" w:hAnsi="Arial"/>
                  <w:sz w:val="18"/>
                  <w:szCs w:val="18"/>
                  <w:color w:val="0000FF"/>
                  <w:w w:val="93"/>
                </w:rPr>
                <w:t>178</w:t>
              </w:r>
            </w:hyperlink>
          </w:p>
        </w:tc>
        <w:tc>
          <w:tcPr>
            <w:tcW w:w="420" w:type="dxa"/>
            <w:vAlign w:val="bottom"/>
            <w:tcBorders>
              <w:top w:val="single" w:sz="8" w:color="CCEEFF"/>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This Annual Report on Form 10-K (“Form 10-K”)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10" w:lineRule="exact"/>
        <w:rPr>
          <w:sz w:val="20"/>
          <w:szCs w:val="20"/>
          <w:color w:val="auto"/>
        </w:rPr>
      </w:pPr>
    </w:p>
    <w:p>
      <w:pPr>
        <w:ind w:left="820" w:right="1040" w:hanging="164"/>
        <w:spacing w:after="0" w:line="267" w:lineRule="auto"/>
        <w:tabs>
          <w:tab w:leader="none" w:pos="777"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Group Inc.</w:t>
      </w:r>
      <w:r>
        <w:rPr>
          <w:rFonts w:ascii="Arial" w:cs="Arial" w:eastAsia="Arial" w:hAnsi="Arial"/>
          <w:sz w:val="20"/>
          <w:szCs w:val="20"/>
          <w:color w:val="auto"/>
        </w:rPr>
        <w:t>” or “</w:t>
      </w:r>
      <w:r>
        <w:rPr>
          <w:rFonts w:ascii="Arial" w:cs="Arial" w:eastAsia="Arial" w:hAnsi="Arial"/>
          <w:sz w:val="20"/>
          <w:szCs w:val="20"/>
          <w:b w:val="1"/>
          <w:bCs w:val="1"/>
          <w:color w:val="auto"/>
        </w:rPr>
        <w:t>SSG</w:t>
      </w:r>
      <w:r>
        <w:rPr>
          <w:rFonts w:ascii="Arial" w:cs="Arial" w:eastAsia="Arial" w:hAnsi="Arial"/>
          <w:sz w:val="20"/>
          <w:szCs w:val="20"/>
          <w:color w:val="auto"/>
        </w:rPr>
        <w:t>” refers solely to StepStone Group Inc., a Delaware corporation, and not to any of its subsidiaries;</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27" w:lineRule="exact"/>
        <w:rPr>
          <w:rFonts w:ascii="Arial" w:cs="Arial" w:eastAsia="Arial" w:hAnsi="Arial"/>
          <w:sz w:val="19"/>
          <w:szCs w:val="19"/>
          <w:color w:val="auto"/>
        </w:rPr>
      </w:pPr>
    </w:p>
    <w:p>
      <w:pPr>
        <w:ind w:left="820" w:right="60" w:hanging="164"/>
        <w:spacing w:after="0" w:line="267" w:lineRule="auto"/>
        <w:tabs>
          <w:tab w:leader="none" w:pos="777"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63" w:lineRule="exact"/>
        <w:rPr>
          <w:rFonts w:ascii="Arial" w:cs="Arial" w:eastAsia="Arial" w:hAnsi="Arial"/>
          <w:sz w:val="20"/>
          <w:szCs w:val="20"/>
          <w:color w:val="auto"/>
        </w:rPr>
      </w:pPr>
    </w:p>
    <w:p>
      <w:pPr>
        <w:ind w:left="820" w:hanging="164"/>
        <w:spacing w:after="0" w:line="253" w:lineRule="auto"/>
        <w:tabs>
          <w:tab w:leader="none" w:pos="777"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 following the Reorganization and IPO (each as defined below) and to the Partnership and its consolidated subsidiaries prior to the Reorganization and IPO;</w:t>
      </w:r>
    </w:p>
    <w:p>
      <w:pPr>
        <w:spacing w:after="0" w:line="177" w:lineRule="exact"/>
        <w:rPr>
          <w:rFonts w:ascii="Arial" w:cs="Arial" w:eastAsia="Arial" w:hAnsi="Arial"/>
          <w:sz w:val="20"/>
          <w:szCs w:val="20"/>
          <w:color w:val="auto"/>
        </w:rPr>
      </w:pPr>
    </w:p>
    <w:p>
      <w:pPr>
        <w:ind w:left="820" w:right="620" w:hanging="164"/>
        <w:spacing w:after="0" w:line="393" w:lineRule="auto"/>
        <w:tabs>
          <w:tab w:leader="none" w:pos="777"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StepStone Funds</w:t>
      </w:r>
      <w:r>
        <w:rPr>
          <w:rFonts w:ascii="Arial" w:cs="Arial" w:eastAsia="Arial" w:hAnsi="Arial"/>
          <w:sz w:val="16"/>
          <w:szCs w:val="16"/>
          <w:color w:val="auto"/>
        </w:rPr>
        <w:t>” or “</w:t>
      </w:r>
      <w:r>
        <w:rPr>
          <w:rFonts w:ascii="Arial" w:cs="Arial" w:eastAsia="Arial" w:hAnsi="Arial"/>
          <w:sz w:val="16"/>
          <w:szCs w:val="16"/>
          <w:b w:val="1"/>
          <w:bCs w:val="1"/>
          <w:color w:val="auto"/>
        </w:rPr>
        <w:t>our funds</w:t>
      </w:r>
      <w:r>
        <w:rPr>
          <w:rFonts w:ascii="Arial" w:cs="Arial" w:eastAsia="Arial" w:hAnsi="Arial"/>
          <w:sz w:val="16"/>
          <w:szCs w:val="16"/>
          <w:color w:val="auto"/>
        </w:rPr>
        <w:t>” refer to our focused commingled funds and our separately managed accounts, including acquired Greenspring funds, for which we act as both investment adviser and general partner or managing member;</w:t>
      </w:r>
    </w:p>
    <w:p>
      <w:pPr>
        <w:spacing w:after="0" w:line="72" w:lineRule="exact"/>
        <w:rPr>
          <w:rFonts w:ascii="Arial" w:cs="Arial" w:eastAsia="Arial" w:hAnsi="Arial"/>
          <w:sz w:val="16"/>
          <w:szCs w:val="16"/>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Greenspring acquisition</w:t>
      </w:r>
      <w:r>
        <w:rPr>
          <w:rFonts w:ascii="Arial" w:cs="Arial" w:eastAsia="Arial" w:hAnsi="Arial"/>
          <w:sz w:val="18"/>
          <w:szCs w:val="18"/>
          <w:color w:val="auto"/>
        </w:rPr>
        <w:t>” refer to the acquisition of Greenspring Associates, Inc. and certain of its affiliates</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Greenspring</w:t>
      </w:r>
      <w:r>
        <w:rPr>
          <w:rFonts w:ascii="Arial" w:cs="Arial" w:eastAsia="Arial" w:hAnsi="Arial"/>
          <w:sz w:val="20"/>
          <w:szCs w:val="20"/>
          <w:color w:val="auto"/>
        </w:rPr>
        <w:t>”) that was completed on September 20, 2021;</w:t>
      </w:r>
    </w:p>
    <w:p>
      <w:pPr>
        <w:spacing w:after="0" w:line="194" w:lineRule="exact"/>
        <w:rPr>
          <w:sz w:val="20"/>
          <w:szCs w:val="20"/>
          <w:color w:val="auto"/>
        </w:rPr>
      </w:pPr>
    </w:p>
    <w:p>
      <w:pPr>
        <w:ind w:left="780" w:hanging="124"/>
        <w:spacing w:after="0"/>
        <w:tabs>
          <w:tab w:leader="none" w:pos="7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820" w:right="440" w:hanging="164"/>
        <w:spacing w:after="0" w:line="267" w:lineRule="auto"/>
        <w:tabs>
          <w:tab w:leader="none" w:pos="777"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the “</w:t>
      </w:r>
      <w:r>
        <w:rPr>
          <w:rFonts w:ascii="Arial" w:cs="Arial" w:eastAsia="Arial" w:hAnsi="Arial"/>
          <w:sz w:val="20"/>
          <w:szCs w:val="20"/>
          <w:b w:val="1"/>
          <w:bCs w:val="1"/>
          <w:color w:val="auto"/>
        </w:rPr>
        <w:t>Reorganization</w:t>
      </w:r>
      <w:r>
        <w:rPr>
          <w:rFonts w:ascii="Arial" w:cs="Arial" w:eastAsia="Arial" w:hAnsi="Arial"/>
          <w:sz w:val="20"/>
          <w:szCs w:val="20"/>
          <w:color w:val="auto"/>
        </w:rPr>
        <w:t>” refer to the series of transactions immediately before the Company’s initial public offering (“</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63" w:lineRule="exact"/>
        <w:rPr>
          <w:rFonts w:ascii="Arial" w:cs="Arial" w:eastAsia="Arial" w:hAnsi="Arial"/>
          <w:sz w:val="20"/>
          <w:szCs w:val="20"/>
          <w:color w:val="auto"/>
        </w:rPr>
      </w:pPr>
    </w:p>
    <w:p>
      <w:pPr>
        <w:ind w:left="820" w:right="640" w:hanging="164"/>
        <w:spacing w:after="0" w:line="267" w:lineRule="auto"/>
        <w:tabs>
          <w:tab w:leader="none" w:pos="777"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combined AUM / AUA</w:t>
      </w:r>
      <w:r>
        <w:rPr>
          <w:rFonts w:ascii="Arial" w:cs="Arial" w:eastAsia="Arial" w:hAnsi="Arial"/>
          <w:sz w:val="20"/>
          <w:szCs w:val="20"/>
          <w:color w:val="auto"/>
        </w:rPr>
        <w:t xml:space="preserve">” refer to the aggregate amount of our assets under management </w:t>
      </w:r>
      <w:r>
        <w:rPr>
          <w:rFonts w:ascii="Arial" w:cs="Arial" w:eastAsia="Arial" w:hAnsi="Arial"/>
          <w:sz w:val="20"/>
          <w:szCs w:val="20"/>
          <w:b w:val="1"/>
          <w:bCs w:val="1"/>
          <w:color w:val="auto"/>
        </w:rPr>
        <w:t>(“AUM”)</w:t>
      </w:r>
      <w:r>
        <w:rPr>
          <w:rFonts w:ascii="Arial" w:cs="Arial" w:eastAsia="Arial" w:hAnsi="Arial"/>
          <w:sz w:val="20"/>
          <w:szCs w:val="20"/>
          <w:color w:val="auto"/>
        </w:rPr>
        <w:t xml:space="preserve"> and our assets under advisement </w:t>
      </w:r>
      <w:r>
        <w:rPr>
          <w:rFonts w:ascii="Arial" w:cs="Arial" w:eastAsia="Arial" w:hAnsi="Arial"/>
          <w:sz w:val="20"/>
          <w:szCs w:val="20"/>
          <w:b w:val="1"/>
          <w:bCs w:val="1"/>
          <w:color w:val="auto"/>
        </w:rPr>
        <w:t>(“AUA”)</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high-net-worth</w:t>
      </w:r>
      <w:r>
        <w:rPr>
          <w:rFonts w:ascii="Arial" w:cs="Arial" w:eastAsia="Arial" w:hAnsi="Arial"/>
          <w:sz w:val="18"/>
          <w:szCs w:val="18"/>
          <w:color w:val="auto"/>
        </w:rPr>
        <w:t>” individuals refer to individuals with net worth of over $5 million, excluding primary residence; and</w:t>
      </w:r>
    </w:p>
    <w:p>
      <w:pPr>
        <w:spacing w:after="0" w:line="238" w:lineRule="exact"/>
        <w:rPr>
          <w:rFonts w:ascii="Arial" w:cs="Arial" w:eastAsia="Arial" w:hAnsi="Arial"/>
          <w:sz w:val="18"/>
          <w:szCs w:val="18"/>
          <w:color w:val="auto"/>
        </w:rPr>
      </w:pPr>
    </w:p>
    <w:p>
      <w:pPr>
        <w:ind w:left="820" w:right="220" w:hanging="164"/>
        <w:spacing w:after="0" w:line="267" w:lineRule="auto"/>
        <w:tabs>
          <w:tab w:leader="none" w:pos="777"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 and ™ symbols, but we will assert, to the fullest extent under applicable law, our rights or the rights of the applicable licensors to these trademarks, service marks, trade names and copyrights.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This Form 10-K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10-K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included in Part I, Item 1A of this Form 10-K. These factors should not be construed as exhaustive and should be read in conjunction with the other cautionary statements that are included in this Form 10-K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RISK FACTOR SUMMARY</w:t>
      </w:r>
    </w:p>
    <w:p>
      <w:pPr>
        <w:spacing w:after="0" w:line="22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The following is a summary of the risk factors associated with the Company. You should read this summary together with a more detailed description of these risks in the “Risk Factors” section of this Annual Report on Form 10-K and in other filings that we make from time to time with the SEC.</w:t>
      </w:r>
    </w:p>
    <w:p>
      <w:pPr>
        <w:spacing w:after="0" w:line="186"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We are subject to risks related to our business, including risks related to: (i) the identification and availability of suitable investment opportunities for our clients; (ii) poor investment performance; (iii) investments we make on behalf of clients or we recommend to our clients not correlating with performance of an investment in our Class A common stock; (iv) competition for access to investment funds and other investments; (v) ability of third-party clients to remove us as the general partner and to terminate the investment period under certain circumstances; (vi) our ability to retain our senior leadership team and attract additional qualified investment professionals; (vii) our failure to appropriately manage conflicts of interest; (viii) obligations to clients and other third parties that may conflict with stockholders’ interests;</w:t>
      </w:r>
    </w:p>
    <w:p>
      <w:pPr>
        <w:spacing w:after="0" w:line="1" w:lineRule="exact"/>
        <w:rPr>
          <w:sz w:val="20"/>
          <w:szCs w:val="20"/>
          <w:color w:val="auto"/>
        </w:rPr>
      </w:pPr>
    </w:p>
    <w:p>
      <w:pPr>
        <w:ind w:right="20" w:firstLine="8"/>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leverage by certain funds and portfolio companies; (x) StepStone Funds clients with commitment-based structures not satisfying their contractual obligation to fund capital calls when requested; (xi) compliance with investment guidelines set by clients; (xii) subjective valuation methodologies; (xiii) our ability to maintain our desired fee structure; (xiv) having to pay back “clawback” or “contingent repayment” obligations if and when they are triggered under the governing agreements of our funds; (xv) investments in relatively high-risk, illiquid assets; (xvi) undiversified investments; (xvii) investments in funds and companies that we do not control; (xviii) risk management strategies and procedures; (xix) due diligence we undertake in connection with investments; (xx) restrictions on our ability to collect and analyze data regarding our clients’ investments; (xxi) dependence on the reliability of our proprietary data and technology platforms and other data processing systems; (xxii) a compromise or corruption of our systems containing confidential information; (xxiii) cybersecurity risks; (xxiv) employee misconduct; (xxv) our professional reputation and legal ability; (xxvi) our non-U.S. operations; (xxvii) investments of the StepStone Funds in certain jurisdictions that may be subject to heightened risks relative to investments in other jurisdictions; (xxviii) revenues from our real estate asset class being subject to the risks inherent in the ownership and operation of real estate and the construction and development of real estate; (xxix) investments we make on behalf of clients or we recommend to our clients in infrastructure assets; (xxx) the substantial growth of our business in recent years that may be difficult to sustain; (xxxi) entering into new lines of business; (xxxii) acquisitions of new businesses or assets; (xxxiii) current or future indebtedness; and (xxxiv) using custodians, counterparties, administrators and other agents; and (xxxv) the potential need to implement additional processes and procedures to accurately and timely prepare our consolidated financial statements as a result of the consolidation of Greenspring.</w:t>
      </w:r>
    </w:p>
    <w:p>
      <w:pPr>
        <w:spacing w:after="0" w:line="174"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are subject to risks related to our industry, including risks related to: (i) intense competition; (ii) difficult or volatile market conditions; (iii) the COVID-19 pandemic; (iv) operating in a heavily regulated industry; (v) evolving laws and government regulations; (vi) future changes to tax laws or our effective tax rate; (vii) potentially being required to pay additional taxes because of the new U.S. federal partnership audit rules and potentially also state and local tax rules; (viii) federal, state and foreign anti-corruption and sanctions laws; (ix) regulation of investment advisers outside the United States; (x) the exit of the UK from the EU; and (xi) increasing scrutiny from institutional clients with respect to environmental, social and governance (“ESG”) costs of investments made by the StepStone Funds.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are subject to risks related to our organizational structure, including risks related to: (i) relying on exemptions from certain governance requirements as a “controlled company” within the meaning of the Nasdaq Global Select Market listing standards and, therefore, not affording same protections to our stockholders as those afforded to stockholders of non-controlled companies; (ii) SSG’s dependence on distributions from the Partnership to pay any dividends, if declared, taxes and other expenses, including payments under the Tax Receivable Agreements; (iii) the IRS potentially challenging the tax basis step-ups and other tax benefits we receive in connection with our IPO and the related transactions and in connection with additional acquisitions of Partnership units; (iv) in certain circumstances, acceleration and/or significant excess of payments due under each Tax Receivable Agreement, as compared to the actual tax benefits, if any, that SSG actually realizes; (v) potentially substantial distributions to us and the existing partners of the Partnership that the Partnership will be required to make in certain circumstances; (vi) funding withholding tax upon certain exchanges of Class B units into shares of Class A common stock by non-U.S. holders; (vii) tax and other liabilities attributable to our pre-IPO investors as a result of certain reorganization transactions; (viii) SSG not being permitted to deduct its distributive share of compensation expense pursuant to recently enacted regulations issued under Section 162(m) of the Code to the extent that the compensation was paid by the Partnership to certain of SSG’s covered employees; (ix) being deemed an “investment company” under the Investment Company Act of 1940 as a result of our ownership of the Partnership or the General Partner; (x) a change of control of our company, including the effect of a “Sunset” on our voting structure; (xi) members of our senior leadership team holding their economic interest through other entities; (xii) our reliance on our equity ownership, governance rights and other contractual arrangements to control certain of our consolidated subsidiaries that are not wholly owned; (xiii) the disparity in the voting rights among the classes of our common stock and inability of the holders of our Class A common stock to influence decisions submitted to a vote of our stockholders; (xiv) distributions made by the Partnership and limits on our ability to use the cash we receive in such distributions; (xv) the dual class structure of our common stock; and (xvi) our ability to pay dividends to stockholders.</w:t>
      </w:r>
    </w:p>
    <w:p>
      <w:pPr>
        <w:spacing w:after="0" w:line="185" w:lineRule="exact"/>
        <w:rPr>
          <w:sz w:val="20"/>
          <w:szCs w:val="20"/>
          <w:color w:val="auto"/>
        </w:rPr>
      </w:pPr>
    </w:p>
    <w:p>
      <w:pPr>
        <w:ind w:right="440" w:firstLine="648"/>
        <w:spacing w:after="0" w:line="316" w:lineRule="auto"/>
        <w:rPr>
          <w:sz w:val="20"/>
          <w:szCs w:val="20"/>
          <w:color w:val="auto"/>
        </w:rPr>
      </w:pPr>
      <w:r>
        <w:rPr>
          <w:rFonts w:ascii="Arial" w:cs="Arial" w:eastAsia="Arial" w:hAnsi="Arial"/>
          <w:sz w:val="18"/>
          <w:szCs w:val="18"/>
          <w:color w:val="auto"/>
        </w:rPr>
        <w:t>We are subject to general risks, including risks related to: (i) the fact that the market price of our Class A common stock may be volatile; (ii) anti-takeover provisions in our charter documents and under Delaware law; and (iii) our forum selection provisions.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231F20"/>
        </w:rPr>
        <w:t>Our Company</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231F20"/>
        </w:rPr>
        <w:t>We are a global private markets investment firm focused on providing customized investment solutions and advisory, data and administrative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2022, we oversaw $570 billion of private markets allocations, including $134 billion of AUM and $436 billion of AUA.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were founded in 2007 to address the evolving needs of investors focused on private markets, reflecting a number of converging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themes:</w:t>
      </w:r>
    </w:p>
    <w:p>
      <w:pPr>
        <w:spacing w:after="0" w:line="200"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231F20"/>
        </w:rPr>
        <w:t>increasing investor desire for exposure and allocations to the private markets;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rising complexity within private markets driven by proliferation of fund managers and specialized strategies;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6"/>
        </w:numPr>
        <w:rPr>
          <w:rFonts w:ascii="Arial" w:cs="Arial" w:eastAsia="Arial" w:hAnsi="Arial"/>
          <w:sz w:val="20"/>
          <w:szCs w:val="20"/>
          <w:color w:val="231F20"/>
        </w:rPr>
      </w:pPr>
      <w:r>
        <w:rPr>
          <w:rFonts w:ascii="Arial" w:cs="Arial" w:eastAsia="Arial" w:hAnsi="Arial"/>
          <w:sz w:val="20"/>
          <w:szCs w:val="20"/>
          <w:color w:val="231F20"/>
        </w:rPr>
        <w:t>global nature of private markets asset classes and their participants; and</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6"/>
        </w:numPr>
        <w:rPr>
          <w:rFonts w:ascii="Arial" w:cs="Arial" w:eastAsia="Arial" w:hAnsi="Arial"/>
          <w:sz w:val="19"/>
          <w:szCs w:val="19"/>
          <w:color w:val="231F20"/>
        </w:rPr>
      </w:pPr>
      <w:r>
        <w:rPr>
          <w:rFonts w:ascii="Arial" w:cs="Arial" w:eastAsia="Arial" w:hAnsi="Arial"/>
          <w:sz w:val="19"/>
          <w:szCs w:val="19"/>
          <w:color w:val="231F20"/>
        </w:rPr>
        <w:t>need for customized solutions as investors’ size, sophistication and allocations to private markets investments increased.</w:t>
      </w:r>
    </w:p>
    <w:p>
      <w:pPr>
        <w:spacing w:after="0" w:line="227"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231F20"/>
        </w:rPr>
        <w:t>We set out to build a firm that would be tailored to meet this new market environment, and differentiated from the fund-of-funds and adviser-only models in existence at the time. We have focused on an integrated, full- service approach to private markets solutions with research depth as our core pillar of strength.</w:t>
      </w:r>
    </w:p>
    <w:p>
      <w:pPr>
        <w:spacing w:after="0" w:line="186"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231F20"/>
        </w:rPr>
        <w:t>We believe our success and growth since our founding has been driven by our continued focus on providing a high level of service, tailored to our clients’ evolving needs, through:</w:t>
      </w:r>
    </w:p>
    <w:p>
      <w:pPr>
        <w:spacing w:after="0" w:line="177" w:lineRule="exact"/>
        <w:rPr>
          <w:sz w:val="20"/>
          <w:szCs w:val="20"/>
          <w:color w:val="auto"/>
        </w:rPr>
      </w:pPr>
    </w:p>
    <w:p>
      <w:pPr>
        <w:ind w:left="660" w:right="2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231F20"/>
        </w:rPr>
        <w:t>Our focus on customization</w:t>
      </w:r>
      <w:r>
        <w:rPr>
          <w:rFonts w:ascii="Arial" w:cs="Arial" w:eastAsia="Arial" w:hAnsi="Arial"/>
          <w:sz w:val="20"/>
          <w:szCs w:val="20"/>
          <w:color w:val="231F20"/>
        </w:rPr>
        <w:t>. By leveraging our expertise across the private markets asset classes, investment strategies and</w:t>
      </w:r>
      <w:r>
        <w:rPr>
          <w:rFonts w:ascii="Arial" w:cs="Arial" w:eastAsia="Arial" w:hAnsi="Arial"/>
          <w:sz w:val="20"/>
          <w:szCs w:val="20"/>
          <w:i w:val="1"/>
          <w:iCs w:val="1"/>
          <w:color w:val="231F20"/>
        </w:rPr>
        <w:t xml:space="preserve"> </w:t>
      </w:r>
      <w:r>
        <w:rPr>
          <w:rFonts w:ascii="Arial" w:cs="Arial" w:eastAsia="Arial" w:hAnsi="Arial"/>
          <w:sz w:val="20"/>
          <w:szCs w:val="20"/>
          <w:color w:val="231F20"/>
        </w:rPr>
        <w:t>commercial structures, we help our clients build customized portfolios that are designed to meet their specific objectives in a cost effective way.</w:t>
      </w:r>
    </w:p>
    <w:p>
      <w:pPr>
        <w:spacing w:after="0" w:line="185" w:lineRule="exact"/>
        <w:rPr>
          <w:rFonts w:ascii="Arial" w:cs="Arial" w:eastAsia="Arial" w:hAnsi="Arial"/>
          <w:sz w:val="20"/>
          <w:szCs w:val="20"/>
          <w:color w:val="auto"/>
        </w:rPr>
      </w:pPr>
    </w:p>
    <w:p>
      <w:pPr>
        <w:ind w:left="660" w:right="360" w:hanging="328"/>
        <w:spacing w:after="0" w:line="246" w:lineRule="auto"/>
        <w:tabs>
          <w:tab w:leader="none" w:pos="648" w:val="left"/>
        </w:tabs>
        <w:numPr>
          <w:ilvl w:val="0"/>
          <w:numId w:val="7"/>
        </w:numPr>
        <w:rPr>
          <w:rFonts w:ascii="Arial" w:cs="Arial" w:eastAsia="Arial" w:hAnsi="Arial"/>
          <w:sz w:val="20"/>
          <w:szCs w:val="20"/>
          <w:color w:val="231F20"/>
        </w:rPr>
      </w:pPr>
      <w:r>
        <w:rPr>
          <w:rFonts w:ascii="Arial" w:cs="Arial" w:eastAsia="Arial" w:hAnsi="Arial"/>
          <w:sz w:val="20"/>
          <w:szCs w:val="20"/>
          <w:i w:val="1"/>
          <w:iCs w:val="1"/>
          <w:color w:val="231F20"/>
        </w:rPr>
        <w:t>Our global-and-local approach</w:t>
      </w:r>
      <w:r>
        <w:rPr>
          <w:rFonts w:ascii="Arial" w:cs="Arial" w:eastAsia="Arial" w:hAnsi="Arial"/>
          <w:sz w:val="20"/>
          <w:szCs w:val="20"/>
          <w:color w:val="231F20"/>
        </w:rPr>
        <w:t>. With offices in 23 cities across 14 countries on five continents, we have built a global operating</w:t>
      </w:r>
      <w:r>
        <w:rPr>
          <w:rFonts w:ascii="Arial" w:cs="Arial" w:eastAsia="Arial" w:hAnsi="Arial"/>
          <w:sz w:val="20"/>
          <w:szCs w:val="20"/>
          <w:i w:val="1"/>
          <w:iCs w:val="1"/>
          <w:color w:val="231F20"/>
        </w:rPr>
        <w:t xml:space="preserve"> </w:t>
      </w:r>
      <w:r>
        <w:rPr>
          <w:rFonts w:ascii="Arial" w:cs="Arial" w:eastAsia="Arial" w:hAnsi="Arial"/>
          <w:sz w:val="20"/>
          <w:szCs w:val="20"/>
          <w:color w:val="231F20"/>
        </w:rPr>
        <w:t>platform, organically and via acquisition, with strong local teams that possess valuable regional insights and deep-rooted relationships. This allows us to combine the advantages of having a knowledgeable on-the-ground presence with the benefits of operating as a global organization.</w:t>
      </w:r>
    </w:p>
    <w:p>
      <w:pPr>
        <w:spacing w:after="0" w:line="191" w:lineRule="exact"/>
        <w:rPr>
          <w:rFonts w:ascii="Arial" w:cs="Arial" w:eastAsia="Arial" w:hAnsi="Arial"/>
          <w:sz w:val="20"/>
          <w:szCs w:val="20"/>
          <w:color w:val="231F20"/>
        </w:rPr>
      </w:pPr>
    </w:p>
    <w:p>
      <w:pPr>
        <w:ind w:left="660" w:right="200" w:hanging="328"/>
        <w:spacing w:after="0" w:line="250" w:lineRule="auto"/>
        <w:tabs>
          <w:tab w:leader="none" w:pos="648" w:val="left"/>
        </w:tabs>
        <w:numPr>
          <w:ilvl w:val="0"/>
          <w:numId w:val="7"/>
        </w:numPr>
        <w:rPr>
          <w:rFonts w:ascii="Arial" w:cs="Arial" w:eastAsia="Arial" w:hAnsi="Arial"/>
          <w:sz w:val="20"/>
          <w:szCs w:val="20"/>
          <w:color w:val="231F20"/>
        </w:rPr>
      </w:pPr>
      <w:r>
        <w:rPr>
          <w:rFonts w:ascii="Arial" w:cs="Arial" w:eastAsia="Arial" w:hAnsi="Arial"/>
          <w:sz w:val="20"/>
          <w:szCs w:val="20"/>
          <w:i w:val="1"/>
          <w:iCs w:val="1"/>
          <w:color w:val="231F20"/>
        </w:rPr>
        <w:t>Our multi-asset class expertise</w:t>
      </w:r>
      <w:r>
        <w:rPr>
          <w:rFonts w:ascii="Arial" w:cs="Arial" w:eastAsia="Arial" w:hAnsi="Arial"/>
          <w:sz w:val="20"/>
          <w:szCs w:val="20"/>
          <w:color w:val="231F20"/>
        </w:rPr>
        <w:t>. We operate at scale across the private markets asset classes—private equity, infrastructure, private</w:t>
      </w:r>
      <w:r>
        <w:rPr>
          <w:rFonts w:ascii="Arial" w:cs="Arial" w:eastAsia="Arial" w:hAnsi="Arial"/>
          <w:sz w:val="20"/>
          <w:szCs w:val="20"/>
          <w:i w:val="1"/>
          <w:iCs w:val="1"/>
          <w:color w:val="231F20"/>
        </w:rPr>
        <w:t xml:space="preserve"> </w:t>
      </w:r>
      <w:r>
        <w:rPr>
          <w:rFonts w:ascii="Arial" w:cs="Arial" w:eastAsia="Arial" w:hAnsi="Arial"/>
          <w:sz w:val="20"/>
          <w:szCs w:val="20"/>
          <w:color w:val="231F20"/>
        </w:rPr>
        <w:t>debt and real estate. We believe this multi-asset class expertise positions us well to compete for, win and execute tailored and complex investment solutions.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hanging="328"/>
        <w:spacing w:after="0" w:line="244" w:lineRule="auto"/>
        <w:tabs>
          <w:tab w:leader="none" w:pos="648" w:val="left"/>
        </w:tabs>
        <w:numPr>
          <w:ilvl w:val="0"/>
          <w:numId w:val="8"/>
        </w:numPr>
        <w:rPr>
          <w:rFonts w:ascii="Arial" w:cs="Arial" w:eastAsia="Arial" w:hAnsi="Arial"/>
          <w:sz w:val="20"/>
          <w:szCs w:val="20"/>
          <w:color w:val="231F20"/>
        </w:rPr>
      </w:pPr>
      <w:r>
        <w:rPr>
          <w:rFonts w:ascii="Arial" w:cs="Arial" w:eastAsia="Arial" w:hAnsi="Arial"/>
          <w:sz w:val="20"/>
          <w:szCs w:val="20"/>
          <w:i w:val="1"/>
          <w:iCs w:val="1"/>
          <w:color w:val="231F20"/>
        </w:rPr>
        <w:t>Our proprietary data and technology</w:t>
      </w:r>
      <w:r>
        <w:rPr>
          <w:rFonts w:ascii="Arial" w:cs="Arial" w:eastAsia="Arial" w:hAnsi="Arial"/>
          <w:sz w:val="20"/>
          <w:szCs w:val="20"/>
          <w:color w:val="231F20"/>
        </w:rPr>
        <w:t>. Our proprietary data and technology platforms, including StepStone Private Markets</w:t>
      </w:r>
      <w:r>
        <w:rPr>
          <w:rFonts w:ascii="Arial" w:cs="Arial" w:eastAsia="Arial" w:hAnsi="Arial"/>
          <w:sz w:val="20"/>
          <w:szCs w:val="20"/>
          <w:i w:val="1"/>
          <w:iCs w:val="1"/>
          <w:color w:val="231F20"/>
        </w:rPr>
        <w:t xml:space="preserve"> </w:t>
      </w:r>
      <w:r>
        <w:rPr>
          <w:rFonts w:ascii="Arial" w:cs="Arial" w:eastAsia="Arial" w:hAnsi="Arial"/>
          <w:sz w:val="20"/>
          <w:szCs w:val="20"/>
          <w:color w:val="231F20"/>
        </w:rPr>
        <w:t>Intelligence (“SPI”), our private markets intelligence database, Omni, our performance monitoring software, and Pacing, our portfolio cash flow, investment allocation and liquidity forecasting tool provide valuable information advantages, enhance our private markets insight, improve operational efficiency and facilitate portfolio monitoring and reporting functions. These benefits accrue to our clients and to us.</w:t>
      </w:r>
    </w:p>
    <w:p>
      <w:pPr>
        <w:spacing w:after="0" w:line="194" w:lineRule="exact"/>
        <w:rPr>
          <w:rFonts w:ascii="Arial" w:cs="Arial" w:eastAsia="Arial" w:hAnsi="Arial"/>
          <w:sz w:val="20"/>
          <w:szCs w:val="20"/>
          <w:color w:val="231F20"/>
        </w:rPr>
      </w:pPr>
    </w:p>
    <w:p>
      <w:pPr>
        <w:ind w:left="660" w:right="20" w:hanging="328"/>
        <w:spacing w:after="0" w:line="282" w:lineRule="auto"/>
        <w:tabs>
          <w:tab w:leader="none" w:pos="648" w:val="left"/>
        </w:tabs>
        <w:numPr>
          <w:ilvl w:val="0"/>
          <w:numId w:val="8"/>
        </w:numPr>
        <w:rPr>
          <w:rFonts w:ascii="Arial" w:cs="Arial" w:eastAsia="Arial" w:hAnsi="Arial"/>
          <w:sz w:val="18"/>
          <w:szCs w:val="18"/>
          <w:color w:val="231F20"/>
        </w:rPr>
      </w:pPr>
      <w:r>
        <w:rPr>
          <w:rFonts w:ascii="Arial" w:cs="Arial" w:eastAsia="Arial" w:hAnsi="Arial"/>
          <w:sz w:val="18"/>
          <w:szCs w:val="18"/>
          <w:i w:val="1"/>
          <w:iCs w:val="1"/>
          <w:color w:val="231F20"/>
        </w:rPr>
        <w:t>Our large and experienced team</w:t>
      </w:r>
      <w:r>
        <w:rPr>
          <w:rFonts w:ascii="Arial" w:cs="Arial" w:eastAsia="Arial" w:hAnsi="Arial"/>
          <w:sz w:val="18"/>
          <w:szCs w:val="18"/>
          <w:color w:val="231F20"/>
        </w:rPr>
        <w:t>. Since our inception, we have focused on recruiting and retaining the best talent. As of March 31,</w:t>
      </w:r>
      <w:r>
        <w:rPr>
          <w:rFonts w:ascii="Arial" w:cs="Arial" w:eastAsia="Arial" w:hAnsi="Arial"/>
          <w:sz w:val="18"/>
          <w:szCs w:val="18"/>
          <w:i w:val="1"/>
          <w:iCs w:val="1"/>
          <w:color w:val="231F20"/>
        </w:rPr>
        <w:t xml:space="preserve"> </w:t>
      </w:r>
      <w:r>
        <w:rPr>
          <w:rFonts w:ascii="Arial" w:cs="Arial" w:eastAsia="Arial" w:hAnsi="Arial"/>
          <w:sz w:val="18"/>
          <w:szCs w:val="18"/>
          <w:color w:val="231F20"/>
        </w:rPr>
        <w:t>2022, nearly 80 partners led the firm, with an average of nearly 20 years of investment or industry experience. As of March 31, 2022, we had over 790 total employees, including over 280 investment professionals and more than 500 employees across our operating team and implementation teams dedicated to sourcing, executing, analyzing and monitoring private markets opportunities.</w:t>
      </w:r>
    </w:p>
    <w:p>
      <w:pPr>
        <w:spacing w:after="0" w:line="161"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231F20"/>
        </w:rPr>
        <w:t>We believe our scale and position in private markets provide us a distinct competitive advantage with our clients and fund managers. As we grow our client relationships, we are able to allocate additional capital, which allows us to expand our fund manager relationships, resulting in access to additional investment opportunities and data. This, in turn, helps us make better investment decisions and generate better returns, thereby attracting new clients and investment opportunities.</w:t>
      </w:r>
    </w:p>
    <w:p>
      <w:pPr>
        <w:spacing w:after="0" w:line="191"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231F20"/>
        </w:rPr>
        <w:t>During the year ended March 31, 2022, we reviewed over 3,400 investment opportunities and conducted approximately 3,700 meetings with fund managers across multiple geographies and all four asset classes. During the 12 months ended December 31, 2021, we allocated over $75 billion in capital to private markets on behalf of our clients, excluding legacy funds, feeder funds and research-only, non-advisory services.</w:t>
      </w:r>
    </w:p>
    <w:p>
      <w:pPr>
        <w:spacing w:after="0" w:line="191"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231F20"/>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100" w:hanging="328"/>
        <w:spacing w:after="0" w:line="24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231F2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231F2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$79 billion of our AUM as of March 31, 2022.</w:t>
      </w:r>
    </w:p>
    <w:p>
      <w:pPr>
        <w:spacing w:after="0" w:line="191" w:lineRule="exact"/>
        <w:rPr>
          <w:rFonts w:ascii="Arial" w:cs="Arial" w:eastAsia="Arial" w:hAnsi="Arial"/>
          <w:sz w:val="20"/>
          <w:szCs w:val="20"/>
          <w:color w:val="auto"/>
        </w:rPr>
      </w:pPr>
    </w:p>
    <w:p>
      <w:pPr>
        <w:ind w:left="660" w:right="220" w:hanging="328"/>
        <w:spacing w:after="0" w:line="316" w:lineRule="auto"/>
        <w:tabs>
          <w:tab w:leader="none" w:pos="648"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Focused commingled funds</w:t>
      </w:r>
      <w:r>
        <w:rPr>
          <w:rFonts w:ascii="Arial" w:cs="Arial" w:eastAsia="Arial" w:hAnsi="Arial"/>
          <w:sz w:val="18"/>
          <w:szCs w:val="18"/>
          <w:color w:val="231F20"/>
        </w:rPr>
        <w:t>. 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defined investment strategies. Focused commingled funds comprised $44 billion of our AUM as of March 31, 2022.</w:t>
      </w:r>
    </w:p>
    <w:p>
      <w:pPr>
        <w:spacing w:after="0" w:line="129" w:lineRule="exact"/>
        <w:rPr>
          <w:rFonts w:ascii="Arial" w:cs="Arial" w:eastAsia="Arial" w:hAnsi="Arial"/>
          <w:sz w:val="18"/>
          <w:szCs w:val="18"/>
          <w:color w:val="231F20"/>
        </w:rPr>
      </w:pPr>
    </w:p>
    <w:p>
      <w:pPr>
        <w:ind w:left="660" w:right="60" w:hanging="328"/>
        <w:spacing w:after="0" w:line="276" w:lineRule="auto"/>
        <w:tabs>
          <w:tab w:leader="none" w:pos="648"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Advisory, data and administrative services</w:t>
      </w:r>
      <w:r>
        <w:rPr>
          <w:rFonts w:ascii="Arial" w:cs="Arial" w:eastAsia="Arial" w:hAnsi="Arial"/>
          <w:sz w:val="18"/>
          <w:szCs w:val="18"/>
          <w:color w:val="231F20"/>
        </w:rPr>
        <w:t>. These services include one or more of the following for our clients: (i) recurring support</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SPI and our other proprietary tools; and (vi) administrative services to unaffiliated investment advisors. Advisory relationships comprised $436 billion of our AUA and </w:t>
      </w:r>
      <w:r>
        <w:rPr>
          <w:rFonts w:ascii="Arial" w:cs="Arial" w:eastAsia="Arial" w:hAnsi="Arial"/>
          <w:sz w:val="18"/>
          <w:szCs w:val="18"/>
          <w:color w:val="000000"/>
        </w:rPr>
        <w:t>$12 billion</w:t>
      </w:r>
      <w:r>
        <w:rPr>
          <w:rFonts w:ascii="Arial" w:cs="Arial" w:eastAsia="Arial" w:hAnsi="Arial"/>
          <w:sz w:val="18"/>
          <w:szCs w:val="18"/>
          <w:color w:val="231F20"/>
        </w:rPr>
        <w:t xml:space="preserve"> of our AUM as of March 31, 2022.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320" w:hanging="328"/>
        <w:spacing w:after="0" w:line="244" w:lineRule="auto"/>
        <w:tabs>
          <w:tab w:leader="none" w:pos="648" w:val="left"/>
        </w:tabs>
        <w:numPr>
          <w:ilvl w:val="0"/>
          <w:numId w:val="10"/>
        </w:numPr>
        <w:rPr>
          <w:rFonts w:ascii="Arial" w:cs="Arial" w:eastAsia="Arial" w:hAnsi="Arial"/>
          <w:sz w:val="20"/>
          <w:szCs w:val="20"/>
          <w:color w:val="231F20"/>
        </w:rPr>
      </w:pPr>
      <w:r>
        <w:rPr>
          <w:rFonts w:ascii="Arial" w:cs="Arial" w:eastAsia="Arial" w:hAnsi="Arial"/>
          <w:sz w:val="20"/>
          <w:szCs w:val="20"/>
          <w:i w:val="1"/>
          <w:iCs w:val="1"/>
          <w:color w:val="231F20"/>
        </w:rPr>
        <w:t>Portfolio analytics and reporting</w:t>
      </w:r>
      <w:r>
        <w:rPr>
          <w:rFonts w:ascii="Arial" w:cs="Arial" w:eastAsia="Arial" w:hAnsi="Arial"/>
          <w:sz w:val="20"/>
          <w:szCs w:val="20"/>
          <w:color w:val="231F20"/>
        </w:rPr>
        <w:t>. We provide clients with tailored reporting packages, including customized performance</w:t>
      </w:r>
      <w:r>
        <w:rPr>
          <w:rFonts w:ascii="Arial" w:cs="Arial" w:eastAsia="Arial" w:hAnsi="Arial"/>
          <w:sz w:val="20"/>
          <w:szCs w:val="20"/>
          <w:i w:val="1"/>
          <w:iCs w:val="1"/>
          <w:color w:val="231F20"/>
        </w:rPr>
        <w:t xml:space="preserve"> </w:t>
      </w:r>
      <w:r>
        <w:rPr>
          <w:rFonts w:ascii="Arial" w:cs="Arial" w:eastAsia="Arial" w:hAnsi="Arial"/>
          <w:sz w:val="20"/>
          <w:szCs w:val="20"/>
          <w:color w:val="231F20"/>
        </w:rPr>
        <w:t>benchmarks as well as associated compliance, administrative and tax capabilities. Mandates for portfolio analytics and reporting services typically include licensed access to our proprietary performance monitoring software, Omni. Omni tracked detailed information on over $805 billion of client commitments as of March 31, 2022, inclusive of our combined AUM/AUA, previously exited investments and investments of former clients.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Our Competitive Strengths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Truly Global Scale with Local Teams</w:t>
      </w:r>
    </w:p>
    <w:p>
      <w:pPr>
        <w:spacing w:after="0" w:line="222"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231F20"/>
        </w:rPr>
        <w:t>Since our founding, we have invested significant time and resources building a global platform that we believe is well positioned to benefit from the continued growth and globalization of the private markets. Today, we have investment and implementation professionals in 23 cities across 14 countries on five continents.</w:t>
      </w:r>
    </w:p>
    <w:p>
      <w:pPr>
        <w:spacing w:after="0" w:line="186"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231F20"/>
        </w:rPr>
        <w:t>Our offices are staffed by investment professionals who bring valuable regional insights and language proficiency to enhance existing client relationships and build new client relationships. Each of our offices follows a local staffing model, with local professionals who possess valuable insights, language proficiency and client relationships specific to that market. As of March 31, 2022, approximately 45% of our investment professionals were based outside the United States. We believe our focus on hiring local talent, supported by a deep bench of experienced investment professionals, has been critical in helping us attract a blue-chip, global client base. During the year ended March 31, 2022, over 70% of our management and advisory fees came from clients based outside of the United States.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Full-Service, Customized Approach to Delivering Solutions</w:t>
      </w:r>
    </w:p>
    <w:p>
      <w:pPr>
        <w:spacing w:after="0" w:line="22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231F20"/>
        </w:rPr>
        <w:t>We have significant expertise in customized offerings given our scale, which enables us to maintain a proprietary database across key facets of private markets investing, and our research-focused culture, which enables us to utilize this information advantage to inform our investment decisions and deliver highly customized insights and services to our clients.</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231F20"/>
        </w:rPr>
        <w:t>As a result, we are able to offer a full suite of investment solutions to our clients, not only by assisting them with building customized private markets portfolios, but also offering other value-add services such as strategic planning and research, portfolio repositioning, and portfolio monitoring and reporting. We believe our value proposition as a full-service firm also helps us strengthen and grow our client relationships. As of March 31, 2022, 37% of our advisory clients also had an AUM relationship with us, and we advised or managed assets in more than one asset class for 35% of our clients, supporting our combined AUM/AUA growth.</w:t>
      </w:r>
    </w:p>
    <w:p>
      <w:pPr>
        <w:spacing w:after="0" w:line="180"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231F20"/>
        </w:rPr>
        <w:t>Our focus on offering full-service, customized solutions to our clients is reflected in our business composition. As of March 31, 2022, we had 240 bespoke SMAs and focused commingled funds (including high-net-worth programs). For the year ended March 31, 2022, approximately 46% of our management and advisory fees (excluding fund reimbursement revenues) were generated from SMAs, as compared to 39% from focused commingled funds and 15% from advisory, data and administrative services.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Scale Across Private Markets Asset Classes</w:t>
      </w:r>
    </w:p>
    <w:p>
      <w:pPr>
        <w:spacing w:after="0" w:line="222"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231F20"/>
        </w:rPr>
        <w:t>We believe our scale across asset classes, deal flow access and dedicated operational resources is increasingly a competitive advantage in private markets solutions. We believe investors are reducing the number of fund managers they invest with, increasingly allocating capital to fund managers that have expertise across a wide range of asset classes within private markets.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PRIVATE EQUITY</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REAL ESTATE</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Pr>
          <w:p>
            <w:pPr>
              <w:jc w:val="center"/>
              <w:ind w:left="250"/>
              <w:spacing w:after="0" w:line="223" w:lineRule="exact"/>
              <w:rPr>
                <w:sz w:val="20"/>
                <w:szCs w:val="20"/>
                <w:color w:val="auto"/>
              </w:rPr>
            </w:pPr>
            <w:r>
              <w:rPr>
                <w:rFonts w:ascii="Arial" w:cs="Arial" w:eastAsia="Arial" w:hAnsi="Arial"/>
                <w:sz w:val="18"/>
                <w:szCs w:val="18"/>
                <w:b w:val="1"/>
                <w:bCs w:val="1"/>
                <w:color w:val="auto"/>
                <w:w w:val="84"/>
              </w:rPr>
              <w:t>$76B</w:t>
            </w:r>
            <w:r>
              <w:rPr>
                <w:rFonts w:ascii="Arial" w:cs="Arial" w:eastAsia="Arial" w:hAnsi="Arial"/>
                <w:sz w:val="23"/>
                <w:szCs w:val="23"/>
                <w:b w:val="1"/>
                <w:bCs w:val="1"/>
                <w:color w:val="auto"/>
                <w:w w:val="84"/>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$40B</w:t>
            </w:r>
          </w:p>
        </w:tc>
        <w:tc>
          <w:tcPr>
            <w:tcW w:w="152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0"/>
              </w:rPr>
              <w:t>$228B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50"/>
              <w:spacing w:after="0" w:line="223" w:lineRule="exact"/>
              <w:rPr>
                <w:sz w:val="20"/>
                <w:szCs w:val="20"/>
                <w:color w:val="auto"/>
              </w:rPr>
            </w:pPr>
            <w:r>
              <w:rPr>
                <w:rFonts w:ascii="Arial" w:cs="Arial" w:eastAsia="Arial" w:hAnsi="Arial"/>
                <w:sz w:val="18"/>
                <w:szCs w:val="18"/>
                <w:b w:val="1"/>
                <w:bCs w:val="1"/>
                <w:color w:val="auto"/>
                <w:w w:val="84"/>
              </w:rPr>
              <w:t>$11B</w:t>
            </w:r>
            <w:r>
              <w:rPr>
                <w:rFonts w:ascii="Arial" w:cs="Arial" w:eastAsia="Arial" w:hAnsi="Arial"/>
                <w:sz w:val="23"/>
                <w:szCs w:val="23"/>
                <w:b w:val="1"/>
                <w:bCs w:val="1"/>
                <w:color w:val="auto"/>
                <w:w w:val="84"/>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$5B</w:t>
            </w: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$149B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rPr>
              <w:t>AUM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rPr>
              <w:t>AUM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145</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50</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250"/>
        </w:trPr>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INFRASTRUCTURE</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PRIVATE DEBT</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Pr>
          <w:p>
            <w:pPr>
              <w:jc w:val="center"/>
              <w:ind w:left="250"/>
              <w:spacing w:after="0" w:line="223" w:lineRule="exact"/>
              <w:rPr>
                <w:sz w:val="20"/>
                <w:szCs w:val="20"/>
                <w:color w:val="auto"/>
              </w:rPr>
            </w:pPr>
            <w:r>
              <w:rPr>
                <w:rFonts w:ascii="Arial" w:cs="Arial" w:eastAsia="Arial" w:hAnsi="Arial"/>
                <w:sz w:val="18"/>
                <w:szCs w:val="18"/>
                <w:b w:val="1"/>
                <w:bCs w:val="1"/>
                <w:color w:val="auto"/>
                <w:w w:val="84"/>
              </w:rPr>
              <w:t>$26B</w:t>
            </w:r>
            <w:r>
              <w:rPr>
                <w:rFonts w:ascii="Arial" w:cs="Arial" w:eastAsia="Arial" w:hAnsi="Arial"/>
                <w:sz w:val="23"/>
                <w:szCs w:val="23"/>
                <w:b w:val="1"/>
                <w:bCs w:val="1"/>
                <w:color w:val="auto"/>
                <w:w w:val="84"/>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$18B</w:t>
            </w:r>
          </w:p>
        </w:tc>
        <w:tc>
          <w:tcPr>
            <w:tcW w:w="15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8"/>
              </w:rPr>
              <w:t>$44B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30"/>
              <w:spacing w:after="0" w:line="223" w:lineRule="exact"/>
              <w:rPr>
                <w:sz w:val="20"/>
                <w:szCs w:val="20"/>
                <w:color w:val="auto"/>
              </w:rPr>
            </w:pPr>
            <w:r>
              <w:rPr>
                <w:rFonts w:ascii="Arial" w:cs="Arial" w:eastAsia="Arial" w:hAnsi="Arial"/>
                <w:sz w:val="18"/>
                <w:szCs w:val="18"/>
                <w:b w:val="1"/>
                <w:bCs w:val="1"/>
                <w:color w:val="auto"/>
                <w:w w:val="87"/>
              </w:rPr>
              <w:t>$22B</w:t>
            </w:r>
            <w:r>
              <w:rPr>
                <w:rFonts w:ascii="Arial" w:cs="Arial" w:eastAsia="Arial" w:hAnsi="Arial"/>
                <w:sz w:val="23"/>
                <w:szCs w:val="23"/>
                <w:b w:val="1"/>
                <w:bCs w:val="1"/>
                <w:color w:val="auto"/>
                <w:w w:val="87"/>
                <w:vertAlign w:val="superscript"/>
              </w:rPr>
              <w:t>(1)</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$12B</w:t>
            </w: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$15B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rPr>
              <w:t>AUM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rPr>
              <w:t>AUM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52</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36</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w:t>
      </w:r>
    </w:p>
    <w:p>
      <w:pPr>
        <w:spacing w:after="0" w:line="27"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231F20"/>
        </w:rPr>
        <w:t>Note: Amounts may not sum to total due to rounding. Data presented as of March 31, 2022. AUM/AUA reflects final data for the prior period (December 31, 2021), adjusted for net new client account activity through March 31, 2022. Does not include post-period investment valuation or cash activity. Net asset value (“NAV”) data for underlying investments is as of December 31, 2020, as reported by underlying managers up to 115 days following December 31, 2021. When NAV data is not available by 115 days following December 31, 2021, such NAVs are adjusted for cash activity following the last available reported NAV.</w:t>
      </w:r>
    </w:p>
    <w:p>
      <w:pPr>
        <w:spacing w:after="0" w:line="2"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Allocation of AUM by asset class is presented by underlying investment asset classification.</w:t>
      </w:r>
    </w:p>
    <w:p>
      <w:pPr>
        <w:spacing w:after="0" w:line="202" w:lineRule="exact"/>
        <w:rPr>
          <w:rFonts w:ascii="Arial" w:cs="Arial" w:eastAsia="Arial" w:hAnsi="Arial"/>
          <w:sz w:val="18"/>
          <w:szCs w:val="18"/>
          <w:color w:val="231F20"/>
        </w:rPr>
      </w:pPr>
    </w:p>
    <w:p>
      <w:pPr>
        <w:ind w:left="660"/>
        <w:spacing w:after="0"/>
        <w:rPr>
          <w:rFonts w:ascii="Arial" w:cs="Arial" w:eastAsia="Arial" w:hAnsi="Arial"/>
          <w:sz w:val="18"/>
          <w:szCs w:val="18"/>
          <w:color w:val="231F20"/>
        </w:rPr>
      </w:pPr>
      <w:r>
        <w:rPr>
          <w:rFonts w:ascii="Arial" w:cs="Arial" w:eastAsia="Arial" w:hAnsi="Arial"/>
          <w:sz w:val="20"/>
          <w:szCs w:val="20"/>
          <w:b w:val="1"/>
          <w:bCs w:val="1"/>
          <w:color w:val="231F20"/>
        </w:rPr>
        <w:t>Well Positioned to Continue to Serve and Grow Our Diverse and Global Client Base</w:t>
      </w:r>
    </w:p>
    <w:p>
      <w:pPr>
        <w:spacing w:after="0" w:line="222" w:lineRule="exact"/>
        <w:rPr>
          <w:sz w:val="20"/>
          <w:szCs w:val="20"/>
          <w:color w:val="auto"/>
        </w:rPr>
      </w:pPr>
    </w:p>
    <w:p>
      <w:pPr>
        <w:ind w:right="200" w:firstLine="648"/>
        <w:spacing w:after="0" w:line="244" w:lineRule="auto"/>
        <w:rPr>
          <w:sz w:val="20"/>
          <w:szCs w:val="20"/>
          <w:color w:val="auto"/>
        </w:rPr>
      </w:pPr>
      <w:r>
        <w:rPr>
          <w:rFonts w:ascii="Arial" w:cs="Arial" w:eastAsia="Arial" w:hAnsi="Arial"/>
          <w:sz w:val="20"/>
          <w:szCs w:val="20"/>
          <w:color w:val="231F20"/>
        </w:rPr>
        <w:t>We believe we are a leading provider of private markets solutions for a broad variety of clients. Our clients include some of the world’s largest public and private defined benefit and defined contribution pension funds, sovereign wealth funds and insurance companies, as well as prominent endowments, foundations, family offices and private wealth clients. In many instances, existing clients have increased allocations to additional asset classes and commercial structures and deployed capital across our asset management and advisory services businesses.</w:t>
      </w:r>
    </w:p>
    <w:p>
      <w:pPr>
        <w:spacing w:after="0" w:line="194"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color w:val="231F20"/>
        </w:rPr>
        <w:t>Our dedicated in-house business development and client relations teams, comprising nearly 100 professionals in offices across 11 countries, maintain an active and transparent dialogue with our diverse and global client base. Consistent with our staffing model on the investment side, we ensure local clients are interfacing with business development professionals who have local expertise.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Preeminent Data and Analytics with Proprietary Software</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231F20"/>
        </w:rPr>
        <w:t>Our data-driven, research-focused approach has been core to our investment philosophy since inception, which we believe is one of our biggest competitive strengths. Our data are organized around our proprietary software systems:</w:t>
      </w:r>
    </w:p>
    <w:p>
      <w:pPr>
        <w:spacing w:after="0" w:line="177" w:lineRule="exact"/>
        <w:rPr>
          <w:sz w:val="20"/>
          <w:szCs w:val="20"/>
          <w:color w:val="auto"/>
        </w:rPr>
      </w:pPr>
    </w:p>
    <w:p>
      <w:pPr>
        <w:ind w:left="660" w:right="140" w:hanging="328"/>
        <w:spacing w:after="0" w:line="274" w:lineRule="auto"/>
        <w:tabs>
          <w:tab w:leader="none" w:pos="648"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 xml:space="preserve">SPI monitors investment opportunities and is used by our investment professionals as an investment decision making tool. As of March 31, 2022, SPI contained information on over 72,000 companies, over $22 trillion of AUM across over 40,000 funds and over 15,000 fund managers showing fund-level performance for nearly 14,000 funds. SPI initially augmented our own due diligence, investment and portfolio construction processes. In response to growing industry demand for private markets intelligence, we subsequently developed an interface for direct client access. Through SPI, our clients can access detailed, regularly updated information on managers through an intuitive, web-based user interface. Our research professionals utilize this technology to collect and develop qualitative and quantitative perspectives on </w:t>
      </w:r>
      <w:r>
        <w:rPr>
          <w:rFonts w:ascii="Arial" w:cs="Arial" w:eastAsia="Arial" w:hAnsi="Arial"/>
          <w:sz w:val="18"/>
          <w:szCs w:val="18"/>
          <w:color w:val="000000"/>
        </w:rPr>
        <w:t>investment opportunities.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100" w:hanging="328"/>
        <w:spacing w:after="0" w:line="282" w:lineRule="auto"/>
        <w:tabs>
          <w:tab w:leader="none" w:pos="648"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Omni monitors the performance of our clients’ investments and allows users, including our clients, to generate detailed analytics. As of March 31, 2022, Omni tracked detailed information on over 8,000 investments across more than 65,000 underlying portfolio companies. Omni is used extensively by our approximately 80 person StepStone Portfolio Analytics &amp; Reporting (“SPAR”) team to provide customized portfolio analytics and reporting on the performance of our clients’ investments.</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231F20"/>
        </w:rPr>
        <w:t>We also have a number of additional proprietary tools that we use and license in service of our clients, including our Pacing tool that enables clients to forecast liquidity needs, our daily valuation engine that facilitates asset management solutions offering periodic subscription or liquidity (such as the mass affluent and defined contribution plan markets), ESG reporting dashboards that allow our clients to monitor their portfolio against these non-financial metrics, and a secondary pricing engine that drives operating leverage in our evaluation of larger and more complex transactions. The combination of SPI, Omni, and our other tools offers an end-to-end software technology and data solution that delivers significantly more information than most private markets investors have available, providing us with a meaningful advantage in our investment, due diligence and client relations efforts. Data science within private markets has historically been difficult due to the lack of standardization and the labor-intensive process of collecting and processing information. We have a dedicated Data Science and Engineering team with over 40 members, which manages and continues to develop our SPI and Omni platforms (and our additional proprietary tools built on these platforms) and supports our efforts to be a market leader in an area that is essential to evaluating private markets.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Strong Investment Performance Track Record</w:t>
      </w:r>
    </w:p>
    <w:p>
      <w:pPr>
        <w:spacing w:after="0" w:line="222" w:lineRule="exact"/>
        <w:rPr>
          <w:sz w:val="20"/>
          <w:szCs w:val="20"/>
          <w:color w:val="auto"/>
        </w:rPr>
      </w:pPr>
    </w:p>
    <w:p>
      <w:pPr>
        <w:ind w:right="340" w:firstLine="648"/>
        <w:spacing w:after="0" w:line="263" w:lineRule="auto"/>
        <w:rPr>
          <w:sz w:val="20"/>
          <w:szCs w:val="20"/>
          <w:color w:val="auto"/>
        </w:rPr>
      </w:pPr>
      <w:r>
        <w:rPr>
          <w:rFonts w:ascii="Arial" w:cs="Arial" w:eastAsia="Arial" w:hAnsi="Arial"/>
          <w:sz w:val="19"/>
          <w:szCs w:val="19"/>
          <w:color w:val="231F20"/>
        </w:rPr>
        <w:t>Our track record is a key point of differentiation to our clients. As shown below, we have outperformed the MSCI ACWI Index, calculated on a Direct Alpha Equivalent basis, the benchmark index used for comparison across all of our investment strategies on an inception-to-date basis as of December 31, 2021. See “Part II, Item 7. Management’s Discussion and Analysis of Financial Condition and Results of Operations—Investment Performance” below for more information and explanatory footnotes.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billions except percentages</w:t>
      </w:r>
    </w:p>
    <w:p>
      <w:pPr>
        <w:ind w:left="20"/>
        <w:spacing w:after="0"/>
        <w:rPr>
          <w:sz w:val="20"/>
          <w:szCs w:val="20"/>
          <w:color w:val="auto"/>
        </w:rPr>
      </w:pPr>
      <w:r>
        <w:rPr>
          <w:rFonts w:ascii="Arial" w:cs="Arial" w:eastAsia="Arial" w:hAnsi="Arial"/>
          <w:sz w:val="16"/>
          <w:szCs w:val="16"/>
          <w:color w:val="auto"/>
        </w:rPr>
        <w:t>and multiples)</w:t>
      </w:r>
    </w:p>
    <w:tbl>
      <w:tblPr>
        <w:tblLayout w:type="fixed"/>
        <w:tblInd w:w="20" w:type="dxa"/>
        <w:tblCellMar>
          <w:top w:w="0" w:type="dxa"/>
          <w:left w:w="0" w:type="dxa"/>
          <w:bottom w:w="0" w:type="dxa"/>
          <w:right w:w="0" w:type="dxa"/>
        </w:tblCellMar>
      </w:tblPr>
      <w:tr>
        <w:trPr>
          <w:trHeight w:val="180"/>
        </w:trPr>
        <w:tc>
          <w:tcPr>
            <w:tcW w:w="5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color w:val="auto"/>
                <w:w w:val="95"/>
              </w:rPr>
              <w:t>Committed</w:t>
            </w:r>
          </w:p>
        </w:tc>
        <w:tc>
          <w:tcPr>
            <w:tcW w:w="120" w:type="dxa"/>
            <w:vAlign w:val="bottom"/>
          </w:tcPr>
          <w:p>
            <w:pPr>
              <w:spacing w:after="0"/>
              <w:rPr>
                <w:sz w:val="15"/>
                <w:szCs w:val="15"/>
                <w:color w:val="auto"/>
              </w:rPr>
            </w:pPr>
          </w:p>
        </w:tc>
        <w:tc>
          <w:tcPr>
            <w:tcW w:w="960" w:type="dxa"/>
            <w:vAlign w:val="bottom"/>
          </w:tcPr>
          <w:p>
            <w:pPr>
              <w:jc w:val="center"/>
              <w:ind w:right="39"/>
              <w:spacing w:after="0" w:line="180" w:lineRule="exact"/>
              <w:rPr>
                <w:sz w:val="20"/>
                <w:szCs w:val="20"/>
                <w:color w:val="auto"/>
              </w:rPr>
            </w:pPr>
            <w:r>
              <w:rPr>
                <w:rFonts w:ascii="Arial" w:cs="Arial" w:eastAsia="Arial" w:hAnsi="Arial"/>
                <w:sz w:val="16"/>
                <w:szCs w:val="16"/>
                <w:color w:val="auto"/>
                <w:w w:val="94"/>
              </w:rPr>
              <w:t>Cumulative</w:t>
            </w:r>
          </w:p>
        </w:tc>
        <w:tc>
          <w:tcPr>
            <w:tcW w:w="100" w:type="dxa"/>
            <w:vAlign w:val="bottom"/>
          </w:tcPr>
          <w:p>
            <w:pPr>
              <w:spacing w:after="0"/>
              <w:rPr>
                <w:sz w:val="15"/>
                <w:szCs w:val="15"/>
                <w:color w:val="auto"/>
              </w:rPr>
            </w:pPr>
          </w:p>
        </w:tc>
        <w:tc>
          <w:tcPr>
            <w:tcW w:w="980" w:type="dxa"/>
            <w:vAlign w:val="bottom"/>
            <w:vMerge w:val="restart"/>
          </w:tcPr>
          <w:p>
            <w:pPr>
              <w:jc w:val="right"/>
              <w:ind w:right="179"/>
              <w:spacing w:after="0"/>
              <w:rPr>
                <w:sz w:val="20"/>
                <w:szCs w:val="20"/>
                <w:color w:val="auto"/>
              </w:rPr>
            </w:pPr>
            <w:r>
              <w:rPr>
                <w:rFonts w:ascii="Arial" w:cs="Arial" w:eastAsia="Arial" w:hAnsi="Arial"/>
                <w:sz w:val="16"/>
                <w:szCs w:val="16"/>
                <w:color w:val="auto"/>
              </w:rPr>
              <w:t>Realized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Arial" w:cs="Arial" w:eastAsia="Arial" w:hAnsi="Arial"/>
                <w:sz w:val="16"/>
                <w:szCs w:val="16"/>
                <w:color w:val="auto"/>
              </w:rPr>
              <w:t>Multiple of</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w w:val="91"/>
              </w:rPr>
              <w:t>Gross IRR versus</w:t>
            </w:r>
          </w:p>
        </w:tc>
        <w:tc>
          <w:tcPr>
            <w:tcW w:w="0" w:type="dxa"/>
            <w:vAlign w:val="bottom"/>
          </w:tcPr>
          <w:p>
            <w:pPr>
              <w:spacing w:after="0"/>
              <w:rPr>
                <w:sz w:val="1"/>
                <w:szCs w:val="1"/>
                <w:color w:val="auto"/>
              </w:rPr>
            </w:pPr>
          </w:p>
        </w:tc>
      </w:tr>
      <w:tr>
        <w:trPr>
          <w:trHeight w:val="162"/>
        </w:trPr>
        <w:tc>
          <w:tcPr>
            <w:tcW w:w="2220" w:type="dxa"/>
            <w:vAlign w:val="bottom"/>
            <w:gridSpan w:val="2"/>
            <w:vMerge w:val="restart"/>
          </w:tcPr>
          <w:p>
            <w:pPr>
              <w:spacing w:after="0"/>
              <w:rPr>
                <w:sz w:val="20"/>
                <w:szCs w:val="20"/>
                <w:color w:val="auto"/>
              </w:rPr>
            </w:pPr>
            <w:r>
              <w:rPr>
                <w:rFonts w:ascii="Arial" w:cs="Arial" w:eastAsia="Arial" w:hAnsi="Arial"/>
                <w:sz w:val="16"/>
                <w:szCs w:val="16"/>
                <w:color w:val="auto"/>
              </w:rPr>
              <w:t>Strategy</w:t>
            </w: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2"/>
              </w:rPr>
              <w:t>Invested</w:t>
            </w: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6"/>
                <w:szCs w:val="16"/>
                <w:color w:val="auto"/>
              </w:rPr>
              <w:t>NAV</w:t>
            </w:r>
          </w:p>
        </w:tc>
        <w:tc>
          <w:tcPr>
            <w:tcW w:w="18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6"/>
                <w:szCs w:val="16"/>
                <w:color w:val="auto"/>
              </w:rPr>
              <w:t>Total</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w w:val="89"/>
              </w:rPr>
              <w:t>Invested</w:t>
            </w:r>
          </w:p>
        </w:tc>
        <w:tc>
          <w:tcPr>
            <w:tcW w:w="102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Gross IRR</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Net IRR</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19"/>
              <w:spacing w:after="0" w:line="172" w:lineRule="exact"/>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14"/>
                <w:szCs w:val="14"/>
                <w:color w:val="auto"/>
              </w:rPr>
            </w:pPr>
          </w:p>
        </w:tc>
        <w:tc>
          <w:tcPr>
            <w:tcW w:w="960" w:type="dxa"/>
            <w:vAlign w:val="bottom"/>
          </w:tcPr>
          <w:p>
            <w:pPr>
              <w:jc w:val="center"/>
              <w:ind w:right="59"/>
              <w:spacing w:after="0" w:line="172" w:lineRule="exact"/>
              <w:rPr>
                <w:sz w:val="20"/>
                <w:szCs w:val="20"/>
                <w:color w:val="auto"/>
              </w:rPr>
            </w:pPr>
            <w:r>
              <w:rPr>
                <w:rFonts w:ascii="Arial" w:cs="Arial" w:eastAsia="Arial" w:hAnsi="Arial"/>
                <w:sz w:val="16"/>
                <w:szCs w:val="16"/>
                <w:color w:val="auto"/>
                <w:w w:val="92"/>
              </w:rPr>
              <w:t>Capital</w:t>
            </w:r>
          </w:p>
        </w:tc>
        <w:tc>
          <w:tcPr>
            <w:tcW w:w="100" w:type="dxa"/>
            <w:vAlign w:val="bottom"/>
          </w:tcPr>
          <w:p>
            <w:pPr>
              <w:spacing w:after="0"/>
              <w:rPr>
                <w:sz w:val="14"/>
                <w:szCs w:val="14"/>
                <w:color w:val="auto"/>
              </w:rPr>
            </w:pPr>
          </w:p>
        </w:tc>
        <w:tc>
          <w:tcPr>
            <w:tcW w:w="980" w:type="dxa"/>
            <w:vAlign w:val="bottom"/>
          </w:tcPr>
          <w:p>
            <w:pPr>
              <w:jc w:val="right"/>
              <w:ind w:right="39"/>
              <w:spacing w:after="0" w:line="172" w:lineRule="exact"/>
              <w:rPr>
                <w:sz w:val="20"/>
                <w:szCs w:val="20"/>
                <w:color w:val="auto"/>
              </w:rPr>
            </w:pPr>
            <w:r>
              <w:rPr>
                <w:rFonts w:ascii="Arial" w:cs="Arial" w:eastAsia="Arial" w:hAnsi="Arial"/>
                <w:sz w:val="16"/>
                <w:szCs w:val="16"/>
                <w:color w:val="auto"/>
                <w:w w:val="95"/>
              </w:rPr>
              <w:t>Distributions</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tcPr>
          <w:p>
            <w:pPr>
              <w:jc w:val="center"/>
              <w:spacing w:after="0" w:line="172" w:lineRule="exact"/>
              <w:rPr>
                <w:sz w:val="20"/>
                <w:szCs w:val="20"/>
                <w:color w:val="auto"/>
              </w:rPr>
            </w:pPr>
            <w:r>
              <w:rPr>
                <w:rFonts w:ascii="Arial" w:cs="Arial" w:eastAsia="Arial" w:hAnsi="Arial"/>
                <w:sz w:val="16"/>
                <w:szCs w:val="16"/>
                <w:color w:val="auto"/>
                <w:w w:val="92"/>
              </w:rPr>
              <w:t>Capital</w:t>
            </w:r>
          </w:p>
        </w:tc>
        <w:tc>
          <w:tcPr>
            <w:tcW w:w="10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Benchmark</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6"/>
                <w:szCs w:val="16"/>
                <w:color w:val="auto"/>
              </w:rPr>
              <w:t>Primaries</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22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94.4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125.7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220.1</w:t>
            </w:r>
          </w:p>
        </w:tc>
        <w:tc>
          <w:tcPr>
            <w:tcW w:w="920" w:type="dxa"/>
            <w:vAlign w:val="bottom"/>
          </w:tcPr>
          <w:p>
            <w:pPr>
              <w:ind w:left="560"/>
              <w:spacing w:after="0"/>
              <w:rPr>
                <w:sz w:val="20"/>
                <w:szCs w:val="20"/>
                <w:color w:val="auto"/>
              </w:rPr>
            </w:pPr>
            <w:r>
              <w:rPr>
                <w:rFonts w:ascii="Arial" w:cs="Arial" w:eastAsia="Arial" w:hAnsi="Arial"/>
                <w:sz w:val="16"/>
                <w:szCs w:val="16"/>
                <w:color w:val="auto"/>
              </w:rPr>
              <w:t>1.5x</w:t>
            </w:r>
          </w:p>
        </w:tc>
        <w:tc>
          <w:tcPr>
            <w:tcW w:w="720" w:type="dxa"/>
            <w:vAlign w:val="bottom"/>
          </w:tcPr>
          <w:p>
            <w:pPr>
              <w:jc w:val="right"/>
              <w:spacing w:after="0"/>
              <w:rPr>
                <w:sz w:val="20"/>
                <w:szCs w:val="20"/>
                <w:color w:val="auto"/>
              </w:rPr>
            </w:pPr>
            <w:r>
              <w:rPr>
                <w:rFonts w:ascii="Arial" w:cs="Arial" w:eastAsia="Arial" w:hAnsi="Arial"/>
                <w:sz w:val="16"/>
                <w:szCs w:val="16"/>
                <w:color w:val="auto"/>
              </w:rPr>
              <w:t>13.7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6"/>
                <w:szCs w:val="16"/>
                <w:color w:val="auto"/>
              </w:rPr>
              <w:t>Secondaries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15.8</w:t>
            </w:r>
          </w:p>
        </w:tc>
        <w:tc>
          <w:tcPr>
            <w:tcW w:w="920" w:type="dxa"/>
            <w:vAlign w:val="bottom"/>
          </w:tcPr>
          <w:p>
            <w:pPr>
              <w:ind w:left="560"/>
              <w:spacing w:after="0"/>
              <w:rPr>
                <w:sz w:val="20"/>
                <w:szCs w:val="20"/>
                <w:color w:val="auto"/>
              </w:rPr>
            </w:pPr>
            <w:r>
              <w:rPr>
                <w:rFonts w:ascii="Arial" w:cs="Arial" w:eastAsia="Arial" w:hAnsi="Arial"/>
                <w:sz w:val="16"/>
                <w:szCs w:val="16"/>
                <w:color w:val="auto"/>
              </w:rPr>
              <w:t>1.6x</w:t>
            </w:r>
          </w:p>
        </w:tc>
        <w:tc>
          <w:tcPr>
            <w:tcW w:w="720" w:type="dxa"/>
            <w:vAlign w:val="bottom"/>
          </w:tcPr>
          <w:p>
            <w:pPr>
              <w:jc w:val="right"/>
              <w:spacing w:after="0"/>
              <w:rPr>
                <w:sz w:val="20"/>
                <w:szCs w:val="20"/>
                <w:color w:val="auto"/>
              </w:rPr>
            </w:pPr>
            <w:r>
              <w:rPr>
                <w:rFonts w:ascii="Arial" w:cs="Arial" w:eastAsia="Arial" w:hAnsi="Arial"/>
                <w:sz w:val="16"/>
                <w:szCs w:val="16"/>
                <w:color w:val="auto"/>
              </w:rPr>
              <w:t>24.5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220" w:type="dxa"/>
            <w:vAlign w:val="bottom"/>
            <w:gridSpan w:val="2"/>
          </w:tcPr>
          <w:p>
            <w:pPr>
              <w:spacing w:after="0"/>
              <w:rPr>
                <w:sz w:val="20"/>
                <w:szCs w:val="20"/>
                <w:color w:val="auto"/>
              </w:rPr>
            </w:pPr>
            <w:r>
              <w:rPr>
                <w:rFonts w:ascii="Arial" w:cs="Arial" w:eastAsia="Arial" w:hAnsi="Arial"/>
                <w:sz w:val="16"/>
                <w:szCs w:val="16"/>
                <w:color w:val="auto"/>
              </w:rPr>
              <w:t>Co-investments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1.7x</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278.5</w:t>
            </w:r>
          </w:p>
        </w:tc>
        <w:tc>
          <w:tcPr>
            <w:tcW w:w="920" w:type="dxa"/>
            <w:vAlign w:val="bottom"/>
          </w:tcPr>
          <w:p>
            <w:pPr>
              <w:ind w:left="560"/>
              <w:spacing w:after="0"/>
              <w:rPr>
                <w:sz w:val="20"/>
                <w:szCs w:val="20"/>
                <w:color w:val="auto"/>
              </w:rPr>
            </w:pPr>
            <w:r>
              <w:rPr>
                <w:rFonts w:ascii="Arial" w:cs="Arial" w:eastAsia="Arial" w:hAnsi="Arial"/>
                <w:sz w:val="16"/>
                <w:szCs w:val="16"/>
                <w:b w:val="1"/>
                <w:bCs w:val="1"/>
                <w:color w:val="auto"/>
              </w:rPr>
              <w:t>1.5x</w:t>
            </w:r>
          </w:p>
        </w:tc>
        <w:tc>
          <w:tcPr>
            <w:tcW w:w="10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14.8 %</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14.2 %</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3.1 %</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231F20"/>
        </w:rPr>
        <w:t>We attribute our strong investment performance track record to numerous factors, including our scale and global reach, our selective investment process powered by our technology and data advantage and our experienced investment teams. Together, these attributes allow us to source highly attractive investment opportunities with a compelling risk-adjusted return profile for our clients’ diverse investment objectives. Our track record has attracted clients seeking exposure to investments with varying risk and return objectives and, in turn, allowed us to successfully and consistently grow assets across our platform.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Attractive Financial Profile, Supported by Longer Duration Capital Base and Scalable Platform</w:t>
      </w:r>
    </w:p>
    <w:p>
      <w:pPr>
        <w:spacing w:after="0" w:line="222"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231F20"/>
        </w:rPr>
        <w:t>We have a scalable business model with two integrated revenue streams: management and advisory fees and performance fees. Our superior value proposition to clients, enabled by our global scale, expertise across private markets asset classes and investment strategies, as well as our research and analytics capabilities, drives strong growth in AUM and AUA, which in turn leads to management and advisory fee growth. Investment returns for our clients provide additional revenue opportunities to us in the form of potential performance fees and investment income.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believe our revenue model has the following important attributes: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Sustainable and recurring management and advisory fees</w:t>
      </w:r>
    </w:p>
    <w:p>
      <w:pPr>
        <w:spacing w:after="0" w:line="216"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231F20"/>
        </w:rPr>
        <w:t>Our management and advisory fees grew from $141 million in fiscal 2018 to $380 million in fiscal 2022, representing a 28% compounded annual growth rate (or 24% excluding the Greenspring acquisition). For the year ended March 31, 2022, approximately 60% of our management fees were from SMAs and focused commingled funds with a remaining tenor of seven years or more. We have had a high level of success in retaining our advisory clients with an over 90% retention rate since inception.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Highly predictable with strong visibility into near-term growth</w:t>
      </w:r>
    </w:p>
    <w:p>
      <w:pPr>
        <w:spacing w:after="0" w:line="216" w:lineRule="exact"/>
        <w:rPr>
          <w:sz w:val="20"/>
          <w:szCs w:val="20"/>
          <w:color w:val="auto"/>
        </w:rPr>
      </w:pPr>
    </w:p>
    <w:p>
      <w:pPr>
        <w:ind w:right="760" w:firstLine="648"/>
        <w:spacing w:after="0" w:line="250" w:lineRule="auto"/>
        <w:rPr>
          <w:sz w:val="20"/>
          <w:szCs w:val="20"/>
          <w:color w:val="auto"/>
        </w:rPr>
      </w:pPr>
      <w:r>
        <w:rPr>
          <w:rFonts w:ascii="Arial" w:cs="Arial" w:eastAsia="Arial" w:hAnsi="Arial"/>
          <w:sz w:val="20"/>
          <w:szCs w:val="20"/>
          <w:color w:val="231F20"/>
        </w:rPr>
        <w:t>Our SMAs and focused commingled funds typically have a 10 to 18-year maturity at inception, including extensions. As of March 31, 2022, we had approximately $17 billion of committed but undeployed fee-earning capital, which we expect to generate management fees when deployed or activated.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Diverse</w:t>
      </w:r>
    </w:p>
    <w:p>
      <w:pPr>
        <w:spacing w:after="0" w:line="21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9"/>
          <w:szCs w:val="19"/>
          <w:color w:val="231F20"/>
        </w:rPr>
        <w:t>As of March 31, 2022, we had over 330 revenue-generating asset management and advisory programs and therefore are not dependent upon or concentrated in any single investment vehicle or client. For the year ended March 31, 2022, no single client contributed more than 6% of our total management and advisory fees, and our top 10 clients, which comprise over 50 separate mandates and commitments to commingled funds, contributed approximately 27% of our total management and advisory fees.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Upside from performance fees</w:t>
      </w:r>
    </w:p>
    <w:p>
      <w:pPr>
        <w:spacing w:after="0" w:line="216"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231F20"/>
        </w:rPr>
        <w:t>As of March 31, 2022, we had approximately 155 investment programs with the potential to earn performance fees, consisting of over $55 billion in committed capital. As of March 31, 2022, our accrued carried interest allocations balance, which we view as a backlog of future carried interest allocation revenue, was $1,481 million. Approximately 69% of current accrued carried interest allocations is from StepStone Fund vintages of 2017 or prior.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Led by a Seasoned Team of Professionals Whose Interests Are Aligned with Clients and Our Stockholders</w:t>
      </w:r>
    </w:p>
    <w:p>
      <w:pPr>
        <w:spacing w:after="0" w:line="222"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231F20"/>
        </w:rPr>
        <w:t>We believe our biggest asset is our people, and therefore we focus on consistently recruiting the best people, all of whom are proven leaders in their areas of expertise. As of March 31, 2022, nearly 80 partners led the firm, with an average of nearly 20 years of investment or industry experience. As of March 31, 2022, over 480 of our employees have equity interests in us in the form of direct equity interests and/or restricted stock units under our 2020 Long-Term Incentive Plan (“LTIP”), and more than 190 employees are entitled to participate in our carried interest allocations in one or more of the asset classes.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Strategic Priorities</w:t>
      </w:r>
    </w:p>
    <w:p>
      <w:pPr>
        <w:spacing w:after="0" w:line="22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231F20"/>
        </w:rPr>
        <w:t>We aim to leverage our core principles and values that have guided us since inception to continue to grow our business, using the following key strategies: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Continue to Grow with Existing Clients</w:t>
      </w:r>
    </w:p>
    <w:p>
      <w:pPr>
        <w:spacing w:after="0" w:line="222" w:lineRule="exact"/>
        <w:rPr>
          <w:sz w:val="20"/>
          <w:szCs w:val="20"/>
          <w:color w:val="auto"/>
        </w:rPr>
      </w:pPr>
    </w:p>
    <w:p>
      <w:pPr>
        <w:jc w:val="both"/>
        <w:ind w:right="220" w:firstLine="648"/>
        <w:spacing w:after="0" w:line="246" w:lineRule="auto"/>
        <w:rPr>
          <w:sz w:val="20"/>
          <w:szCs w:val="20"/>
          <w:color w:val="auto"/>
        </w:rPr>
      </w:pPr>
      <w:r>
        <w:rPr>
          <w:rFonts w:ascii="Arial" w:cs="Arial" w:eastAsia="Arial" w:hAnsi="Arial"/>
          <w:sz w:val="20"/>
          <w:szCs w:val="20"/>
          <w:i w:val="1"/>
          <w:iCs w:val="1"/>
          <w:color w:val="231F20"/>
        </w:rPr>
        <w:t>Expand existing client mandates</w:t>
      </w:r>
      <w:r>
        <w:rPr>
          <w:rFonts w:ascii="Arial" w:cs="Arial" w:eastAsia="Arial" w:hAnsi="Arial"/>
          <w:sz w:val="20"/>
          <w:szCs w:val="20"/>
          <w:color w:val="231F20"/>
        </w:rPr>
        <w:t>. As a customized solutions provider, we spend significant time listening to the challenges that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clients face and responding by creating solutions to meet their needs. In addition, we believe our existing clients have a growing asset base and are expanding allocations to private markets investments. As a result, we believe a large portion of our growth will come from existing clients through renewals and expansion of existing mandates with us.</w:t>
      </w:r>
    </w:p>
    <w:p>
      <w:pPr>
        <w:spacing w:after="0" w:line="191"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i w:val="1"/>
          <w:iCs w:val="1"/>
          <w:color w:val="231F20"/>
        </w:rPr>
        <w:t>Deploy already raised committed capital</w:t>
      </w:r>
      <w:r>
        <w:rPr>
          <w:rFonts w:ascii="Arial" w:cs="Arial" w:eastAsia="Arial" w:hAnsi="Arial"/>
          <w:sz w:val="20"/>
          <w:szCs w:val="20"/>
          <w:color w:val="231F20"/>
        </w:rPr>
        <w:t>. As of March 31, 2022, we had approximately $17 billion of capital not yet deployed across</w:t>
      </w:r>
      <w:r>
        <w:rPr>
          <w:rFonts w:ascii="Arial" w:cs="Arial" w:eastAsia="Arial" w:hAnsi="Arial"/>
          <w:sz w:val="20"/>
          <w:szCs w:val="20"/>
          <w:i w:val="1"/>
          <w:iCs w:val="1"/>
          <w:color w:val="231F20"/>
        </w:rPr>
        <w:t xml:space="preserve"> </w:t>
      </w:r>
      <w:r>
        <w:rPr>
          <w:rFonts w:ascii="Arial" w:cs="Arial" w:eastAsia="Arial" w:hAnsi="Arial"/>
          <w:sz w:val="20"/>
          <w:szCs w:val="20"/>
          <w:color w:val="231F20"/>
        </w:rPr>
        <w:t>our various investment vehicles, which we expect to generate management fees when invested or activated.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Add New Clients Globally</w:t>
      </w:r>
    </w:p>
    <w:p>
      <w:pPr>
        <w:spacing w:after="0" w:line="222"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231F20"/>
        </w:rPr>
        <w:t>Over the past decade, we have invested in and grown both our in-house and third-party distribution networks. As of March 31, 2022, we had nearly 100 professionals worldwide dedicated to business development and client relations. Our local business development professionals lead conversations with potential local clients.</w:t>
      </w:r>
    </w:p>
    <w:p>
      <w:pPr>
        <w:spacing w:after="0" w:line="186"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231F20"/>
        </w:rPr>
        <w:t>We believe that geographically and economically diverse U.S. and non-U.S. investors will require a highly bespoke approach and will demand high levels of transparency, governance and reporting. We have seen this pattern developing across many geographies, including Europe, the Middle East, Latin America, Australia, Japan, South Korea, Southeast Asia and China, and have positioned ourselves to take advantage of it by establishing local presence with global investment capabilities. We believe our global footprint places us in a favorable position to tap the global pools of demand for private markets.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Continue to Expand Our Distribution Channel for Private Wealth Clients</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231F20"/>
        </w:rPr>
        <w:t>Many high-net-worth and mass affluent individual investors continue to have difficulty accessing private markets investment opportunities because of a lack of products currently available that satisfy regulatory and structural requirements related to liquidity, transparency and administration. We have developed an investment platform, Conversus, designed to expand access to the private markets for private wealth clients.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Leverage Our Scale to Enhance Operating Margins</w:t>
      </w:r>
    </w:p>
    <w:p>
      <w:pPr>
        <w:spacing w:after="0" w:line="222" w:lineRule="exact"/>
        <w:rPr>
          <w:sz w:val="20"/>
          <w:szCs w:val="20"/>
          <w:color w:val="auto"/>
        </w:rPr>
      </w:pPr>
    </w:p>
    <w:p>
      <w:pPr>
        <w:ind w:right="400" w:firstLine="648"/>
        <w:spacing w:after="0" w:line="246" w:lineRule="auto"/>
        <w:rPr>
          <w:sz w:val="20"/>
          <w:szCs w:val="20"/>
          <w:color w:val="auto"/>
        </w:rPr>
      </w:pPr>
      <w:r>
        <w:rPr>
          <w:rFonts w:ascii="Arial" w:cs="Arial" w:eastAsia="Arial" w:hAnsi="Arial"/>
          <w:sz w:val="20"/>
          <w:szCs w:val="20"/>
          <w:color w:val="231F20"/>
        </w:rPr>
        <w:t>Since inception we have made significant investments in our platform infrastructure through building out our investment and implementation teams across geographies and asset classes and developing technology-enabled solutions. We believe we have scaled the personnel and infrastructure of our business to support significant growth in our client base across our existing investment offerings, positioning us well to continue to drive operating margin improvement.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Monetize Our Data and Analytics Capabilities</w:t>
      </w:r>
    </w:p>
    <w:p>
      <w:pPr>
        <w:spacing w:after="0" w:line="222"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231F20"/>
        </w:rPr>
        <w:t>Our proprietary database, SPI, provides access to valuable data that forms the cornerstone of our investing process. We license SPI to clients in the form of a traditional licensed offering as well as an “advisory-like” service where we offer the SPI license and limited advisory-type support from our team. This has allowed us to support the private markets activities of clients that are too small to participate in our full-service advisory offerings. Omni and SPI both allow users to leverage our research data, further enhancing our client experience and services. We also strategically use SPI and Omni as a competitive product bundle, for example, by providing both offerings to clients to secure more comprehensive mandates.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Pursue Accretive Transactions to Complement Our Platform</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231F20"/>
        </w:rPr>
        <w:t>We may complement our strong organic growth with selective strategic and tactical acquisitions. We intend to remain highly disciplined in our development strategy to ensure that we are allocating management time and our capital in the most productive areas to fuel growth. Our strategy will focus on opportunities that expand our scale in existing markets, add complementary capabilities, enhance distribution, or provide access to new markets. For example, in September 2021, we acquired Greenspring, a venture capital platform, further enhancing our private equity offerings. The acquisition has enhanced our capabilities as a private markets solution provider, helping us forge deeper relationships with clients, limited partners and general partners, and we believe has made us a clear market leader in venture capital and growth equity.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Investment Strategies</w:t>
      </w:r>
    </w:p>
    <w:p>
      <w:pPr>
        <w:spacing w:after="0" w:line="222" w:lineRule="exact"/>
        <w:rPr>
          <w:sz w:val="20"/>
          <w:szCs w:val="20"/>
          <w:color w:val="auto"/>
        </w:rPr>
      </w:pPr>
    </w:p>
    <w:p>
      <w:pPr>
        <w:ind w:right="160" w:firstLine="648"/>
        <w:spacing w:after="0" w:line="267" w:lineRule="auto"/>
        <w:rPr>
          <w:sz w:val="20"/>
          <w:szCs w:val="20"/>
          <w:color w:val="auto"/>
        </w:rPr>
      </w:pPr>
      <w:r>
        <w:rPr>
          <w:rFonts w:ascii="Arial" w:cs="Arial" w:eastAsia="Arial" w:hAnsi="Arial"/>
          <w:sz w:val="18"/>
          <w:szCs w:val="18"/>
          <w:color w:val="231F20"/>
        </w:rPr>
        <w:t>We offer customized solutions across the global private markets through synergistic investment strategies – primary fund investments, secondary investments, and co-investments. StepStone constructs solutions across all three investment strategies for each asset class – private equity, infrastructure, private debt and real estate. Being an active investor across all investment strategies provides us with meaningful insights into fund managers, their portfolios, return characteristics and direct investment opportunities.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Primaries</w:t>
      </w:r>
    </w:p>
    <w:p>
      <w:pPr>
        <w:spacing w:after="0" w:line="222"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231F20"/>
        </w:rPr>
        <w:t>Primaries refer to investments in newly established private markets funds. Primary investments are made during an initial fundraising period in the form of capital commitments, which are called down by the fund from time to time and utilized to finance its investments in portfolio companies during a predefined period. A private markets fund’s return profile typically exhibits a “J-Curve,” undergoing a modest decline in the early portion of the fund’s lifecycle as investment-related expenses and fees accrue prior to the realization of investment gains from portfolio investments, with the trend typically reversing in the later portion of the fund’s lifecycle as portfolio investments are sold and gains from investments are realized and distributed.</w:t>
      </w:r>
    </w:p>
    <w:p>
      <w:pPr>
        <w:spacing w:after="0" w:line="1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231F20"/>
        </w:rPr>
        <w:t>Primaries are generally closed-end funds and only accept new capital commitments during a finite period. Private equity, real estate and infrastructure primary investment funds typically range in duration from 10 to 18 years, including extensions, while private debt primary investment funds typically range in duration from eight to 10 years. Underlying investments in portfolio investments generally have a three to six year range of duration for private equity, with potentially shorter periods for private debt or real estate, and longer for infrastructure.</w:t>
      </w:r>
    </w:p>
    <w:p>
      <w:pPr>
        <w:spacing w:after="0" w:line="3"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231F20"/>
        </w:rPr>
        <w:t>Typically, fund managers will not launch new funds more frequently than every two to four years. Market leaders generally offer multiple primary investment funds each year, but they may not offer funds within a given geography or that pursue a certain strategy in any particular year or in consecutive years. Because of the limited timeframe of opportunity for investment in any given fund, having a well-established relationship with a fund manager is critically important for primary investors.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8"/>
        <w:spacing w:after="0" w:line="321" w:lineRule="auto"/>
        <w:rPr>
          <w:sz w:val="20"/>
          <w:szCs w:val="20"/>
          <w:color w:val="auto"/>
        </w:rPr>
      </w:pPr>
      <w:r>
        <w:rPr>
          <w:rFonts w:ascii="Arial" w:cs="Arial" w:eastAsia="Arial" w:hAnsi="Arial"/>
          <w:sz w:val="16"/>
          <w:szCs w:val="16"/>
          <w:color w:val="231F20"/>
        </w:rPr>
        <w:t>Our primaries business seeks out, and invests with, leading fund managers across the private markets asset classes. We aim to build top-performing global private markets portfolios through a research-intensive investment approach and strive to identify fund managers with top-quartile performance through active sourcing and in-depth evaluation, complemented by excellent deal execution. We leverage our SPI database of over 72,000 companies, over $22 trillion of AUM across over 40,000 funds and over 15,000 fund managers showing fund-level performance for nearly 14,000 funds to track a large cross section of fund managers and funds globally—irrespective of fundraising cycles.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Secondaries</w:t>
      </w:r>
    </w:p>
    <w:p>
      <w:pPr>
        <w:spacing w:after="0" w:line="222"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231F20"/>
        </w:rPr>
        <w:t>Secondaries refer to investments in existing private markets funds through the acquisition of an existing interest in a private markets fund by one investor from another in a negotiated transaction. In so doing, the buyer will agree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w:t>
      </w:r>
    </w:p>
    <w:p>
      <w:pPr>
        <w:spacing w:after="0" w:line="194" w:lineRule="exact"/>
        <w:rPr>
          <w:sz w:val="20"/>
          <w:szCs w:val="20"/>
          <w:color w:val="auto"/>
        </w:rPr>
      </w:pPr>
    </w:p>
    <w:p>
      <w:pPr>
        <w:jc w:val="both"/>
        <w:ind w:right="160" w:firstLine="648"/>
        <w:spacing w:after="0" w:line="275" w:lineRule="auto"/>
        <w:rPr>
          <w:sz w:val="20"/>
          <w:szCs w:val="20"/>
          <w:color w:val="auto"/>
        </w:rPr>
      </w:pPr>
      <w:r>
        <w:rPr>
          <w:rFonts w:ascii="Arial" w:cs="Arial" w:eastAsia="Arial" w:hAnsi="Arial"/>
          <w:sz w:val="18"/>
          <w:szCs w:val="18"/>
          <w:color w:val="231F20"/>
        </w:rPr>
        <w:t>Secondaries have historically generated a high risk-adjusted internal rate of return (“IRR”) relative to other strategies in the private equity market. This performance is due, in part, to: (1) the lack of a centralized market, (2) imperfect information among buyers and sellers,</w:t>
      </w:r>
    </w:p>
    <w:p>
      <w:pPr>
        <w:spacing w:after="0" w:line="1" w:lineRule="exact"/>
        <w:rPr>
          <w:sz w:val="20"/>
          <w:szCs w:val="20"/>
          <w:color w:val="auto"/>
        </w:rPr>
      </w:pPr>
    </w:p>
    <w:p>
      <w:pPr>
        <w:ind w:right="240" w:firstLine="8"/>
        <w:spacing w:after="0" w:line="241" w:lineRule="auto"/>
        <w:tabs>
          <w:tab w:leader="none" w:pos="28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wide bid spreads, (4) shorter holding periods, (5) fee mitigation and (6) transactions priced at a discount to fair value. Unlike primary commitments, secondaries offer visibility into a portfolio of known assets and their historical performance, which can mitigate some of the risk normally associated with primaries. We believe these market dynamics will persist, making secondaries an attractive long-term opportunity for sophisticated investors.</w:t>
      </w:r>
    </w:p>
    <w:p>
      <w:pPr>
        <w:spacing w:after="0" w:line="194" w:lineRule="exact"/>
        <w:rPr>
          <w:sz w:val="20"/>
          <w:szCs w:val="20"/>
          <w:color w:val="auto"/>
        </w:rPr>
      </w:pPr>
    </w:p>
    <w:p>
      <w:pPr>
        <w:ind w:right="120" w:firstLine="648"/>
        <w:spacing w:after="0" w:line="242" w:lineRule="auto"/>
        <w:rPr>
          <w:sz w:val="20"/>
          <w:szCs w:val="20"/>
          <w:color w:val="auto"/>
        </w:rPr>
      </w:pPr>
      <w:r>
        <w:rPr>
          <w:rFonts w:ascii="Arial" w:cs="Arial" w:eastAsia="Arial" w:hAnsi="Arial"/>
          <w:sz w:val="20"/>
          <w:szCs w:val="20"/>
          <w:color w:val="231F20"/>
        </w:rPr>
        <w:t>Similar to our primaries program, our secondaries program spans all asset classes and leverages our global platform to capitalize on market inefficiencies. We seek to acquire assets through preferential purchase arrangements by proactively sourcing secondary deal flow through our extensive network of relationships with fund managers, clients, intermediaries and other industry participants. We are able to increase the effectiveness of our sourcing efforts by focusing on fund managers managing high quality portfolios that are expected to outperform the market. In addition, we source exclusive deal flow (which we refer to as “advantaged”) by working closely with intermediaries to capture high quality assets that would not be available through auction processes, usually because a fund manager wants to control information flow or client relationships, including by restricting potential buyers to a select group of “pre-approved” replacement clients like our firm.</w:t>
      </w:r>
    </w:p>
    <w:p>
      <w:pPr>
        <w:spacing w:after="0" w:line="197"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231F20"/>
        </w:rPr>
        <w:t>Our global platform provides for deep market coverage and consistently sources proprietary transaction opportunities. We believe proprietary and advantaged deal flow has been a critical factor in our ability to purchase high quality assets at below market prices. Since the inception of our private equity secondaries strategy in 2008, we have sourced over 11,400 secondary transactions of which over 63% were limited or proprietary processes as calculated by deal size.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Co-investments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231F20"/>
        </w:rPr>
        <w:t>Co-investments involve directly acquiring an interest in an operating company, project or property alongside an investment by a fund manager or direct investor that leads the transaction. We participate in co-investments across each of our asset classes. Co-investments are generally structured such that the lead and co-investors collectively hold the same security on the same terms in a controlling interest of the operating company, project or property. Capital committed to a co-investment is typically invested immediately, thereby advancing the timing of expected returns on investment and creating more predictable cash flows for the investor.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231F20"/>
        </w:rPr>
        <w:t>We employ a flexible approach to co-investing, which makes us an attractive co-investor for fund managers. Our ability to co-invest and participate on a pre-signing basis helps us expand the number of available opportunities and secure larger co-investment allocations. We have the ability to participate in non-traditional co-investments, such as helping to fund add-on acquisitions when a fund manager has already reached its concentration limits in its fund. This further expands our investment opportunities and differentiates us from other co-investors, thereby leading to future opportunities with fund managers.</w:t>
      </w:r>
    </w:p>
    <w:p>
      <w:pPr>
        <w:spacing w:after="0" w:line="194" w:lineRule="exact"/>
        <w:rPr>
          <w:sz w:val="20"/>
          <w:szCs w:val="20"/>
          <w:color w:val="auto"/>
        </w:rPr>
      </w:pPr>
    </w:p>
    <w:p>
      <w:pPr>
        <w:jc w:val="both"/>
        <w:ind w:right="500" w:firstLine="648"/>
        <w:spacing w:after="0" w:line="291" w:lineRule="auto"/>
        <w:rPr>
          <w:sz w:val="20"/>
          <w:szCs w:val="20"/>
          <w:color w:val="auto"/>
        </w:rPr>
      </w:pPr>
      <w:r>
        <w:rPr>
          <w:rFonts w:ascii="Arial" w:cs="Arial" w:eastAsia="Arial" w:hAnsi="Arial"/>
          <w:sz w:val="18"/>
          <w:szCs w:val="18"/>
          <w:color w:val="231F20"/>
        </w:rPr>
        <w:t>Our co-investment program benefits from the access to fund managers we have through our scale and the approximately 3,700 meetings and calls that we conduct with fund managers on an annual basis. In each of these meetings and calls, we follow a protocol of inquiring about co-investments and monitoring compliance with the protocol through an automated tracking system.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Portfolio Analytics and Reporting</w:t>
      </w:r>
    </w:p>
    <w:p>
      <w:pPr>
        <w:spacing w:after="0" w:line="222" w:lineRule="exact"/>
        <w:rPr>
          <w:sz w:val="20"/>
          <w:szCs w:val="20"/>
          <w:color w:val="auto"/>
        </w:rPr>
      </w:pPr>
    </w:p>
    <w:p>
      <w:pPr>
        <w:ind w:right="140" w:firstLine="648"/>
        <w:spacing w:after="0" w:line="243" w:lineRule="auto"/>
        <w:rPr>
          <w:sz w:val="20"/>
          <w:szCs w:val="20"/>
          <w:color w:val="auto"/>
        </w:rPr>
      </w:pPr>
      <w:r>
        <w:rPr>
          <w:rFonts w:ascii="Arial" w:cs="Arial" w:eastAsia="Arial" w:hAnsi="Arial"/>
          <w:sz w:val="20"/>
          <w:szCs w:val="20"/>
          <w:color w:val="231F20"/>
        </w:rPr>
        <w:t>We provide our clients with tailored reporting packages, including customized performance benchmarks as well as compliance, administration and tax capabilities. The team of professionals dedicated to SPAR is organized by sector and geography to ensure deep coverage of all private markets, facilitating detailed investment review and analysis services by private markets specialists. Once an investment has been made, our SPAR team provides active, ongoing analytical review for portfolio risk management for our clients. As part of our ongoing manager and portfolio performance analyses, our portfolio analytics and reporting practice completes reviews for our clients including:</w:t>
      </w:r>
    </w:p>
    <w:p>
      <w:pPr>
        <w:spacing w:after="0" w:line="196"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portfolio benchmarking for relative performance;</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diversification analysis to identify concentration risks or portfolio allocation opportunities;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fund manager performance to understand where additional capital should be directed; and</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valuation analysis to determine which fund managers are appropriately reflecting risk in their reporting.</w:t>
      </w:r>
    </w:p>
    <w:p>
      <w:pPr>
        <w:spacing w:after="0" w:line="216" w:lineRule="exact"/>
        <w:rPr>
          <w:sz w:val="20"/>
          <w:szCs w:val="20"/>
          <w:color w:val="auto"/>
        </w:rPr>
      </w:pPr>
    </w:p>
    <w:p>
      <w:pPr>
        <w:ind w:right="200" w:firstLine="648"/>
        <w:spacing w:after="0" w:line="246" w:lineRule="auto"/>
        <w:rPr>
          <w:sz w:val="20"/>
          <w:szCs w:val="20"/>
          <w:color w:val="auto"/>
        </w:rPr>
      </w:pPr>
      <w:r>
        <w:rPr>
          <w:rFonts w:ascii="Arial" w:cs="Arial" w:eastAsia="Arial" w:hAnsi="Arial"/>
          <w:sz w:val="20"/>
          <w:szCs w:val="20"/>
          <w:color w:val="231F20"/>
        </w:rPr>
        <w:t>Fund managers’ information is entered into Omni, our proprietary, web-based application and database for private market portfolio analytics and reporting. Data are reconciled daily to ensure data integrity and that pertinent details are entered correctly. In order to be included in Omni, a fund manager must send us sufficient materials, including specific data fields required by us. Performance data monitored by Omni is available back to 1971.</w:t>
      </w:r>
    </w:p>
    <w:p>
      <w:pPr>
        <w:spacing w:after="0" w:line="191"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231F20"/>
        </w:rPr>
        <w:t>Omni supports investment monitoring and portfolio management and enhances transparency by providing users with a fast and intuitive user interface and web-based access to portfolio data. Omni users can access all of the data tracked by SPAR, including daily cash flow activity, quarterly valuations, and underlying asset-level detail, and have fully integrated access to our SPI research platform. Omni users can analyze investment-level and underlying asset-level performance by custom investment attributes, apply data filters, run grouped or granular reports while also having the ability to easily export these analyses. Users also have the ability to edit, run and export various portfolio analytics, including analyzing various return and preference metrics commonly used in the investment industry, such as return J-Curve, cash flow activity over time, multi-period internal rates of return and time-weighted rate of return.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1F20"/>
        </w:rPr>
        <w:t>Risk Management</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19"/>
          <w:szCs w:val="19"/>
          <w:color w:val="231F20"/>
        </w:rPr>
        <w:t>We have an investment risk management function overseen by our Head of Research and Portfolio Management and our Head of Risk. Additionally, taking into account the nature, scale and complexity of our business, we have a Portfolio and Risk Management Committee for each of our asset classes and additional policies and procedures to give effect to local regulations in jurisdictions around the world. Our risk management process focuses on risk identification, measurement, treatment/mitigation, monitoring and management/reporting, with particular risk assessments tailored by asset class and individual client.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1F20"/>
        </w:rPr>
        <w:t>Responsible Investment Philosophy</w:t>
      </w:r>
    </w:p>
    <w:p>
      <w:pPr>
        <w:spacing w:after="0" w:line="222"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231F20"/>
        </w:rPr>
        <w:t>Responsible investment, which encompasses ESG and impact investing considerations, is a core tenet of our operating and investment philosophies. We believe that full integration of ESG factors in both our investment process and internal operations will improve long-term, risk-adjusted returns for our clients. We developed a responsible investment policy, became a signatory to the United Nations Principles for Responsible Investment (“UNPRI”) in 2013 and created a StepStone Responsible Investment Committee in 2017, and have since become a signatory to the Financial Stability Board Task Force on Climate-Related Financial Disclosures (“TCFD”) as well as a member of the GRESB and the Sustainability Accounting Standards Board (“SASB”). We aim to continually improve and evolve, reviewing our policy annually, holding regular trainings and responsible investment education sessions for our investment teams, and looking for ways to enhance our systems and processes, and have incorporated GRESB data and benchmarks in our decision-making process where relevant.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1F20"/>
        </w:rPr>
        <w:t>Responsible Investment in the Investment Process</w:t>
      </w:r>
    </w:p>
    <w:p>
      <w:pPr>
        <w:spacing w:after="0" w:line="222" w:lineRule="exact"/>
        <w:rPr>
          <w:sz w:val="20"/>
          <w:szCs w:val="20"/>
          <w:color w:val="auto"/>
        </w:rPr>
      </w:pPr>
    </w:p>
    <w:p>
      <w:pPr>
        <w:ind w:right="480" w:firstLine="648"/>
        <w:spacing w:after="0" w:line="291" w:lineRule="auto"/>
        <w:rPr>
          <w:sz w:val="20"/>
          <w:szCs w:val="20"/>
          <w:color w:val="auto"/>
        </w:rPr>
      </w:pPr>
      <w:r>
        <w:rPr>
          <w:rFonts w:ascii="Arial" w:cs="Arial" w:eastAsia="Arial" w:hAnsi="Arial"/>
          <w:sz w:val="18"/>
          <w:szCs w:val="18"/>
          <w:color w:val="231F20"/>
        </w:rPr>
        <w:t>Our Responsible Investment Committee comprises leadership from all four of our asset classes and other firm leaders. The Responsible Investment Committee provides oversight and direction for our responsible investment process, including reviewing ESG-focused due diligence within our investment memoranda before they are submitted to the relevant Investment Committee.</w:t>
      </w:r>
    </w:p>
    <w:p>
      <w:pPr>
        <w:spacing w:after="0" w:line="1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231F20"/>
        </w:rPr>
        <w:t>Our ESG due diligence process is tailored for each asset class and strategy, and incorporated into the broader business, financial, and operational diligence process, detailing a comprehensive set of ESG-related risk and return considerations. We perform a review of each fund manager and fund’s responsible investment policy, implementation and monitoring framework. Key areas where we focus are:</w:t>
      </w:r>
    </w:p>
    <w:p>
      <w:pPr>
        <w:spacing w:after="0" w:line="152"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the level of engagement of partner and senior-level management in responsible investment policy and monitoring;</w:t>
      </w:r>
    </w:p>
    <w:p>
      <w:pPr>
        <w:spacing w:after="0" w:line="215" w:lineRule="exact"/>
        <w:rPr>
          <w:rFonts w:ascii="Arial" w:cs="Arial" w:eastAsia="Arial" w:hAnsi="Arial"/>
          <w:sz w:val="20"/>
          <w:szCs w:val="20"/>
          <w:color w:val="231F20"/>
        </w:rPr>
      </w:pPr>
    </w:p>
    <w:p>
      <w:pPr>
        <w:ind w:left="660" w:right="740" w:hanging="328"/>
        <w:spacing w:after="0" w:line="260" w:lineRule="auto"/>
        <w:tabs>
          <w:tab w:leader="none" w:pos="648"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whether or not a fund manager or fund clearly identified a responsible person for designing, executing and implementing its responsible investment policy;</w:t>
      </w:r>
    </w:p>
    <w:p>
      <w:pPr>
        <w:spacing w:after="0" w:line="176" w:lineRule="exact"/>
        <w:rPr>
          <w:rFonts w:ascii="Arial" w:cs="Arial" w:eastAsia="Arial" w:hAnsi="Arial"/>
          <w:sz w:val="20"/>
          <w:szCs w:val="20"/>
          <w:color w:val="231F20"/>
        </w:rPr>
      </w:pPr>
    </w:p>
    <w:p>
      <w:pPr>
        <w:ind w:left="640" w:hanging="308"/>
        <w:spacing w:after="0"/>
        <w:tabs>
          <w:tab w:leader="none" w:pos="640"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understanding what policy framework the fund manager or fund is adhering to (e.g., UNPRI, TCFD);</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the approach to responsible investment training and how the fund manager or fund ensures it is current with best practice;</w:t>
      </w:r>
    </w:p>
    <w:p>
      <w:pPr>
        <w:spacing w:after="0" w:line="227" w:lineRule="exact"/>
        <w:rPr>
          <w:rFonts w:ascii="Arial" w:cs="Arial" w:eastAsia="Arial" w:hAnsi="Arial"/>
          <w:sz w:val="19"/>
          <w:szCs w:val="19"/>
          <w:color w:val="231F20"/>
        </w:rPr>
      </w:pPr>
    </w:p>
    <w:p>
      <w:pPr>
        <w:ind w:left="640" w:hanging="308"/>
        <w:spacing w:after="0"/>
        <w:tabs>
          <w:tab w:leader="none" w:pos="640" w:val="left"/>
        </w:tabs>
        <w:numPr>
          <w:ilvl w:val="0"/>
          <w:numId w:val="16"/>
        </w:numPr>
        <w:rPr>
          <w:rFonts w:ascii="Arial" w:cs="Arial" w:eastAsia="Arial" w:hAnsi="Arial"/>
          <w:sz w:val="19"/>
          <w:szCs w:val="19"/>
          <w:color w:val="231F20"/>
        </w:rPr>
      </w:pPr>
      <w:r>
        <w:rPr>
          <w:rFonts w:ascii="Arial" w:cs="Arial" w:eastAsia="Arial" w:hAnsi="Arial"/>
          <w:sz w:val="19"/>
          <w:szCs w:val="19"/>
          <w:color w:val="231F20"/>
        </w:rPr>
        <w:t>how the fund manager or investee identifies and manages ESG risks and opportunities including use of external resources;</w:t>
      </w:r>
    </w:p>
    <w:p>
      <w:pPr>
        <w:spacing w:after="0" w:line="227" w:lineRule="exact"/>
        <w:rPr>
          <w:rFonts w:ascii="Arial" w:cs="Arial" w:eastAsia="Arial" w:hAnsi="Arial"/>
          <w:sz w:val="19"/>
          <w:szCs w:val="19"/>
          <w:color w:val="231F20"/>
        </w:rPr>
      </w:pPr>
    </w:p>
    <w:p>
      <w:pPr>
        <w:ind w:left="660" w:right="360" w:hanging="328"/>
        <w:spacing w:after="0" w:line="260" w:lineRule="auto"/>
        <w:tabs>
          <w:tab w:leader="none" w:pos="648"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how the fund manager or investee identifies specific risks concerning modern slavery and human trafficking, particularly in their supply chains;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whether and how the fund manager establishes non-financial impact objectives in addition to financial ones;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how the fund manager assesses and measures non-financial impacts;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how the fund manager or investee explicitly considers climate change with both a risk and return lens; and</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how ESG compliance is monitored and reported to various stakeholders.</w:t>
      </w:r>
    </w:p>
    <w:p>
      <w:pPr>
        <w:spacing w:after="0" w:line="216"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231F20"/>
        </w:rPr>
        <w:t>With respect to our co-investments, we complete an ESG assessment at both the manager and asset level. We use several tools when completing the latter, including information from the manager and company, along with SASB materiality standards, and for specific sectors information from GRESB. Post investment, we monitor the co-investment’s performance, including financial and ESG factors. The majority of this monitoring is conducted through regular engagement with the fund manager supplemented by Limited Partner Advisory Committees of which we are a member. In cases where we hold a board or observer seat at the fund, we seek to be active in ensuring these issues are standard agenda items.</w:t>
      </w:r>
    </w:p>
    <w:p>
      <w:pPr>
        <w:spacing w:after="0" w:line="19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231F20"/>
        </w:rPr>
        <w:t>With respect to secondary transactions, we utilize primary ESG assessments along with an evaluation of the ESG risk and opportunities of the key, value-driving assets. Due diligence timelines are often compressed for secondary transactions. As such, our platform creates a significant advantage due to the breadth of information we typically already have on the fund manager in a secondary transaction.</w:t>
      </w:r>
    </w:p>
    <w:p>
      <w:pPr>
        <w:spacing w:after="0" w:line="118"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231F20"/>
        </w:rPr>
        <w:t>We have observed that investors globally are increasingly focused on the non-financial impacts of their investment programs, referred to as impact investing. We look to work with clients in crafting customized investment programs that target non-financial objectives side-by-side with financial objectives. These may include a focus on, for example, climate change, social equity and sustainable development goals. We have integrated responsible investment considerations throughout the investment process to support our clients from investment due diligence, through to monitoring and reporting on relevant investments. We believe impact programs build on our firm’s strong ESG foundations. The impact sector is fast-growing and we see developments in this sector that we believe will increasingly allow for the deployment of capital at scale.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1F20"/>
        </w:rPr>
        <w:t>ESG in Our Corporate Operations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are committed to incorporating ESG factors across our operational decision making and internal policies.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Diversity and Inclusion</w:t>
      </w:r>
    </w:p>
    <w:p>
      <w:pPr>
        <w:spacing w:after="0" w:line="22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8"/>
          <w:szCs w:val="18"/>
          <w:color w:val="231F20"/>
        </w:rPr>
        <w:t>We value diversity among our staff and leadership, recognizing that through diversity, we gain a variety of perspectives, views, and ideas which strengthen our ability to strategize, communicate, and deliver on our mission. In 2017, we developed a global Diversity, Equity</w:t>
      </w:r>
    </w:p>
    <w:p>
      <w:pPr>
        <w:spacing w:after="0" w:line="1" w:lineRule="exact"/>
        <w:rPr>
          <w:sz w:val="20"/>
          <w:szCs w:val="20"/>
          <w:color w:val="auto"/>
        </w:rPr>
      </w:pPr>
    </w:p>
    <w:p>
      <w:pPr>
        <w:ind w:right="280" w:firstLine="8"/>
        <w:spacing w:after="0" w:line="241" w:lineRule="auto"/>
        <w:tabs>
          <w:tab w:leader="none" w:pos="203"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Inclusion Committee comprising senior and mid-level members of our firm across functions and asset classes, to evaluate our current diversity efforts, lead new initiatives to improve diversity, equity and inclusion at our firm, and to continuously improve upon our policies and culture.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Our mission statement on why diversity, equity and inclusion matter states:</w:t>
      </w:r>
    </w:p>
    <w:p>
      <w:pPr>
        <w:spacing w:after="0" w:line="216" w:lineRule="exact"/>
        <w:rPr>
          <w:sz w:val="20"/>
          <w:szCs w:val="20"/>
          <w:color w:val="auto"/>
        </w:rPr>
      </w:pPr>
    </w:p>
    <w:p>
      <w:pPr>
        <w:ind w:left="660" w:right="200" w:hanging="328"/>
        <w:spacing w:after="0" w:line="260" w:lineRule="auto"/>
        <w:tabs>
          <w:tab w:leader="none" w:pos="648" w:val="left"/>
        </w:tabs>
        <w:numPr>
          <w:ilvl w:val="0"/>
          <w:numId w:val="19"/>
        </w:numPr>
        <w:rPr>
          <w:rFonts w:ascii="Arial" w:cs="Arial" w:eastAsia="Arial" w:hAnsi="Arial"/>
          <w:sz w:val="20"/>
          <w:szCs w:val="20"/>
          <w:color w:val="231F20"/>
        </w:rPr>
      </w:pPr>
      <w:r>
        <w:rPr>
          <w:rFonts w:ascii="Arial" w:cs="Arial" w:eastAsia="Arial" w:hAnsi="Arial"/>
          <w:sz w:val="20"/>
          <w:szCs w:val="20"/>
          <w:color w:val="231F20"/>
        </w:rPr>
        <w:t>We believe building and maintaining a diverse, equitable and inclusive culture is not only the “right thing to do,” but is also critical from a business standpoint.</w:t>
      </w:r>
    </w:p>
    <w:p>
      <w:pPr>
        <w:spacing w:after="0" w:line="176" w:lineRule="exact"/>
        <w:rPr>
          <w:rFonts w:ascii="Arial" w:cs="Arial" w:eastAsia="Arial" w:hAnsi="Arial"/>
          <w:sz w:val="20"/>
          <w:szCs w:val="20"/>
          <w:color w:val="231F20"/>
        </w:rPr>
      </w:pPr>
    </w:p>
    <w:p>
      <w:pPr>
        <w:ind w:left="660" w:right="880" w:hanging="328"/>
        <w:spacing w:after="0" w:line="260" w:lineRule="auto"/>
        <w:tabs>
          <w:tab w:leader="none" w:pos="648" w:val="left"/>
        </w:tabs>
        <w:numPr>
          <w:ilvl w:val="0"/>
          <w:numId w:val="19"/>
        </w:numPr>
        <w:rPr>
          <w:rFonts w:ascii="Arial" w:cs="Arial" w:eastAsia="Arial" w:hAnsi="Arial"/>
          <w:sz w:val="20"/>
          <w:szCs w:val="20"/>
          <w:color w:val="231F20"/>
        </w:rPr>
      </w:pPr>
      <w:r>
        <w:rPr>
          <w:rFonts w:ascii="Arial" w:cs="Arial" w:eastAsia="Arial" w:hAnsi="Arial"/>
          <w:sz w:val="20"/>
          <w:szCs w:val="20"/>
          <w:color w:val="231F20"/>
        </w:rPr>
        <w:t>We believe that diversity of backgrounds and perspectives among our employees strengthens our ability to analyze, invest, communicate and deliver on our mission.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320" w:hanging="328"/>
        <w:spacing w:after="0" w:line="260" w:lineRule="auto"/>
        <w:tabs>
          <w:tab w:leader="none" w:pos="648" w:val="left"/>
        </w:tabs>
        <w:numPr>
          <w:ilvl w:val="0"/>
          <w:numId w:val="20"/>
        </w:numPr>
        <w:rPr>
          <w:rFonts w:ascii="Arial" w:cs="Arial" w:eastAsia="Arial" w:hAnsi="Arial"/>
          <w:sz w:val="20"/>
          <w:szCs w:val="20"/>
          <w:color w:val="231F20"/>
        </w:rPr>
      </w:pPr>
      <w:r>
        <w:rPr>
          <w:rFonts w:ascii="Arial" w:cs="Arial" w:eastAsia="Arial" w:hAnsi="Arial"/>
          <w:sz w:val="20"/>
          <w:szCs w:val="20"/>
          <w:color w:val="231F20"/>
        </w:rPr>
        <w:t>We believe fostering an inclusive culture and working environment enables all colleagues to engage and contribute to their fullest potential.</w:t>
      </w:r>
    </w:p>
    <w:p>
      <w:pPr>
        <w:spacing w:after="0" w:line="176" w:lineRule="exact"/>
        <w:rPr>
          <w:rFonts w:ascii="Arial" w:cs="Arial" w:eastAsia="Arial" w:hAnsi="Arial"/>
          <w:sz w:val="20"/>
          <w:szCs w:val="20"/>
          <w:color w:val="231F20"/>
        </w:rPr>
      </w:pPr>
    </w:p>
    <w:p>
      <w:pPr>
        <w:ind w:left="640" w:hanging="308"/>
        <w:spacing w:after="0"/>
        <w:tabs>
          <w:tab w:leader="none" w:pos="640" w:val="left"/>
        </w:tabs>
        <w:numPr>
          <w:ilvl w:val="0"/>
          <w:numId w:val="20"/>
        </w:numPr>
        <w:rPr>
          <w:rFonts w:ascii="Arial" w:cs="Arial" w:eastAsia="Arial" w:hAnsi="Arial"/>
          <w:sz w:val="20"/>
          <w:szCs w:val="20"/>
          <w:color w:val="231F20"/>
        </w:rPr>
      </w:pPr>
      <w:r>
        <w:rPr>
          <w:rFonts w:ascii="Arial" w:cs="Arial" w:eastAsia="Arial" w:hAnsi="Arial"/>
          <w:sz w:val="20"/>
          <w:szCs w:val="20"/>
          <w:color w:val="231F20"/>
        </w:rPr>
        <w:t>We believe diverse and inclusive perspectives drive better outcomes, and better investment decisions.</w:t>
      </w:r>
    </w:p>
    <w:p>
      <w:pPr>
        <w:spacing w:after="0" w:line="216" w:lineRule="exact"/>
        <w:rPr>
          <w:sz w:val="20"/>
          <w:szCs w:val="20"/>
          <w:color w:val="auto"/>
        </w:rPr>
      </w:pPr>
    </w:p>
    <w:p>
      <w:pPr>
        <w:ind w:right="120" w:firstLine="648"/>
        <w:spacing w:after="0" w:line="260" w:lineRule="auto"/>
        <w:rPr>
          <w:sz w:val="20"/>
          <w:szCs w:val="20"/>
          <w:color w:val="auto"/>
        </w:rPr>
      </w:pPr>
      <w:r>
        <w:rPr>
          <w:rFonts w:ascii="Arial" w:cs="Arial" w:eastAsia="Arial" w:hAnsi="Arial"/>
          <w:sz w:val="19"/>
          <w:szCs w:val="19"/>
          <w:color w:val="231F20"/>
        </w:rPr>
        <w:t>We believe that a diverse and inclusive workforce improves the investment process because the different life experiences, backgrounds and insights of our professionals can be leveraged to perform more effective diligence and analysis. This belief is supported by research showing that diversity and inclusiveness contributes to better performing and more sustainable businesses. To build a diverse workforce, we are focused on expanding our recruiting processes and outreach to broaden our pipeline of potential candidates. These efforts allow us to build more diverse slates of prospective new hires.</w:t>
      </w:r>
    </w:p>
    <w:p>
      <w:pPr>
        <w:spacing w:after="0" w:line="180"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231F20"/>
        </w:rPr>
        <w:t>Talent development and retention are also key components of our diversity, equity and inclusion efforts, including our focus on growing and developing strong mid-level talent into senior roles. In addition to our mentorship program, we have a sponsorship program that includes high performing and high potential mid-career female and diverse professionals and provides them with rigorous developmental tools, 360-degree assessments, education and executive coaching opportunities alongside their sponsor. We have also continuously reviewed and expanded our parental leave policies and related benefits.</w:t>
      </w:r>
    </w:p>
    <w:p>
      <w:pPr>
        <w:spacing w:after="0" w:line="19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231F20"/>
        </w:rPr>
        <w:t>Building awareness and engagement around the importance of diversity, equity and inclusion, both internally and externally, represents another core tenet of our efforts. As an example, the StepStone Diversity, Equity and Inclusion Network provides networking and educational opportunities to all of our employees globally. In addition, our employees launched our first two Employee Resource Groups (“ERGs”) focused on the LatinX community and the LGBTQ+ community and we expect additional ERGs to be formed in the future.</w:t>
      </w:r>
    </w:p>
    <w:p>
      <w:pPr>
        <w:spacing w:after="0" w:line="161"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231F20"/>
        </w:rPr>
        <w:t>Finally, StepStone is a strong supporter of several organizations that advocate for further diversity in our industry. For example, we are a strong supporter of the Robert Toigo Foundation, whose mission is to increase the participation of minorities in the financial industry. In addition, we proactively network with affinity organizations at universities and business schools to develop a pipeline of female and minority candidates for consideration. We also participate in industry groups created to improve diversity among private markets professionals, such as Girls Who Invest, Women’s Association of Venture &amp; Equity (WAVE), SEO (Seizing Every Opportunity) Alternative Investments, Private Equity Women Investor Network (PEWIN), Making the Leap and Level20 Women in Private Equity.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Reducing Our Carbon Footprint</w:t>
      </w:r>
    </w:p>
    <w:p>
      <w:pPr>
        <w:spacing w:after="0" w:line="222"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231F20"/>
        </w:rPr>
        <w:t>We are focused on the firm’s carbon footprint as we seek to maintain carbon neutrality as a stated firm goal. As such the following efforts have been undertaken:</w:t>
      </w:r>
    </w:p>
    <w:p>
      <w:pPr>
        <w:spacing w:after="0" w:line="177" w:lineRule="exact"/>
        <w:rPr>
          <w:sz w:val="20"/>
          <w:szCs w:val="20"/>
          <w:color w:val="auto"/>
        </w:rPr>
      </w:pPr>
    </w:p>
    <w:p>
      <w:pPr>
        <w:jc w:val="both"/>
        <w:ind w:left="660" w:right="260" w:hanging="328"/>
        <w:spacing w:after="0" w:line="250" w:lineRule="auto"/>
        <w:tabs>
          <w:tab w:leader="none" w:pos="648"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Engaged a consultant to conduct a comprehensive carbon footprint measurement and analysis and have funded several sustainable development projects and purchased carbon offsets to offset carbon emissions to achieve status as a carbon neutral company since 2019.</w:t>
      </w:r>
    </w:p>
    <w:p>
      <w:pPr>
        <w:spacing w:after="0" w:line="185" w:lineRule="exact"/>
        <w:rPr>
          <w:rFonts w:ascii="Arial" w:cs="Arial" w:eastAsia="Arial" w:hAnsi="Arial"/>
          <w:sz w:val="20"/>
          <w:szCs w:val="20"/>
          <w:color w:val="231F20"/>
        </w:rPr>
      </w:pPr>
    </w:p>
    <w:p>
      <w:pPr>
        <w:ind w:left="660" w:hanging="328"/>
        <w:spacing w:after="0" w:line="250" w:lineRule="auto"/>
        <w:tabs>
          <w:tab w:leader="none" w:pos="648"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Implemented tailored carbon reduction initiatives across our global offices and as part of our vendor due diligence process, by adding specific climate-related queries to help us understand and evaluate vendor environmental efforts such as collecting information on any targets and initiatives in place to minimize or offset emissions and reduce waste.</w:t>
      </w:r>
    </w:p>
    <w:p>
      <w:pPr>
        <w:spacing w:after="0" w:line="185" w:lineRule="exact"/>
        <w:rPr>
          <w:rFonts w:ascii="Arial" w:cs="Arial" w:eastAsia="Arial" w:hAnsi="Arial"/>
          <w:sz w:val="20"/>
          <w:szCs w:val="20"/>
          <w:color w:val="231F20"/>
        </w:rPr>
      </w:pPr>
    </w:p>
    <w:p>
      <w:pPr>
        <w:ind w:left="660" w:hanging="328"/>
        <w:spacing w:after="0" w:line="385" w:lineRule="auto"/>
        <w:tabs>
          <w:tab w:leader="none" w:pos="648" w:val="left"/>
        </w:tabs>
        <w:numPr>
          <w:ilvl w:val="0"/>
          <w:numId w:val="21"/>
        </w:numPr>
        <w:rPr>
          <w:rFonts w:ascii="Arial" w:cs="Arial" w:eastAsia="Arial" w:hAnsi="Arial"/>
          <w:sz w:val="16"/>
          <w:szCs w:val="16"/>
          <w:color w:val="231F20"/>
        </w:rPr>
      </w:pPr>
      <w:r>
        <w:rPr>
          <w:rFonts w:ascii="Arial" w:cs="Arial" w:eastAsia="Arial" w:hAnsi="Arial"/>
          <w:sz w:val="16"/>
          <w:szCs w:val="16"/>
          <w:color w:val="231F20"/>
        </w:rPr>
        <w:t>Introduced a range of initiatives focused on reducing energy, waste and water usage across the firm, including recycling, transitioning to electronic tablets during client and other business meetings and generally encouraging a “paperless” approach where practicable.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400" w:hanging="328"/>
        <w:spacing w:after="0" w:line="260" w:lineRule="auto"/>
        <w:tabs>
          <w:tab w:leader="none" w:pos="648"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Prioritizing selection of highly rated Leadership in Energy and Environmental Design (LEED) or comparable standard in leasing office space.</w:t>
      </w:r>
    </w:p>
    <w:p>
      <w:pPr>
        <w:spacing w:after="0" w:line="170" w:lineRule="exact"/>
        <w:rPr>
          <w:rFonts w:ascii="Arial" w:cs="Arial" w:eastAsia="Arial" w:hAnsi="Arial"/>
          <w:sz w:val="20"/>
          <w:szCs w:val="20"/>
          <w:color w:val="231F20"/>
        </w:rPr>
      </w:pPr>
    </w:p>
    <w:p>
      <w:pPr>
        <w:ind w:left="660"/>
        <w:spacing w:after="0"/>
        <w:rPr>
          <w:rFonts w:ascii="Arial" w:cs="Arial" w:eastAsia="Arial" w:hAnsi="Arial"/>
          <w:sz w:val="20"/>
          <w:szCs w:val="20"/>
          <w:color w:val="231F20"/>
        </w:rPr>
      </w:pPr>
      <w:r>
        <w:rPr>
          <w:rFonts w:ascii="Arial" w:cs="Arial" w:eastAsia="Arial" w:hAnsi="Arial"/>
          <w:sz w:val="20"/>
          <w:szCs w:val="20"/>
          <w:b w:val="1"/>
          <w:bCs w:val="1"/>
          <w:color w:val="231F20"/>
        </w:rPr>
        <w:t>Community Engagement</w:t>
      </w:r>
    </w:p>
    <w:p>
      <w:pPr>
        <w:spacing w:after="0" w:line="222" w:lineRule="exact"/>
        <w:rPr>
          <w:sz w:val="20"/>
          <w:szCs w:val="20"/>
          <w:color w:val="auto"/>
        </w:rPr>
      </w:pPr>
    </w:p>
    <w:p>
      <w:pPr>
        <w:jc w:val="both"/>
        <w:ind w:right="100" w:firstLine="648"/>
        <w:spacing w:after="0" w:line="306" w:lineRule="auto"/>
        <w:rPr>
          <w:sz w:val="20"/>
          <w:szCs w:val="20"/>
          <w:color w:val="auto"/>
        </w:rPr>
      </w:pPr>
      <w:r>
        <w:rPr>
          <w:rFonts w:ascii="Arial" w:cs="Arial" w:eastAsia="Arial" w:hAnsi="Arial"/>
          <w:sz w:val="16"/>
          <w:szCs w:val="16"/>
          <w:color w:val="231F20"/>
        </w:rPr>
        <w:t>We encourage and support community engagement. Our community program uses a global-and-local approach and is driven by our community involvement teams at many of our offices. Projects are organized locally and partnered with various service organizations within our communities dedicated to causes encompassing public service, education, environmental efforts, healthcare, and military veterans.</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231F20"/>
        </w:rPr>
        <w:t>Additionally, we have implemented a volunteer time off policy that gives employees 16 hours per calendar year of paid time to volunteer at the organization of their choice. We actively monitor participation in these programs. We have also established a formalized charitable giving program with an employee matching component. Recently, our Community Engagement Committee has encouraged employee contributions and volunteer efforts toward Ukraine’s relief and recovery efforts.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Our Clients</w:t>
      </w:r>
    </w:p>
    <w:p>
      <w:pPr>
        <w:spacing w:after="0" w:line="222" w:lineRule="exact"/>
        <w:rPr>
          <w:sz w:val="20"/>
          <w:szCs w:val="20"/>
          <w:color w:val="auto"/>
        </w:rPr>
      </w:pPr>
    </w:p>
    <w:p>
      <w:pPr>
        <w:ind w:right="200" w:firstLine="648"/>
        <w:spacing w:after="0" w:line="243" w:lineRule="auto"/>
        <w:rPr>
          <w:sz w:val="20"/>
          <w:szCs w:val="20"/>
          <w:color w:val="auto"/>
        </w:rPr>
      </w:pPr>
      <w:r>
        <w:rPr>
          <w:rFonts w:ascii="Arial" w:cs="Arial" w:eastAsia="Arial" w:hAnsi="Arial"/>
          <w:sz w:val="20"/>
          <w:szCs w:val="20"/>
          <w:color w:val="231F20"/>
        </w:rPr>
        <w:t>We believe the value proposition we offer across our asset management, advisory, data, portfolio monitoring and reporting services has resulted in strong relationships with our clients. Our client base includes some of the world’s largest public and private pension funds, sovereign wealth funds and insurance companies, as well as prominent endowments, foundations, family offices and private wealth clients, which include high-net-worth and mass affluent individuals globally. During the year ended March 31, 2022, over 70% of our management and advisory fees came from clients based outside of the United States, reflecting the strength and breadth of our relationships within the global investor community.</w:t>
      </w:r>
    </w:p>
    <w:p>
      <w:pPr>
        <w:spacing w:after="0" w:line="19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231F20"/>
        </w:rPr>
        <w:t>We believe the stability of our client base, reflecting in part the longer tenor of our SMAs and focused commingled funds, reflects the strength of the long-term client relationships we have developed. We have also had a high level of success in retaining our advisory clients with an over 90% retention rate since inception. At the same time, we believe we have been successful in expanding relationships with our clients, often expanding from advisory relationships to discretionary asset management relationships. Approximately 37% of our clients engage us for both asset management and advisory services.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Private Wealth Sector Strategy</w:t>
      </w:r>
    </w:p>
    <w:p>
      <w:pPr>
        <w:spacing w:after="0" w:line="222"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231F20"/>
        </w:rPr>
        <w:t>We have served defined contribution plans, family offices and private wealth clients for over 10 years, and have more recently expanded to delivering our institutional capabilities to high-net-worth and mass affluent investors. Our platform leverages our deep expertise across private equity, infrastructure, private debt and real estate to develop and distribute innovative products for individual investors, integrating primaries, secondaries and co-investments to create customized product solutions for the private wealth sector. Our solutions include:</w:t>
      </w:r>
    </w:p>
    <w:p>
      <w:pPr>
        <w:spacing w:after="0" w:line="194"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231F20"/>
        </w:rPr>
        <w:t>SMAs spanning multiple asset classes and strategies for defined contribution plans with long-term investment objectives;</w:t>
      </w:r>
    </w:p>
    <w:p>
      <w:pPr>
        <w:spacing w:after="0" w:line="227" w:lineRule="exact"/>
        <w:rPr>
          <w:rFonts w:ascii="Arial" w:cs="Arial" w:eastAsia="Arial" w:hAnsi="Arial"/>
          <w:sz w:val="19"/>
          <w:szCs w:val="19"/>
          <w:color w:val="auto"/>
        </w:rPr>
      </w:pPr>
    </w:p>
    <w:p>
      <w:pPr>
        <w:ind w:left="660" w:right="52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231F20"/>
        </w:rPr>
        <w:t>private wealth solutions for registered investment advisors, independent broker dealers and wirehouses in the United States and wealth managers internationally;</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231F20"/>
        </w:rPr>
        <w:t>registered funds available to accredited investors in the United States;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231F20"/>
        </w:rPr>
        <w:t>global distribution of our institutional funds to family office investors and high-net-worth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231F20"/>
        </w:rPr>
        <w:t>In October 2020, Conversus, our investment platform designed to expand access to the private markets for high-net-worth and accredited investors, held the first closing for its inaugural fund Conversus StepStone Private Markets (“CPRIM”), a fund that offers, through a single investment, access to major private markets asset classes in a proportion dynamically allocated by us. As of May 1, 2022, CPRIM surpassed $550 million of AUM and has generated a total return per share of 76.6% through April 30, 2022 since inception in October 2020.</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believe CPRIM offers the following areas of differentiation to potential investors:</w:t>
      </w:r>
    </w:p>
    <w:p>
      <w:pPr>
        <w:spacing w:after="0" w:line="216" w:lineRule="exact"/>
        <w:rPr>
          <w:sz w:val="20"/>
          <w:szCs w:val="20"/>
          <w:color w:val="auto"/>
        </w:rPr>
      </w:pPr>
    </w:p>
    <w:p>
      <w:pPr>
        <w:ind w:left="660" w:right="80" w:hanging="328"/>
        <w:spacing w:after="0" w:line="26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231F20"/>
        </w:rPr>
        <w:t>Broad diversification in private markets</w:t>
      </w:r>
      <w:r>
        <w:rPr>
          <w:rFonts w:ascii="Arial" w:cs="Arial" w:eastAsia="Arial" w:hAnsi="Arial"/>
          <w:sz w:val="20"/>
          <w:szCs w:val="20"/>
          <w:color w:val="231F20"/>
        </w:rPr>
        <w:t>. Through a single investment in CPRIM, investors gain exposure to four major asset classes</w:t>
      </w:r>
      <w:r>
        <w:rPr>
          <w:rFonts w:ascii="Arial" w:cs="Arial" w:eastAsia="Arial" w:hAnsi="Arial"/>
          <w:sz w:val="20"/>
          <w:szCs w:val="20"/>
          <w:i w:val="1"/>
          <w:iCs w:val="1"/>
          <w:color w:val="231F20"/>
        </w:rPr>
        <w:t xml:space="preserve"> </w:t>
      </w:r>
      <w:r>
        <w:rPr>
          <w:rFonts w:ascii="Arial" w:cs="Arial" w:eastAsia="Arial" w:hAnsi="Arial"/>
          <w:sz w:val="20"/>
          <w:szCs w:val="20"/>
          <w:color w:val="231F20"/>
        </w:rPr>
        <w:t>within the private markets: private equity, infrastructure, private debt and real estate.</w:t>
      </w:r>
    </w:p>
    <w:p>
      <w:pPr>
        <w:spacing w:after="0" w:line="176" w:lineRule="exact"/>
        <w:rPr>
          <w:rFonts w:ascii="Arial" w:cs="Arial" w:eastAsia="Arial" w:hAnsi="Arial"/>
          <w:sz w:val="20"/>
          <w:szCs w:val="20"/>
          <w:color w:val="auto"/>
        </w:rPr>
      </w:pPr>
    </w:p>
    <w:p>
      <w:pPr>
        <w:ind w:left="660" w:right="400" w:hanging="328"/>
        <w:spacing w:after="0" w:line="260" w:lineRule="auto"/>
        <w:tabs>
          <w:tab w:leader="none" w:pos="648" w:val="left"/>
        </w:tabs>
        <w:numPr>
          <w:ilvl w:val="0"/>
          <w:numId w:val="24"/>
        </w:numPr>
        <w:rPr>
          <w:rFonts w:ascii="Arial" w:cs="Arial" w:eastAsia="Arial" w:hAnsi="Arial"/>
          <w:sz w:val="20"/>
          <w:szCs w:val="20"/>
          <w:color w:val="231F20"/>
        </w:rPr>
      </w:pPr>
      <w:r>
        <w:rPr>
          <w:rFonts w:ascii="Arial" w:cs="Arial" w:eastAsia="Arial" w:hAnsi="Arial"/>
          <w:sz w:val="20"/>
          <w:szCs w:val="20"/>
          <w:i w:val="1"/>
          <w:iCs w:val="1"/>
          <w:color w:val="231F20"/>
        </w:rPr>
        <w:t>Favorable structure</w:t>
      </w:r>
      <w:r>
        <w:rPr>
          <w:rFonts w:ascii="Arial" w:cs="Arial" w:eastAsia="Arial" w:hAnsi="Arial"/>
          <w:sz w:val="20"/>
          <w:szCs w:val="20"/>
          <w:color w:val="231F20"/>
        </w:rPr>
        <w:t>. CPRIM is structured to provide 1099 tax reporting instead of K-1s, a single investment instead of recurring</w:t>
      </w:r>
      <w:r>
        <w:rPr>
          <w:rFonts w:ascii="Arial" w:cs="Arial" w:eastAsia="Arial" w:hAnsi="Arial"/>
          <w:sz w:val="20"/>
          <w:szCs w:val="20"/>
          <w:i w:val="1"/>
          <w:iCs w:val="1"/>
          <w:color w:val="231F20"/>
        </w:rPr>
        <w:t xml:space="preserve"> </w:t>
      </w:r>
      <w:r>
        <w:rPr>
          <w:rFonts w:ascii="Arial" w:cs="Arial" w:eastAsia="Arial" w:hAnsi="Arial"/>
          <w:sz w:val="20"/>
          <w:szCs w:val="20"/>
          <w:color w:val="231F20"/>
        </w:rPr>
        <w:t>capital calls, and potential liquidity in the form of regular, current income.</w:t>
      </w:r>
    </w:p>
    <w:p>
      <w:pPr>
        <w:spacing w:after="0" w:line="176" w:lineRule="exact"/>
        <w:rPr>
          <w:rFonts w:ascii="Arial" w:cs="Arial" w:eastAsia="Arial" w:hAnsi="Arial"/>
          <w:sz w:val="20"/>
          <w:szCs w:val="20"/>
          <w:color w:val="231F20"/>
        </w:rPr>
      </w:pPr>
    </w:p>
    <w:p>
      <w:pPr>
        <w:ind w:left="660" w:right="360" w:hanging="328"/>
        <w:spacing w:after="0" w:line="260" w:lineRule="auto"/>
        <w:tabs>
          <w:tab w:leader="none" w:pos="648" w:val="left"/>
        </w:tabs>
        <w:numPr>
          <w:ilvl w:val="0"/>
          <w:numId w:val="24"/>
        </w:numPr>
        <w:rPr>
          <w:rFonts w:ascii="Arial" w:cs="Arial" w:eastAsia="Arial" w:hAnsi="Arial"/>
          <w:sz w:val="20"/>
          <w:szCs w:val="20"/>
          <w:color w:val="231F20"/>
        </w:rPr>
      </w:pPr>
      <w:r>
        <w:rPr>
          <w:rFonts w:ascii="Arial" w:cs="Arial" w:eastAsia="Arial" w:hAnsi="Arial"/>
          <w:sz w:val="20"/>
          <w:szCs w:val="20"/>
          <w:i w:val="1"/>
          <w:iCs w:val="1"/>
          <w:color w:val="231F20"/>
        </w:rPr>
        <w:t>Attractive track record and deep knowledge and expertise in private markets</w:t>
      </w:r>
      <w:r>
        <w:rPr>
          <w:rFonts w:ascii="Arial" w:cs="Arial" w:eastAsia="Arial" w:hAnsi="Arial"/>
          <w:sz w:val="20"/>
          <w:szCs w:val="20"/>
          <w:color w:val="231F20"/>
        </w:rPr>
        <w:t>. We have extensive experience investing substantial</w:t>
      </w:r>
      <w:r>
        <w:rPr>
          <w:rFonts w:ascii="Arial" w:cs="Arial" w:eastAsia="Arial" w:hAnsi="Arial"/>
          <w:sz w:val="20"/>
          <w:szCs w:val="20"/>
          <w:i w:val="1"/>
          <w:iCs w:val="1"/>
          <w:color w:val="231F20"/>
        </w:rPr>
        <w:t xml:space="preserve"> </w:t>
      </w:r>
      <w:r>
        <w:rPr>
          <w:rFonts w:ascii="Arial" w:cs="Arial" w:eastAsia="Arial" w:hAnsi="Arial"/>
          <w:sz w:val="20"/>
          <w:szCs w:val="20"/>
          <w:color w:val="231F20"/>
        </w:rPr>
        <w:t>capital in the private markets and have generated attractive risk-adjusted returns.</w:t>
      </w:r>
    </w:p>
    <w:p>
      <w:pPr>
        <w:spacing w:after="0" w:line="176" w:lineRule="exact"/>
        <w:rPr>
          <w:rFonts w:ascii="Arial" w:cs="Arial" w:eastAsia="Arial" w:hAnsi="Arial"/>
          <w:sz w:val="20"/>
          <w:szCs w:val="20"/>
          <w:color w:val="231F20"/>
        </w:rPr>
      </w:pPr>
    </w:p>
    <w:p>
      <w:pPr>
        <w:ind w:left="660" w:right="300" w:hanging="328"/>
        <w:spacing w:after="0" w:line="260" w:lineRule="auto"/>
        <w:tabs>
          <w:tab w:leader="none" w:pos="648" w:val="left"/>
        </w:tabs>
        <w:numPr>
          <w:ilvl w:val="0"/>
          <w:numId w:val="24"/>
        </w:numPr>
        <w:rPr>
          <w:rFonts w:ascii="Arial" w:cs="Arial" w:eastAsia="Arial" w:hAnsi="Arial"/>
          <w:sz w:val="20"/>
          <w:szCs w:val="20"/>
          <w:color w:val="231F20"/>
        </w:rPr>
      </w:pPr>
      <w:r>
        <w:rPr>
          <w:rFonts w:ascii="Arial" w:cs="Arial" w:eastAsia="Arial" w:hAnsi="Arial"/>
          <w:sz w:val="20"/>
          <w:szCs w:val="20"/>
          <w:i w:val="1"/>
          <w:iCs w:val="1"/>
          <w:color w:val="231F20"/>
        </w:rPr>
        <w:t>Proprietary database and insights</w:t>
      </w:r>
      <w:r>
        <w:rPr>
          <w:rFonts w:ascii="Arial" w:cs="Arial" w:eastAsia="Arial" w:hAnsi="Arial"/>
          <w:sz w:val="20"/>
          <w:szCs w:val="20"/>
          <w:color w:val="231F20"/>
        </w:rPr>
        <w:t>. Our proprietary SPI system represents one of the industry’s most comprehensive and powerful</w:t>
      </w:r>
      <w:r>
        <w:rPr>
          <w:rFonts w:ascii="Arial" w:cs="Arial" w:eastAsia="Arial" w:hAnsi="Arial"/>
          <w:sz w:val="20"/>
          <w:szCs w:val="20"/>
          <w:i w:val="1"/>
          <w:iCs w:val="1"/>
          <w:color w:val="231F20"/>
        </w:rPr>
        <w:t xml:space="preserve"> </w:t>
      </w:r>
      <w:r>
        <w:rPr>
          <w:rFonts w:ascii="Arial" w:cs="Arial" w:eastAsia="Arial" w:hAnsi="Arial"/>
          <w:sz w:val="20"/>
          <w:szCs w:val="20"/>
          <w:color w:val="231F20"/>
        </w:rPr>
        <w:t>databases.</w:t>
      </w:r>
    </w:p>
    <w:p>
      <w:pPr>
        <w:spacing w:after="0" w:line="176" w:lineRule="exact"/>
        <w:rPr>
          <w:rFonts w:ascii="Arial" w:cs="Arial" w:eastAsia="Arial" w:hAnsi="Arial"/>
          <w:sz w:val="20"/>
          <w:szCs w:val="20"/>
          <w:color w:val="231F20"/>
        </w:rPr>
      </w:pPr>
    </w:p>
    <w:p>
      <w:pPr>
        <w:ind w:left="660" w:right="920" w:hanging="328"/>
        <w:spacing w:after="0" w:line="260" w:lineRule="auto"/>
        <w:tabs>
          <w:tab w:leader="none" w:pos="648" w:val="left"/>
        </w:tabs>
        <w:numPr>
          <w:ilvl w:val="0"/>
          <w:numId w:val="24"/>
        </w:numPr>
        <w:rPr>
          <w:rFonts w:ascii="Arial" w:cs="Arial" w:eastAsia="Arial" w:hAnsi="Arial"/>
          <w:sz w:val="20"/>
          <w:szCs w:val="20"/>
          <w:color w:val="231F20"/>
        </w:rPr>
      </w:pPr>
      <w:r>
        <w:rPr>
          <w:rFonts w:ascii="Arial" w:cs="Arial" w:eastAsia="Arial" w:hAnsi="Arial"/>
          <w:sz w:val="20"/>
          <w:szCs w:val="20"/>
          <w:i w:val="1"/>
          <w:iCs w:val="1"/>
          <w:color w:val="231F20"/>
        </w:rPr>
        <w:t>Differentiated access</w:t>
      </w:r>
      <w:r>
        <w:rPr>
          <w:rFonts w:ascii="Arial" w:cs="Arial" w:eastAsia="Arial" w:hAnsi="Arial"/>
          <w:sz w:val="20"/>
          <w:szCs w:val="20"/>
          <w:color w:val="231F20"/>
        </w:rPr>
        <w:t>. Given its scale, expertise, and relationships, we have preferred access to top-tier fund managers and</w:t>
      </w:r>
      <w:r>
        <w:rPr>
          <w:rFonts w:ascii="Arial" w:cs="Arial" w:eastAsia="Arial" w:hAnsi="Arial"/>
          <w:sz w:val="20"/>
          <w:szCs w:val="20"/>
          <w:i w:val="1"/>
          <w:iCs w:val="1"/>
          <w:color w:val="231F20"/>
        </w:rPr>
        <w:t xml:space="preserve"> </w:t>
      </w:r>
      <w:r>
        <w:rPr>
          <w:rFonts w:ascii="Arial" w:cs="Arial" w:eastAsia="Arial" w:hAnsi="Arial"/>
          <w:sz w:val="20"/>
          <w:szCs w:val="20"/>
          <w:color w:val="231F20"/>
        </w:rPr>
        <w:t>proprietary opportunities, including co-investments and secondaries.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Fees and Other Key Contractual Terms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Separately Managed Accounts</w:t>
      </w:r>
    </w:p>
    <w:p>
      <w:pPr>
        <w:spacing w:after="0" w:line="22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231F20"/>
        </w:rPr>
        <w:t>The scope of our separate account services and degree of client involvement varies by relationship and policy guidelines, but we typically direct or have substantial participation in the negotiation of account terms, investment policy and strategic planning, pacing and ongoing monitoring and reporting activities. We also provide direct asset management services to clients, providing active fiduciary oversight of assets held by our clients, working with clients to establish investment guidelines aligned with their specific preferences and goals.</w:t>
      </w:r>
    </w:p>
    <w:p>
      <w:pPr>
        <w:spacing w:after="0" w:line="161" w:lineRule="exact"/>
        <w:rPr>
          <w:sz w:val="20"/>
          <w:szCs w:val="20"/>
          <w:color w:val="auto"/>
        </w:rPr>
      </w:pPr>
    </w:p>
    <w:p>
      <w:pPr>
        <w:ind w:right="880" w:firstLine="648"/>
        <w:spacing w:after="0" w:line="385" w:lineRule="auto"/>
        <w:rPr>
          <w:sz w:val="20"/>
          <w:szCs w:val="20"/>
          <w:color w:val="auto"/>
        </w:rPr>
      </w:pPr>
      <w:r>
        <w:rPr>
          <w:rFonts w:ascii="Arial" w:cs="Arial" w:eastAsia="Arial" w:hAnsi="Arial"/>
          <w:sz w:val="16"/>
          <w:szCs w:val="16"/>
          <w:color w:val="231F20"/>
        </w:rPr>
        <w:t>Clients seeking a large-scale asset management engagement typically prefer an SMA rather than commitment to a focused commingled fund. SMAs and directly-managed assets represented approximately $79 billion of our AUM as of March 31, 2022.</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Focused Commingled Funds</w:t>
      </w:r>
    </w:p>
    <w:p>
      <w:pPr>
        <w:spacing w:after="0" w:line="22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231F20"/>
        </w:rPr>
        <w:t>We organize and manage commingled funds that invest in primary, secondary and co-investment funds managed by third-party managers focused in our areas of expertise. Our focused commingled funds invest across a variety of private market strategies, which enables our clients to efficiently participate in these specialized strategies for which they otherwise may not be able to access due to the high minimum investment requirements. Focused commingled funds represented $44 billion of our AUM as of March 31, 2022.</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Key Terms of SMAs and Focused Commingled Funds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Fees</w:t>
      </w:r>
    </w:p>
    <w:p>
      <w:pPr>
        <w:spacing w:after="0" w:line="216" w:lineRule="exact"/>
        <w:rPr>
          <w:sz w:val="20"/>
          <w:szCs w:val="20"/>
          <w:color w:val="auto"/>
        </w:rPr>
      </w:pPr>
    </w:p>
    <w:p>
      <w:pPr>
        <w:ind w:right="200" w:firstLine="648"/>
        <w:spacing w:after="0" w:line="278" w:lineRule="auto"/>
        <w:rPr>
          <w:sz w:val="20"/>
          <w:szCs w:val="20"/>
          <w:color w:val="auto"/>
        </w:rPr>
      </w:pPr>
      <w:r>
        <w:rPr>
          <w:rFonts w:ascii="Arial" w:cs="Arial" w:eastAsia="Arial" w:hAnsi="Arial"/>
          <w:sz w:val="18"/>
          <w:szCs w:val="18"/>
          <w:color w:val="231F20"/>
        </w:rPr>
        <w:t>Management fees from SMAs are generally based on a contractual rate applied to net invested capital, although specific terms vary significantly from client to client and may be based on capital commitment or NAV. Management fees from focused commingled funds are generally based on a contractual rate applied initially to limited partners’ capital commitments, although specific terms vary significantly from fund to fund and may be based on net invested capital or NAV. Management fees often decrease over the life of the contract due to built-in declines in contractual rates and/or as a result of lower net invested capital balances as capital is returned to clients.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Duration and Termination</w:t>
      </w:r>
    </w:p>
    <w:p>
      <w:pPr>
        <w:spacing w:after="0" w:line="216"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231F20"/>
        </w:rPr>
        <w:t>SMAs and focused commingled funds are typically eight to 18 years in duration, including extensions, but this varies and may be longer or even indefinite. Our SMAs and focused commingled funds are often subject to extension either at our discretion or, in the case of SMAs, with consent of the client, or in the case of focused commingled funds, with consent of the requisite percentage of limited partners or the advisory committee.</w:t>
      </w:r>
    </w:p>
    <w:p>
      <w:pPr>
        <w:spacing w:after="0" w:line="191" w:lineRule="exact"/>
        <w:rPr>
          <w:sz w:val="20"/>
          <w:szCs w:val="20"/>
          <w:color w:val="auto"/>
        </w:rPr>
      </w:pPr>
    </w:p>
    <w:p>
      <w:pPr>
        <w:ind w:right="240" w:firstLine="648"/>
        <w:spacing w:after="0" w:line="316" w:lineRule="auto"/>
        <w:rPr>
          <w:sz w:val="20"/>
          <w:szCs w:val="20"/>
          <w:color w:val="auto"/>
        </w:rPr>
      </w:pPr>
      <w:r>
        <w:rPr>
          <w:rFonts w:ascii="Arial" w:cs="Arial" w:eastAsia="Arial" w:hAnsi="Arial"/>
          <w:sz w:val="18"/>
          <w:szCs w:val="18"/>
          <w:color w:val="231F20"/>
        </w:rPr>
        <w:t>The commitment period of our SMAs and our focused commingled funds can typically be suspended upon the occurrence of a key person event. In some cases, the commitment period of our SMAs may be terminated for any reason (typically once per year).</w:t>
      </w:r>
    </w:p>
    <w:p>
      <w:pPr>
        <w:spacing w:after="0" w:line="130"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231F20"/>
        </w:rPr>
        <w:t>SMAs typically can be terminated by our clients for specified reasons, but specific terms vary significantly from client to client and certain contracts may be terminated for any reason generally with minimal notice. Our focused commingled funds may generally be terminated for specified reasons and for any reason upon the affirmative vote, depending on the fund, of 50% or more of the total limited partner interests entitled to vote.</w:t>
      </w:r>
    </w:p>
    <w:p>
      <w:pPr>
        <w:spacing w:after="0" w:line="191"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231F20"/>
        </w:rPr>
        <w:t>See “Risk Factors—Risks Related to Our Business—Third-party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Capital Commitments</w:t>
      </w:r>
    </w:p>
    <w:p>
      <w:pPr>
        <w:spacing w:after="0" w:line="216"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231F20"/>
        </w:rPr>
        <w:t>Clients in our SMAs and focused commingled funds generally make commitments to provide capital at the outset of a fund and deliver capital when called upon by us, as investment opportunities become available and to fund operational expenses and other obligations. The commitments are generally available for investment for three to six years, during what we call the commitment period, though some SMAs provide for annual commitment periods.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31F20"/>
        </w:rPr>
        <w:t>Performance Fees</w:t>
      </w:r>
    </w:p>
    <w:p>
      <w:pPr>
        <w:spacing w:after="0" w:line="2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231F20"/>
        </w:rPr>
        <w:t>The performance fees charged by our focused commingled funds are generally referred to as “carried interest” while those charged by our SMAs may be structured as carried interest or incentive fees. Our focused commingled funds and SMAs generally charge performance fees equal to a fixed percentage of net profits, subject to a compounded annual preferred return in respect of secondary investments and co-investments, but may also earn performance fees with respect to primaries as well. In some cases, performance fees are charged with respect to appreciation in NAV in excess of an agreed rate of return.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8"/>
        <w:spacing w:after="0" w:line="260" w:lineRule="auto"/>
        <w:rPr>
          <w:sz w:val="20"/>
          <w:szCs w:val="20"/>
          <w:color w:val="auto"/>
        </w:rPr>
      </w:pPr>
      <w:r>
        <w:rPr>
          <w:rFonts w:ascii="Arial" w:cs="Arial" w:eastAsia="Arial" w:hAnsi="Arial"/>
          <w:sz w:val="19"/>
          <w:szCs w:val="19"/>
          <w:color w:val="231F20"/>
        </w:rPr>
        <w:t>If, upon the final distribution of any of our focused commingled funds or SMAs from which we earn performance fees, we or our affiliates have received cumulative performance fees in excess of the amount to which we would be entitled from the profits calculated for such investments in the aggregate, or if the clients have not received distributions equal to those to which they are entitled, we or our affiliates will return such part of any performance fees to the clients as is necessary to ensure that they receive the amounts to which they are entitled, less taxes on the performance fees. We refer to these provisions as “clawbacks.”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Advisory, Data and Administrative Services</w:t>
      </w:r>
    </w:p>
    <w:p>
      <w:pPr>
        <w:spacing w:after="0" w:line="222" w:lineRule="exact"/>
        <w:rPr>
          <w:sz w:val="20"/>
          <w:szCs w:val="20"/>
          <w:color w:val="auto"/>
        </w:rPr>
      </w:pPr>
    </w:p>
    <w:p>
      <w:pPr>
        <w:ind w:right="80" w:firstLine="648"/>
        <w:spacing w:after="0" w:line="275" w:lineRule="auto"/>
        <w:rPr>
          <w:sz w:val="20"/>
          <w:szCs w:val="20"/>
          <w:color w:val="auto"/>
        </w:rPr>
      </w:pPr>
      <w:r>
        <w:rPr>
          <w:rFonts w:ascii="Arial" w:cs="Arial" w:eastAsia="Arial" w:hAnsi="Arial"/>
          <w:sz w:val="18"/>
          <w:szCs w:val="18"/>
          <w:color w:val="231F20"/>
        </w:rPr>
        <w:t>Depending on the mandate, advisory, data and administrative services may include one or more of the following for our clients: (i) recurring support of portfolio construction and design; (ii) discrete or project-based due diligence, advice, and investment recommendations;</w:t>
      </w:r>
    </w:p>
    <w:p>
      <w:pPr>
        <w:spacing w:after="0" w:line="1" w:lineRule="exact"/>
        <w:rPr>
          <w:sz w:val="20"/>
          <w:szCs w:val="20"/>
          <w:color w:val="auto"/>
        </w:rPr>
      </w:pPr>
    </w:p>
    <w:p>
      <w:pPr>
        <w:ind w:right="40" w:firstLine="8"/>
        <w:spacing w:after="0" w:line="272" w:lineRule="auto"/>
        <w:tabs>
          <w:tab w:leader="none" w:pos="346"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SPI and our other proprietary tools; or (vi) administrative services to unaffiliated investment advisors. Mandates for SPAR services typically include licensed access to Omni, our proprietary web-based performance monitoring and reporting solution. Omni allows our clients to customize performance measurement and benchmarking according to their unique specifications. Our advisory relationships comprised $436 billion of our AUA and $12 billion of our AUM as of March 31, 2022.</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231F20"/>
        </w:rPr>
        <w:t>Our advisory, data and administrative services clients are generally charged annual fixed fees, which vary depending on the services we provide and the volume of capital deployed. We generally do not earn incentive fees on advisory contracts.</w:t>
      </w:r>
    </w:p>
    <w:p>
      <w:pPr>
        <w:spacing w:after="0" w:line="152" w:lineRule="exact"/>
        <w:rPr>
          <w:sz w:val="20"/>
          <w:szCs w:val="20"/>
          <w:color w:val="auto"/>
        </w:rPr>
      </w:pPr>
    </w:p>
    <w:p>
      <w:pPr>
        <w:ind w:right="80" w:firstLine="648"/>
        <w:spacing w:after="0" w:line="328" w:lineRule="auto"/>
        <w:rPr>
          <w:sz w:val="20"/>
          <w:szCs w:val="20"/>
          <w:color w:val="auto"/>
        </w:rPr>
      </w:pPr>
      <w:r>
        <w:rPr>
          <w:rFonts w:ascii="Arial" w:cs="Arial" w:eastAsia="Arial" w:hAnsi="Arial"/>
          <w:sz w:val="16"/>
          <w:szCs w:val="16"/>
          <w:color w:val="231F20"/>
        </w:rPr>
        <w:t>Our advisory, data and administrative services contracts have various durations ranging from one year to indefinite terms and renew at the option of the client at the end of the stated term. Advisory, data and administrative service contracts can typically be terminated by our clients for any reason upon short notice, generally 30 to 90 days. Advisory, data and administrative service contracts with governmental pension plans typically are subject to a renewal process involving our submission of information in response to an RFP issued by the client.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Competition</w:t>
      </w:r>
    </w:p>
    <w:p>
      <w:pPr>
        <w:spacing w:after="0" w:line="222"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231F20"/>
        </w:rPr>
        <w:t xml:space="preserve">We compete in all aspects of our business with a large number of asset management firms, commercial banks, broker-dealers, insurance companies and other financial institutions. With respect to our focused commingled funds, we primarily compete with the private markets management businesses of a number of large international financial institutions and established local and regional competitors based in the United States, Europe and Asia, including managers offering funds-of-funds, secondary funds and co-investment funds in the private markets. Our principal competition for SMAs is mostly other highly specialized and independent private markets asset management firms. We compete primarily in the advisory services area of the business with firms that are regionally based and with a select number of large consulting firms for whom private markets investments is only one, often small, portion of their overall business. </w:t>
      </w:r>
      <w:r>
        <w:rPr>
          <w:rFonts w:ascii="Arial" w:cs="Arial" w:eastAsia="Arial" w:hAnsi="Arial"/>
          <w:sz w:val="18"/>
          <w:szCs w:val="18"/>
          <w:color w:val="221F1F"/>
        </w:rPr>
        <w:t>See “Risk Factors—Risks</w:t>
      </w:r>
      <w:r>
        <w:rPr>
          <w:rFonts w:ascii="Arial" w:cs="Arial" w:eastAsia="Arial" w:hAnsi="Arial"/>
          <w:sz w:val="18"/>
          <w:szCs w:val="18"/>
          <w:color w:val="231F20"/>
        </w:rPr>
        <w:t xml:space="preserve"> </w:t>
      </w:r>
      <w:r>
        <w:rPr>
          <w:rFonts w:ascii="Arial" w:cs="Arial" w:eastAsia="Arial" w:hAnsi="Arial"/>
          <w:sz w:val="18"/>
          <w:szCs w:val="18"/>
          <w:color w:val="221F1F"/>
        </w:rPr>
        <w:t>Related to Our Industry—</w:t>
      </w:r>
      <w:r>
        <w:rPr>
          <w:rFonts w:ascii="Arial" w:cs="Arial" w:eastAsia="Arial" w:hAnsi="Arial"/>
          <w:sz w:val="18"/>
          <w:szCs w:val="18"/>
          <w:color w:val="000000"/>
        </w:rPr>
        <w:t>The investment management and investment advisory business is intensely competitive</w:t>
      </w:r>
      <w:r>
        <w:rPr>
          <w:rFonts w:ascii="Arial" w:cs="Arial" w:eastAsia="Arial" w:hAnsi="Arial"/>
          <w:sz w:val="18"/>
          <w:szCs w:val="18"/>
          <w:color w:val="221F1F"/>
        </w:rPr>
        <w:t>.”</w:t>
      </w:r>
    </w:p>
    <w:p>
      <w:pPr>
        <w:spacing w:after="0" w:line="168"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231F20"/>
        </w:rPr>
        <w:t>In order to grow our business, we must maintain our existing client base and attract additional clients in advisory services, SMA and focused commingled fund areas of the business. Historically, we have competed principally on the basis of the factors listed below:</w:t>
      </w:r>
    </w:p>
    <w:p>
      <w:pPr>
        <w:spacing w:after="0" w:line="130" w:lineRule="exact"/>
        <w:rPr>
          <w:sz w:val="20"/>
          <w:szCs w:val="20"/>
          <w:color w:val="auto"/>
        </w:rPr>
      </w:pPr>
    </w:p>
    <w:p>
      <w:pPr>
        <w:ind w:left="660" w:right="56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231F20"/>
        </w:rPr>
        <w:t>global access to private markets investment opportunities through our size, scale, reputation and strong relationships with fund managers;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brand recognition and reputation within the investing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performance of investment strategies;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quality of service and duration of client relationships;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data and analytics capabilities;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ability to customize product offerings to client specifications;</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transparent organizational structure;</w:t>
      </w:r>
    </w:p>
    <w:p>
      <w:pPr>
        <w:spacing w:after="0" w:line="215" w:lineRule="exact"/>
        <w:rPr>
          <w:rFonts w:ascii="Arial" w:cs="Arial" w:eastAsia="Arial" w:hAnsi="Arial"/>
          <w:sz w:val="20"/>
          <w:szCs w:val="20"/>
          <w:color w:val="231F20"/>
        </w:rPr>
      </w:pPr>
    </w:p>
    <w:p>
      <w:pPr>
        <w:ind w:left="640" w:hanging="308"/>
        <w:spacing w:after="0"/>
        <w:tabs>
          <w:tab w:leader="none" w:pos="64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ability to provide cost effective and comprehensive range of services and products; and</w:t>
      </w:r>
    </w:p>
    <w:p>
      <w:pPr>
        <w:spacing w:after="0" w:line="215" w:lineRule="exact"/>
        <w:rPr>
          <w:rFonts w:ascii="Arial" w:cs="Arial" w:eastAsia="Arial" w:hAnsi="Arial"/>
          <w:sz w:val="20"/>
          <w:szCs w:val="20"/>
          <w:color w:val="231F20"/>
        </w:rPr>
      </w:pPr>
    </w:p>
    <w:p>
      <w:pPr>
        <w:ind w:left="660" w:right="360" w:hanging="328"/>
        <w:spacing w:after="0" w:line="260" w:lineRule="auto"/>
        <w:tabs>
          <w:tab w:leader="none" w:pos="648"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clients’ perceptions of our independence and the alignment of our interests with theirs created through our investment in our own products.</w:t>
      </w:r>
    </w:p>
    <w:p>
      <w:pPr>
        <w:spacing w:after="0" w:line="177"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231F20"/>
        </w:rPr>
        <w:t xml:space="preserve">The asset management business is intensely competitive, and in addition to the above factors, our ability to continue to compete effectively will depend upon our ability to attract highly qualified investment professionals and retain existing employees. </w:t>
      </w:r>
      <w:r>
        <w:rPr>
          <w:rFonts w:ascii="Arial" w:cs="Arial" w:eastAsia="Arial" w:hAnsi="Arial"/>
          <w:sz w:val="20"/>
          <w:szCs w:val="20"/>
          <w:color w:val="221F1F"/>
        </w:rPr>
        <w:t>See “Risk Factors</w:t>
      </w:r>
      <w:r>
        <w:rPr>
          <w:rFonts w:ascii="Arial" w:cs="Arial" w:eastAsia="Arial" w:hAnsi="Arial"/>
          <w:sz w:val="20"/>
          <w:szCs w:val="20"/>
          <w:color w:val="231F20"/>
        </w:rPr>
        <w:t xml:space="preserve"> </w:t>
      </w:r>
      <w:r>
        <w:rPr>
          <w:rFonts w:ascii="Arial" w:cs="Arial" w:eastAsia="Arial" w:hAnsi="Arial"/>
          <w:sz w:val="20"/>
          <w:szCs w:val="20"/>
          <w:color w:val="221F1F"/>
        </w:rPr>
        <w:t>—Risks Related to Our Business—</w:t>
      </w:r>
      <w:r>
        <w:rPr>
          <w:rFonts w:ascii="Arial" w:cs="Arial" w:eastAsia="Arial" w:hAnsi="Arial"/>
          <w:sz w:val="20"/>
          <w:szCs w:val="20"/>
          <w:color w:val="000000"/>
        </w:rPr>
        <w:t>Our ability to retain our senior leadership team and attract additional qualified professionals is critical to</w:t>
      </w:r>
      <w:r>
        <w:rPr>
          <w:rFonts w:ascii="Arial" w:cs="Arial" w:eastAsia="Arial" w:hAnsi="Arial"/>
          <w:sz w:val="20"/>
          <w:szCs w:val="20"/>
          <w:color w:val="221F1F"/>
        </w:rPr>
        <w:t xml:space="preserve"> </w:t>
      </w:r>
      <w:r>
        <w:rPr>
          <w:rFonts w:ascii="Arial" w:cs="Arial" w:eastAsia="Arial" w:hAnsi="Arial"/>
          <w:sz w:val="20"/>
          <w:szCs w:val="20"/>
          <w:color w:val="000000"/>
        </w:rPr>
        <w:t>our success</w:t>
      </w:r>
      <w:r>
        <w:rPr>
          <w:rFonts w:ascii="Arial" w:cs="Arial" w:eastAsia="Arial" w:hAnsi="Arial"/>
          <w:sz w:val="20"/>
          <w:szCs w:val="20"/>
          <w:color w:val="221F1F"/>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Regulatory Environment</w:t>
      </w:r>
    </w:p>
    <w:p>
      <w:pPr>
        <w:spacing w:after="0" w:line="222"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231F20"/>
        </w:rPr>
        <w:t>Our business is subject to extensive federal and state regulation in the United States. Under these laws and regulations, the SEC and relevant state securities authorities have broad administrative powers, including the power to limit, restrict or prohibit an investment adviser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adviser and other registrations, censures and fines. We are also subject to regulatory oversight and requirements in several foreign jurisdictions in which we operate.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SEC Regulation</w:t>
      </w:r>
    </w:p>
    <w:p>
      <w:pPr>
        <w:spacing w:after="0" w:line="222"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231F20"/>
        </w:rPr>
        <w:t>The Partnership and certain of our other consolidated subsidiaries are registered as investment advisers with the SEC. Registered investment advisers are subject to the requirements of the Investment Advisers Act, and the rules promulgated thereunder, as well as to examination by the SEC’s staff. The Investment Advisers Act imposes substantive regulation on virtually every aspect of our business and our client relationships. Applicable requirements relate to, among other things, fiduciary duties to clients, engaging in transactions with clients, maintaining an effective compliance program, performance fees, solicitation arrangements, allocation of investments, conflicts of interest, marketing,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Failure to comply with the requirements of the Investment Advisers Act or the rules and regulations promulgated by the SEC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231F20"/>
        </w:rPr>
        <w:t>Our SMAs and focused commingled funds generally are not registered under the Investment Company Act because we only form SMAs for, and offer interests in our focused commingled funds to, persons who we reasonably believe to be “qualified purchasers” as defined in the Investment Company Act. However, we expect that the funds we manage on our private wealth platform will be registered investment companies under the Investment Company Act. 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stringent governance and board independence requirements.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ERISA-Related Regulation</w:t>
      </w:r>
    </w:p>
    <w:p>
      <w:pPr>
        <w:spacing w:after="0" w:line="22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231F20"/>
        </w:rPr>
        <w:t>Some of our investment vehicles are treated as holding “plan assets,” as defined under ERISA, as a result of investments in those vehicles by benefit plan investors. By virtue of its role as investment manager of these funds, we are a “plan fiduciary” under ERISA with respect to such benefit plan investors. ERISA and the Code impose certain duties on persons that are plan fiduciaries under ERISA, prohibiting certain transactions involving benefit plans and “parties in interest” or “disqualified persons” to those plans, and providing for monetary penalties against plan fiduciaries for violations of these prohibitions. With respect to these vehicles, we rely on particular statutory and administrative exemptions from certain ERISA prohibited transactions, which exemptions are highly complex and may in certain circumstances depend on compliance by third parties whom we do not control. Our failure to comply with these various requirements could have a material adverse effect on our business.</w:t>
      </w:r>
    </w:p>
    <w:p>
      <w:pPr>
        <w:spacing w:after="0" w:line="180"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231F20"/>
        </w:rPr>
        <w:t>In addition, with respect to other investment funds in which benefit plan investors have invested, but which are not treated as holding “plan assets,” we rely on certain rules under ERISA in conducting investment management activities. These rules are sometimes highly complex and may in certain circumstances depend on compliance by third parties that we do not control. If for any reason these rules were to become inapplicable, we could become subject to regulatory action or third-party claims that could have a material adverse effect on our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Foreign Regulation</w:t>
      </w:r>
    </w:p>
    <w:p>
      <w:pPr>
        <w:spacing w:after="0" w:line="222"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231F20"/>
        </w:rPr>
        <w:t>We provide investment advisory and other services and raise funds in a number of countries and jurisdictions outside the United States. In a number of these countries and jurisdictions, which include the UK, European Union (“EU”), the European Economic Area (“EEA”), and certain of the individual member states of each of the EU and EEA (including Ireland and Luxembourg), Switzerland, Japan, Korea,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Switzerland and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231F20"/>
        </w:rPr>
        <w:t>The European Union Markets in Financial Instruments Directive II (“MiFID II”), which became effective on January 3, 2018,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firms which are subject to MiFID II (including MiFID II as applicable in the UK), we implemented revised policies and procedures to comply with MiFID II where relevant, including where certain rules have an extraterritorial impact on us. Continuing compliance with MiFID II may result in greater overall complexity, higher compliance, administration and operational costs, and less overall flexibility. The complexity, operational costs and reduction in flexibility may be further compounded as a result of UK’s departure from the EU, as discussed more fully below. This is because the UK: (i) is no longer generally required to transpose EU law into UK law and (ii) has transposed certain EU legislation into UK law subject to various amendments and subject to the UK Financial Conduct Authority’s oversight rather than that of EU regulators. Taken together, this could result in divergence between the UK and EU regulatory frameworks. Outside the UK and the EEA, the regulations to which we are subject relate primarily to registration and reporting obligations.</w:t>
      </w:r>
    </w:p>
    <w:p>
      <w:pPr>
        <w:spacing w:after="0" w:line="184" w:lineRule="exact"/>
        <w:rPr>
          <w:sz w:val="20"/>
          <w:szCs w:val="20"/>
          <w:color w:val="auto"/>
        </w:rPr>
      </w:pPr>
    </w:p>
    <w:p>
      <w:pPr>
        <w:ind w:right="60" w:firstLine="648"/>
        <w:spacing w:after="0" w:line="269" w:lineRule="auto"/>
        <w:rPr>
          <w:sz w:val="20"/>
          <w:szCs w:val="20"/>
          <w:color w:val="auto"/>
        </w:rPr>
      </w:pPr>
      <w:r>
        <w:rPr>
          <w:rFonts w:ascii="Arial" w:cs="Arial" w:eastAsia="Arial" w:hAnsi="Arial"/>
          <w:sz w:val="18"/>
          <w:szCs w:val="18"/>
          <w:color w:val="231F20"/>
        </w:rPr>
        <w:t xml:space="preserve">It is expected that additional laws and regulations will come into force in the UK, the EEA, the EU, and other countries in which we operate over the coming years. Regulation (EU) 2019/2033 on the prudential requirements for investment firms (“IFR”) and Directive (EU) 2019/2034 on the prudential supervision of investment firms (“IFD”) entered into force on December 25, 2019. Together the IFR and IFD introduced a new prudential regime for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The UK is also proposing to introduce a new prudential regime for investment firms that are subject to MiFID II (as implemented in the United Kingdom), to take effect on January 1, 2022. Whilst this regime has not yet been finalized, it is highly likely to introduce (amongst other things) increased regulatory capital requirements, new remuneration requirements and increased reporting requirements. In addition, there may be changes to the AIFMD and UCITS regimes and also further regulation adopted which may impact those parts of our business operating within the EU. </w:t>
      </w:r>
      <w:r>
        <w:rPr>
          <w:rFonts w:ascii="Arial" w:cs="Arial" w:eastAsia="Arial" w:hAnsi="Arial"/>
          <w:sz w:val="18"/>
          <w:szCs w:val="18"/>
          <w:color w:val="000000"/>
        </w:rPr>
        <w:t>For instance,</w:t>
      </w:r>
      <w:r>
        <w:rPr>
          <w:rFonts w:ascii="Arial" w:cs="Arial" w:eastAsia="Arial" w:hAnsi="Arial"/>
          <w:sz w:val="18"/>
          <w:szCs w:val="18"/>
          <w:color w:val="231F20"/>
        </w:rPr>
        <w:t xml:space="preserve"> </w:t>
      </w:r>
      <w:r>
        <w:rPr>
          <w:rFonts w:ascii="Arial" w:cs="Arial" w:eastAsia="Arial" w:hAnsi="Arial"/>
          <w:sz w:val="18"/>
          <w:szCs w:val="18"/>
          <w:color w:val="000000"/>
        </w:rPr>
        <w:t>key requirements under Directive (EU) 2019/1160 and Regulation (EU) 2019/1156 on the cross-border distribution of collective investment undertakings will come into effect in EU member states from August 2, 2021. Among other things, this legislation introduces rules regarding the pre-marketing of funds.</w:t>
      </w:r>
    </w:p>
    <w:p>
      <w:pPr>
        <w:spacing w:after="0" w:line="179" w:lineRule="exact"/>
        <w:rPr>
          <w:sz w:val="20"/>
          <w:szCs w:val="20"/>
          <w:color w:val="auto"/>
        </w:rPr>
      </w:pPr>
    </w:p>
    <w:p>
      <w:pPr>
        <w:ind w:right="280" w:firstLine="648"/>
        <w:spacing w:after="0" w:line="287" w:lineRule="auto"/>
        <w:rPr>
          <w:sz w:val="20"/>
          <w:szCs w:val="20"/>
          <w:color w:val="auto"/>
        </w:rPr>
      </w:pPr>
      <w:r>
        <w:rPr>
          <w:rFonts w:ascii="Arial" w:cs="Arial" w:eastAsia="Arial" w:hAnsi="Arial"/>
          <w:sz w:val="19"/>
          <w:szCs w:val="19"/>
          <w:color w:val="231F20"/>
        </w:rPr>
        <w:t>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231F20"/>
        </w:rPr>
        <w:t>With the expiration of the Brexit transition period on December 31, 2020, UK regulated entities lost the right to passport their services to EEA countries, and EEA entities lost the right to reciprocal passporting into the UK (subject to a transitional regime). As noted above, in response to this, as planned, we have engaged our affiliate entity, StepStone Group Europe Alternative Investments Limited (“SGEAIL”), formerly known as Swiss Capital Invest Holding (Dublin) Limited, which is based in the EU, to allow the group to continue to engage in regulated activities within the EU. SGEAIL is authorized by the Central Bank of Ireland pursuant to AIFMD and UCITS and authorized to provide certain MiFID II services. We also may establish offices in various EU jurisdictions to employ and supervise operations in such jurisdictions, including the establishment of branches in SGEAIL. While we believe that taking these steps will help to ensure that we are able to continue to conduct business in the UK and the EU after Brexit, there remains some uncertainty as to the full extent to which our business could be adversely affected. Further, as described above, the UK’s departure from the EU and the potential resulting divergence between the UK and EU regulatory frameworks may result in additional complexity and costs in complying with regulations across both the UK and EU.</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1F20"/>
        </w:rPr>
        <w:t>Human Capital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Our People and Culture</w:t>
      </w:r>
    </w:p>
    <w:p>
      <w:pPr>
        <w:spacing w:after="0" w:line="222" w:lineRule="exact"/>
        <w:rPr>
          <w:sz w:val="20"/>
          <w:szCs w:val="20"/>
          <w:color w:val="auto"/>
        </w:rPr>
      </w:pPr>
    </w:p>
    <w:p>
      <w:pPr>
        <w:ind w:right="260" w:firstLine="648"/>
        <w:spacing w:after="0" w:line="278" w:lineRule="auto"/>
        <w:rPr>
          <w:sz w:val="20"/>
          <w:szCs w:val="20"/>
          <w:color w:val="auto"/>
        </w:rPr>
      </w:pPr>
      <w:r>
        <w:rPr>
          <w:rFonts w:ascii="Arial" w:cs="Arial" w:eastAsia="Arial" w:hAnsi="Arial"/>
          <w:sz w:val="18"/>
          <w:szCs w:val="18"/>
          <w:color w:val="231F20"/>
        </w:rPr>
        <w:t>Our Core Values and Beliefs include “People Matter” and “Empowered Team.” We recognize our people are our biggest asset and their enthusiasm, hard work and dedication make everything that we do possible. We emphasize integrity, transparency, collaboration, entrepreneurialism, and respect for all, driving how we interact with one another, our clients and investors, sponsors, vendors and service providers, and the community at large. These values are embraced by StepStone’s team and lead to high satisfaction for employees. We measure employee satisfaction and engagement through a variety of surveys throughout the year.</w:t>
      </w:r>
    </w:p>
    <w:p>
      <w:pPr>
        <w:spacing w:after="0" w:line="165"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231F20"/>
        </w:rPr>
        <w:t>As of March 31, 2022, we had over 790 employees globally, including more than 280 investment professionals and more than 500 employees across our operating team and implementation teams dedicated to sourcing, executing, analyzing and monitoring private markets opportunities. We consider our relationship with our employees to be good and have not experienced interruptions of operations due to labor disagreements.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Talent Acquisition and Retention</w:t>
      </w:r>
    </w:p>
    <w:p>
      <w:pPr>
        <w:spacing w:after="0" w:line="22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9"/>
          <w:szCs w:val="19"/>
          <w:color w:val="231F20"/>
        </w:rPr>
        <w:t xml:space="preserve">The process by which we attract, recruit and select new members to join our team is strategic and purposeful to ensure our business and culture continue to thrive. We leverage technology to ensure each hiring process utilizes data-driven assessment tools which evaluate candidates on merit and fitness for the job. Given our global business and client base, we seek to consider candidates from diverse backgrounds, cultures and educational institutions. We strive to maintain hiring practices that are handled with professionalism and responsiveness, in a fair and inclusive selection process. We aspire to have candidates progress within the hiring process with a positive impression of the firm. StepStone’s retention strategy encompasses the entire life cycle of the employee, including </w:t>
      </w:r>
      <w:r>
        <w:rPr>
          <w:rFonts w:ascii="Arial" w:cs="Arial" w:eastAsia="Arial" w:hAnsi="Arial"/>
          <w:sz w:val="19"/>
          <w:szCs w:val="19"/>
          <w:color w:val="000000"/>
        </w:rPr>
        <w:t>our strategic hiring and</w:t>
      </w:r>
      <w:r>
        <w:rPr>
          <w:rFonts w:ascii="Arial" w:cs="Arial" w:eastAsia="Arial" w:hAnsi="Arial"/>
          <w:sz w:val="19"/>
          <w:szCs w:val="19"/>
          <w:color w:val="231F20"/>
        </w:rPr>
        <w:t xml:space="preserve"> </w:t>
      </w:r>
      <w:r>
        <w:rPr>
          <w:rFonts w:ascii="Arial" w:cs="Arial" w:eastAsia="Arial" w:hAnsi="Arial"/>
          <w:sz w:val="19"/>
          <w:szCs w:val="19"/>
          <w:color w:val="000000"/>
        </w:rPr>
        <w:t>co</w:t>
      </w:r>
      <w:r>
        <w:rPr>
          <w:rFonts w:ascii="Arial" w:cs="Arial" w:eastAsia="Arial" w:hAnsi="Arial"/>
          <w:sz w:val="19"/>
          <w:szCs w:val="19"/>
          <w:color w:val="231F20"/>
        </w:rPr>
        <w:t>mprehensive onboarding processes, ongoing professional development, mentoring and sponsorship programs, our learning and inclusive</w:t>
      </w:r>
      <w:r>
        <w:rPr>
          <w:rFonts w:ascii="Arial" w:cs="Arial" w:eastAsia="Arial" w:hAnsi="Arial"/>
          <w:sz w:val="19"/>
          <w:szCs w:val="19"/>
          <w:color w:val="000000"/>
        </w:rPr>
        <w:t xml:space="preserve"> </w:t>
      </w:r>
      <w:r>
        <w:rPr>
          <w:rFonts w:ascii="Arial" w:cs="Arial" w:eastAsia="Arial" w:hAnsi="Arial"/>
          <w:sz w:val="19"/>
          <w:szCs w:val="19"/>
          <w:color w:val="231F20"/>
        </w:rPr>
        <w:t>culture and conducting exit interviews to gain further insights on retention.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Total Rewards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continuously strive to provide a competitive and above-market total rewards package.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231F20"/>
        </w:rPr>
        <w:t>Our compensation approach is performance based and determined by considering a combination of firm and individual performance. Cash compensation, in the forms of base salary, bonus and revenue share, is just one of several core elements of total rewards that we offer our team members. We also offer competitive health and wellness benefits, parental benefits described further below, volunteer time off, and company contributions to employees’ 401(k) plans. As a public company, we are able to diversify our employee ownership by providing equity grants to employees. In connection with our IPO, we granted restricted stock units (“RSUs”) pursuant to our LTIP to over 500 of our approximately 560 employees at the time of the offering. Our LTIP provides us the ability to offer a variety of equity-based awards in the future to further incentivize our employees. In February 2022, we granted restricted stock units to approximately 250 of our employees. In addition, we award annually a portion of carried interest allocations earned by us to certain employees. We also believe we offer an engaging culture and opportunities for ongoing professional development. We believe that a strong, performance-oriented culture is the foundation for a stable organization that will attract and retain industry-leading talent. We offer our team members the benefit of a collegial, intellectually-challenging environment where they are empowered to exercise their creativity.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Diversity &amp; Inclusion</w:t>
      </w:r>
    </w:p>
    <w:p>
      <w:pPr>
        <w:spacing w:after="0" w:line="22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231F20"/>
        </w:rPr>
        <w:t>We believe that a diverse team and an inclusive environment bring tremendous value to us and our clients and are fundamental to our success. Bringing together individuals with diverse backgrounds, experiences, and perspectives allows us to better serve our clients and investors, and is integral to retaining an engaged and dedicated workforce. We have established various initiatives and programs to promote and foster diversity and inclusion within StepStone and the broader financial services community, including:</w:t>
      </w:r>
    </w:p>
    <w:p>
      <w:pPr>
        <w:spacing w:after="0" w:line="161" w:lineRule="exact"/>
        <w:rPr>
          <w:sz w:val="20"/>
          <w:szCs w:val="20"/>
          <w:color w:val="auto"/>
        </w:rPr>
      </w:pPr>
    </w:p>
    <w:p>
      <w:pPr>
        <w:ind w:left="660" w:right="120" w:hanging="328"/>
        <w:spacing w:after="0" w:line="250" w:lineRule="auto"/>
        <w:tabs>
          <w:tab w:leader="none" w:pos="648" w:val="left"/>
        </w:tabs>
        <w:numPr>
          <w:ilvl w:val="0"/>
          <w:numId w:val="28"/>
        </w:numPr>
        <w:rPr>
          <w:rFonts w:ascii="Arial" w:cs="Arial" w:eastAsia="Arial" w:hAnsi="Arial"/>
          <w:sz w:val="20"/>
          <w:szCs w:val="20"/>
          <w:color w:val="231F20"/>
        </w:rPr>
      </w:pPr>
      <w:r>
        <w:rPr>
          <w:rFonts w:ascii="Arial" w:cs="Arial" w:eastAsia="Arial" w:hAnsi="Arial"/>
          <w:sz w:val="20"/>
          <w:szCs w:val="20"/>
          <w:i w:val="1"/>
          <w:iCs w:val="1"/>
          <w:color w:val="231F20"/>
        </w:rPr>
        <w:t xml:space="preserve">StepStone Diversity, Equity &amp; Inclusion Committee </w:t>
      </w:r>
      <w:r>
        <w:rPr>
          <w:rFonts w:ascii="Arial" w:cs="Arial" w:eastAsia="Arial" w:hAnsi="Arial"/>
          <w:sz w:val="20"/>
          <w:szCs w:val="20"/>
          <w:color w:val="231F20"/>
        </w:rPr>
        <w:t>– The committee was established to promote, monitor and implement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diversity and inclusion strategy, and comprises employees from different asset classes, functions, seniority, geographies, gender and race, ethnicity and national origin.</w:t>
      </w:r>
    </w:p>
    <w:p>
      <w:pPr>
        <w:spacing w:after="0" w:line="185" w:lineRule="exact"/>
        <w:rPr>
          <w:rFonts w:ascii="Arial" w:cs="Arial" w:eastAsia="Arial" w:hAnsi="Arial"/>
          <w:sz w:val="20"/>
          <w:szCs w:val="20"/>
          <w:color w:val="231F20"/>
        </w:rPr>
      </w:pPr>
    </w:p>
    <w:p>
      <w:pPr>
        <w:ind w:left="660" w:right="400" w:hanging="328"/>
        <w:spacing w:after="0" w:line="316" w:lineRule="auto"/>
        <w:tabs>
          <w:tab w:leader="none" w:pos="648" w:val="left"/>
        </w:tabs>
        <w:numPr>
          <w:ilvl w:val="0"/>
          <w:numId w:val="28"/>
        </w:numPr>
        <w:rPr>
          <w:rFonts w:ascii="Arial" w:cs="Arial" w:eastAsia="Arial" w:hAnsi="Arial"/>
          <w:sz w:val="18"/>
          <w:szCs w:val="18"/>
          <w:color w:val="231F20"/>
        </w:rPr>
      </w:pPr>
      <w:r>
        <w:rPr>
          <w:rFonts w:ascii="Arial" w:cs="Arial" w:eastAsia="Arial" w:hAnsi="Arial"/>
          <w:sz w:val="18"/>
          <w:szCs w:val="18"/>
          <w:i w:val="1"/>
          <w:iCs w:val="1"/>
          <w:color w:val="231F20"/>
        </w:rPr>
        <w:t xml:space="preserve">StepStone Diversity, Equity &amp; Inclusion Network </w:t>
      </w:r>
      <w:r>
        <w:rPr>
          <w:rFonts w:ascii="Arial" w:cs="Arial" w:eastAsia="Arial" w:hAnsi="Arial"/>
          <w:sz w:val="18"/>
          <w:szCs w:val="18"/>
          <w:color w:val="231F20"/>
        </w:rPr>
        <w:t>– The network provides opportunities for our employees to learn about various</w:t>
      </w:r>
      <w:r>
        <w:rPr>
          <w:rFonts w:ascii="Arial" w:cs="Arial" w:eastAsia="Arial" w:hAnsi="Arial"/>
          <w:sz w:val="18"/>
          <w:szCs w:val="18"/>
          <w:i w:val="1"/>
          <w:iCs w:val="1"/>
          <w:color w:val="231F20"/>
        </w:rPr>
        <w:t xml:space="preserve"> </w:t>
      </w:r>
      <w:r>
        <w:rPr>
          <w:rFonts w:ascii="Arial" w:cs="Arial" w:eastAsia="Arial" w:hAnsi="Arial"/>
          <w:sz w:val="18"/>
          <w:szCs w:val="18"/>
          <w:color w:val="231F20"/>
        </w:rPr>
        <w:t>diversity, equity and inclusion matters and initiatives and to meet and talk to experts who are championing these causes.</w:t>
      </w:r>
    </w:p>
    <w:p>
      <w:pPr>
        <w:spacing w:after="0" w:line="129" w:lineRule="exact"/>
        <w:rPr>
          <w:rFonts w:ascii="Arial" w:cs="Arial" w:eastAsia="Arial" w:hAnsi="Arial"/>
          <w:sz w:val="18"/>
          <w:szCs w:val="18"/>
          <w:color w:val="231F20"/>
        </w:rPr>
      </w:pPr>
    </w:p>
    <w:p>
      <w:pPr>
        <w:ind w:left="660" w:right="100" w:hanging="328"/>
        <w:spacing w:after="0" w:line="263" w:lineRule="auto"/>
        <w:tabs>
          <w:tab w:leader="none" w:pos="648" w:val="left"/>
        </w:tabs>
        <w:numPr>
          <w:ilvl w:val="0"/>
          <w:numId w:val="28"/>
        </w:numPr>
        <w:rPr>
          <w:rFonts w:ascii="Arial" w:cs="Arial" w:eastAsia="Arial" w:hAnsi="Arial"/>
          <w:sz w:val="19"/>
          <w:szCs w:val="19"/>
          <w:color w:val="231F20"/>
        </w:rPr>
      </w:pPr>
      <w:r>
        <w:rPr>
          <w:rFonts w:ascii="Arial" w:cs="Arial" w:eastAsia="Arial" w:hAnsi="Arial"/>
          <w:sz w:val="19"/>
          <w:szCs w:val="19"/>
          <w:i w:val="1"/>
          <w:iCs w:val="1"/>
          <w:color w:val="231F20"/>
        </w:rPr>
        <w:t xml:space="preserve">Mentorship and Sponsorship Programs </w:t>
      </w:r>
      <w:r>
        <w:rPr>
          <w:rFonts w:ascii="Arial" w:cs="Arial" w:eastAsia="Arial" w:hAnsi="Arial"/>
          <w:sz w:val="19"/>
          <w:szCs w:val="19"/>
          <w:color w:val="231F20"/>
        </w:rPr>
        <w:t>– The mentorship program provides interested employees with structured access to one of</w:t>
      </w:r>
      <w:r>
        <w:rPr>
          <w:rFonts w:ascii="Arial" w:cs="Arial" w:eastAsia="Arial" w:hAnsi="Arial"/>
          <w:sz w:val="19"/>
          <w:szCs w:val="19"/>
          <w:i w:val="1"/>
          <w:iCs w:val="1"/>
          <w:color w:val="231F20"/>
        </w:rPr>
        <w:t xml:space="preserve"> </w:t>
      </w:r>
      <w:r>
        <w:rPr>
          <w:rFonts w:ascii="Arial" w:cs="Arial" w:eastAsia="Arial" w:hAnsi="Arial"/>
          <w:sz w:val="19"/>
          <w:szCs w:val="19"/>
          <w:color w:val="231F20"/>
        </w:rPr>
        <w:t>their more senior colleagues who provide guidance and career advice. The sponsorship program pairs promising mid-level employees, including female and diverse professionals, with one of the firm’s partners as well as an executive coach and is intended to support participants in advancing their professional development and leadership skills.</w:t>
      </w:r>
    </w:p>
    <w:p>
      <w:pPr>
        <w:spacing w:after="0" w:line="176" w:lineRule="exact"/>
        <w:rPr>
          <w:rFonts w:ascii="Arial" w:cs="Arial" w:eastAsia="Arial" w:hAnsi="Arial"/>
          <w:sz w:val="19"/>
          <w:szCs w:val="19"/>
          <w:color w:val="231F20"/>
        </w:rPr>
      </w:pPr>
    </w:p>
    <w:p>
      <w:pPr>
        <w:ind w:left="660" w:hanging="328"/>
        <w:spacing w:after="0" w:line="250" w:lineRule="auto"/>
        <w:tabs>
          <w:tab w:leader="none" w:pos="648" w:val="left"/>
        </w:tabs>
        <w:numPr>
          <w:ilvl w:val="0"/>
          <w:numId w:val="28"/>
        </w:numPr>
        <w:rPr>
          <w:rFonts w:ascii="Arial" w:cs="Arial" w:eastAsia="Arial" w:hAnsi="Arial"/>
          <w:sz w:val="20"/>
          <w:szCs w:val="20"/>
          <w:color w:val="231F20"/>
        </w:rPr>
      </w:pPr>
      <w:r>
        <w:rPr>
          <w:rFonts w:ascii="Arial" w:cs="Arial" w:eastAsia="Arial" w:hAnsi="Arial"/>
          <w:sz w:val="20"/>
          <w:szCs w:val="20"/>
          <w:i w:val="1"/>
          <w:iCs w:val="1"/>
          <w:color w:val="231F20"/>
        </w:rPr>
        <w:t xml:space="preserve">Partnerships and Outreach </w:t>
      </w:r>
      <w:r>
        <w:rPr>
          <w:rFonts w:ascii="Arial" w:cs="Arial" w:eastAsia="Arial" w:hAnsi="Arial"/>
          <w:sz w:val="20"/>
          <w:szCs w:val="20"/>
          <w:color w:val="231F20"/>
        </w:rPr>
        <w:t>– In addition to promoting diversity and inclusion through our own events, such as hosting events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encouraging undergraduate female students to pursue careers in finance, we sponsor and partner with several organizations dedicated to making financial services more diverse and inclusive.</w:t>
      </w:r>
    </w:p>
    <w:p>
      <w:pPr>
        <w:spacing w:after="0" w:line="185" w:lineRule="exact"/>
        <w:rPr>
          <w:rFonts w:ascii="Arial" w:cs="Arial" w:eastAsia="Arial" w:hAnsi="Arial"/>
          <w:sz w:val="20"/>
          <w:szCs w:val="20"/>
          <w:color w:val="231F20"/>
        </w:rPr>
      </w:pPr>
    </w:p>
    <w:p>
      <w:pPr>
        <w:ind w:left="660" w:right="60" w:hanging="328"/>
        <w:spacing w:after="0" w:line="250" w:lineRule="auto"/>
        <w:tabs>
          <w:tab w:leader="none" w:pos="648" w:val="left"/>
        </w:tabs>
        <w:numPr>
          <w:ilvl w:val="0"/>
          <w:numId w:val="28"/>
        </w:numPr>
        <w:rPr>
          <w:rFonts w:ascii="Arial" w:cs="Arial" w:eastAsia="Arial" w:hAnsi="Arial"/>
          <w:sz w:val="20"/>
          <w:szCs w:val="20"/>
          <w:color w:val="231F20"/>
        </w:rPr>
      </w:pPr>
      <w:r>
        <w:rPr>
          <w:rFonts w:ascii="Arial" w:cs="Arial" w:eastAsia="Arial" w:hAnsi="Arial"/>
          <w:sz w:val="20"/>
          <w:szCs w:val="20"/>
          <w:i w:val="1"/>
          <w:iCs w:val="1"/>
          <w:color w:val="231F20"/>
        </w:rPr>
        <w:t xml:space="preserve">Expanded Benefits </w:t>
      </w:r>
      <w:r>
        <w:rPr>
          <w:rFonts w:ascii="Arial" w:cs="Arial" w:eastAsia="Arial" w:hAnsi="Arial"/>
          <w:sz w:val="20"/>
          <w:szCs w:val="20"/>
          <w:color w:val="231F20"/>
        </w:rPr>
        <w:t>– We provide benefits such as paid parental leave, parental leave coaching for managers and employees, paying</w:t>
      </w:r>
      <w:r>
        <w:rPr>
          <w:rFonts w:ascii="Arial" w:cs="Arial" w:eastAsia="Arial" w:hAnsi="Arial"/>
          <w:sz w:val="20"/>
          <w:szCs w:val="20"/>
          <w:i w:val="1"/>
          <w:iCs w:val="1"/>
          <w:color w:val="231F20"/>
        </w:rPr>
        <w:t xml:space="preserve"> </w:t>
      </w:r>
      <w:r>
        <w:rPr>
          <w:rFonts w:ascii="Arial" w:cs="Arial" w:eastAsia="Arial" w:hAnsi="Arial"/>
          <w:sz w:val="20"/>
          <w:szCs w:val="20"/>
          <w:color w:val="231F20"/>
        </w:rPr>
        <w:t>for travel for newborns and caretakers when the employee has business required travel, paid shipping of breast milk, wellness rooms for new parents at our offices and paid volunteer time off.</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Available Information</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Our Internet address is www.stepstonegroup.com. Our Annual Reports on Form 10-K, Quarterly Reports on Form 10-Q, Current Reports on Form 8-K and amendments to those reports filed or furnished pursuant to Section 13(a) or 15(d) of the Exchange Act, are available free of charge as soon as possible after we electronically file them with, or furnish them to, the SEC. You can access our filings with the SEC by visiting www.sec.gov or our website https://shareholders.stepstonegroup.com/shareholder-relations. The information on our website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i w:val="1"/>
          <w:iCs w:val="1"/>
          <w:color w:val="auto"/>
        </w:rPr>
        <w:t>You should carefully consider the following discussion of significant factors, events and uncertainties, together with the other information contained in this Form 10-K. The events and consequences discussed in these risk factors could, in circumstances we may not be able to accurately predict, recognize or control, have a material adverse effect on our business, growth, reputation, prospects, financial condition, results of operations, cash flows, liquidity and stock price.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Risks Related to Our 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on the identification and availability of suitable investment opportunities for our clients.</w:t>
      </w:r>
    </w:p>
    <w:p>
      <w:pPr>
        <w:spacing w:after="0" w:line="239"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Our success largely depends on the identification and availability of suitable investment opportunities for our clients, and in particular the success of investments made by the StepStone Funds and advisory accounts. The availability of investment opportunities will be subject to market conditions and other factors outside of our control and the control of the fund managers with which we invest. Markets so far in 2022 have experienced meaningful headwinds, including falling equity values and increasing borrowing costs. The historical investment returns of the StepStone Funds and advisory accounts have benefited from investment opportunities and general market conditions, including favorable borrowing conditions in the debt markets, and we cannot assure you that the StepStone Funds, advisory accounts or the underlying funds in which we invest will be able to avail themselves of comparable opportunities and conditions, particularly in light of recent market conditions. Further, we cannot assure you that the private markets funds we select will be able to identify sufficient attractive investment opportunities to meet their investment objectives.</w:t>
      </w:r>
    </w:p>
    <w:p>
      <w:pPr>
        <w:spacing w:after="0" w:line="170" w:lineRule="exact"/>
        <w:rPr>
          <w:sz w:val="20"/>
          <w:szCs w:val="20"/>
          <w:color w:val="auto"/>
        </w:rPr>
      </w:pPr>
    </w:p>
    <w:p>
      <w:pPr>
        <w:ind w:right="380"/>
        <w:spacing w:after="0" w:line="385" w:lineRule="auto"/>
        <w:rPr>
          <w:sz w:val="20"/>
          <w:szCs w:val="20"/>
          <w:color w:val="auto"/>
        </w:rPr>
      </w:pPr>
      <w:r>
        <w:rPr>
          <w:rFonts w:ascii="Arial" w:cs="Arial" w:eastAsia="Arial" w:hAnsi="Arial"/>
          <w:sz w:val="16"/>
          <w:szCs w:val="16"/>
          <w:b w:val="1"/>
          <w:bCs w:val="1"/>
          <w:i w:val="1"/>
          <w:iCs w:val="1"/>
          <w:color w:val="auto"/>
        </w:rPr>
        <w:t>If the investments we make on behalf of the StepStone Funds or recommend to clients perform poorly, we may suffer a decline in our revenues and earnings, and our ability to raise capital for future StepStone Funds may be materially and adversely affected.</w:t>
      </w:r>
    </w:p>
    <w:p>
      <w:pPr>
        <w:spacing w:after="0" w:line="85"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Our revenue from our investment management solutions is derived from fees earned for our management of the StepStone Funds and advisory accounts, performance fees, including incentive fees and carried interest with respect to certain of the StepStone Funds, administrative services, and monitoring and reporting fees. In the event that the StepStone Funds or individual investments perform poorly, our revenues and earnings derived from performance fees will decline and make it more difficult for us to raise capital for new focused commingled funds or gain new SMA clients in the future. If we are unable to raise or are required to repay capital, our business, financial condition and results of operations would be materially and adversely affected.</w:t>
      </w:r>
    </w:p>
    <w:p>
      <w:pPr>
        <w:spacing w:after="0" w:line="17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b w:val="1"/>
          <w:bCs w:val="1"/>
          <w:i w:val="1"/>
          <w:iCs w:val="1"/>
          <w:color w:val="auto"/>
        </w:rPr>
        <w:t>Continued positive performance of investments we make on behalf of clients or we recommend to our clients is not assured and may not result in positive performance of an investment in our Class A common stock.</w:t>
      </w:r>
    </w:p>
    <w:p>
      <w:pPr>
        <w:spacing w:after="0" w:line="177" w:lineRule="exact"/>
        <w:rPr>
          <w:sz w:val="20"/>
          <w:szCs w:val="20"/>
          <w:color w:val="auto"/>
        </w:rPr>
      </w:pPr>
    </w:p>
    <w:p>
      <w:pPr>
        <w:ind w:right="220" w:firstLine="648"/>
        <w:spacing w:after="0" w:line="278" w:lineRule="auto"/>
        <w:rPr>
          <w:sz w:val="20"/>
          <w:szCs w:val="20"/>
          <w:color w:val="auto"/>
        </w:rPr>
      </w:pPr>
      <w:r>
        <w:rPr>
          <w:rFonts w:ascii="Arial" w:cs="Arial" w:eastAsia="Arial" w:hAnsi="Arial"/>
          <w:sz w:val="18"/>
          <w:szCs w:val="18"/>
          <w:color w:val="auto"/>
        </w:rPr>
        <w:t>An investment in our Class A common stock is not an investment in any of the StepStone Funds. In addition, the historical and potential future investment returns of the StepStone Funds are not linked to returns on our Class A common stock. Positive performance of the StepStone Funds or the investments that we recommend to our advisory clients will not necessarily result in positive returns on an investment in our Class A common stock. However, poor investment performance of the StepStone Funds could cause a decline in our revenue and have a negative effect on our performance or on an investment in our Class A common stock.</w:t>
      </w:r>
    </w:p>
    <w:p>
      <w:pPr>
        <w:spacing w:after="0" w:line="165"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The historical investment performance of our funds should not be considered indicative of the future investment performance of these funds or of any future funds we may invest, in part because:</w:t>
      </w:r>
    </w:p>
    <w:p>
      <w:pPr>
        <w:spacing w:after="0" w:line="177"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be significantly less favorable than in the past;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8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newly established funds may generate lower investment returns during the period that they initially deploy their capital;</w:t>
      </w:r>
    </w:p>
    <w:p>
      <w:pPr>
        <w:spacing w:after="0" w:line="227" w:lineRule="exact"/>
        <w:rPr>
          <w:rFonts w:ascii="Arial" w:cs="Arial" w:eastAsia="Arial" w:hAnsi="Arial"/>
          <w:sz w:val="19"/>
          <w:szCs w:val="19"/>
          <w:color w:val="auto"/>
        </w:rPr>
      </w:pPr>
    </w:p>
    <w:p>
      <w:pPr>
        <w:ind w:left="660" w:hanging="328"/>
        <w:spacing w:after="0" w:line="269" w:lineRule="auto"/>
        <w:tabs>
          <w:tab w:leader="none" w:pos="6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changes in the global tax and regulatory environment may affect both the investment preferences of our clients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169" w:lineRule="exact"/>
        <w:rPr>
          <w:rFonts w:ascii="Arial" w:cs="Arial" w:eastAsia="Arial" w:hAnsi="Arial"/>
          <w:sz w:val="19"/>
          <w:szCs w:val="19"/>
          <w:color w:val="auto"/>
        </w:rPr>
      </w:pPr>
    </w:p>
    <w:p>
      <w:pPr>
        <w:ind w:left="660" w:right="200" w:hanging="328"/>
        <w:spacing w:after="0" w:line="385" w:lineRule="auto"/>
        <w:tabs>
          <w:tab w:leader="none" w:pos="6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competition for investment opportunities, resulting from the increasing amount of capital invested in private markets alternatives, may increase the cost and reduce the availability of suitable investments, thereby reducing our investment returns in the future; and</w:t>
      </w:r>
    </w:p>
    <w:p>
      <w:pPr>
        <w:spacing w:after="0" w:line="84"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 for access to investment funds and other investments we make for our clients is intense.</w:t>
      </w:r>
    </w:p>
    <w:p>
      <w:pPr>
        <w:spacing w:after="0" w:line="216"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We seek to maintain excellent relationships with fund managers, including those in which we have previously made investments for our clients and those in which we may in the future invest, as well as sponsors of investments that might provide co-investment opportunities in portfolio companies alongside the sponsoring fund manager. However, because of the number of clients seeking to gain access to investment funds and co-investment opportunities managed or sponsored by the top performing fund managers, we cannot assure you that we will be able to secure the opportunity to invest on behalf of our clients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fund managers and intermediaries.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i w:val="1"/>
          <w:iCs w:val="1"/>
          <w:color w:val="auto"/>
        </w:rPr>
        <w:t>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91"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The governing agreements of many of the StepStone Funds provide that, subject to certain conditions, third-party clients in those funds have the right to remove us as the general partner of the relevant fund or terminate the fund, including in certain cases without cause by a simple majority vote. Any such removal or dissolution could result in a cessation in management fees we would earn from such funds or a significant reduction in the expected amounts of performance fees from those funds. We currently manage a portion of client assets through SMAs whereby we earn management fees and performance fees, and we intend to continue to seek additional SMA mandates. Clients with SMAs generally may terminate their investment management agreement with us without cause on 30 to 90 days’ notice, and in some cases, shorter notice. From time to time, we lose clients as a result of the sale or merger of a client, a change in a client’s senior management, competition from other financial institutions and other factors. Moreover, a number of our contracts with state government-sponsored clients are secured through such government’s request for proposal (“RFP”) process and are subject to periodic renewal. If multiple clients were to exercise their termination rights or fail to renew their existing contracts and we were unable to secure new clients, our SMA and advisory account fees would decline materially. In the case of any such terminations, the management fees and performance fees we earn in connection with managing such account would immediately cease, which could result in a significant adverse effect on our revenues. If we experience a change of control (as defined under the Investment Advisers Act of 1940, as amended (the “Investment Advisers Act”) or as otherwise set forth in the partnership agreements of our funds), continuation of the investment management agreements of our funds would be subject to client consent. We cannot assure you that required consents will be obtained if a change of control occurs.</w:t>
      </w:r>
    </w:p>
    <w:p>
      <w:pPr>
        <w:spacing w:after="0" w:line="179"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In addition, with respect to our funds that are subject to the Investment Company Act of 1940, as amended (the “Investment Company Act”), each fund’s investment management agreement must be approved annually by (a) such fund’s board of directors or by a vote of the majority of such fund’s equity holders and (b) the independent members of such fund’s board of directors and, in certain cases, its equity holders, as required by law. Termination of these agreements would cause us to lose the management fees and performance fees we earn from such funds, which could have a material adverse effect on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retain our senior leadership team and attract additional qualified professionals is critical to our success.</w:t>
      </w:r>
    </w:p>
    <w:p>
      <w:pPr>
        <w:spacing w:after="0" w:line="2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color w:val="auto"/>
        </w:rPr>
        <w:t>Our success depends on our ability to retain our senior leadership team and to recruit and retain additional qualified investment, sales and other professionals. However, we may not be successful in our efforts, as the market for investment and other professionals is extremely competitive, which competition has been exacerbated by the increase in voluntary employee turnover throughout the U.S., commonly referred to as the “great resignation.” As such, we cannot be sure we will be able to find suitable successors promptly, or at all, or to successfully integrate any successors, or that we will be able to attract, retain, and develop a sufficient number of qualified individuals in future periods. Furthermore, the individuals that comprise our senior leadership team possess substantial experience and expertise and, in many cases, have significant relationships with certain of our clients. Accordingly, the loss of any member of our senior leadership team could adversely affect certain client relationships or limit our ability to successfully execute our investment strategies. In addition, the governing agreements of the StepStone Funds typically require the suspension of our ability to call additional investment capital if, depending on the fund, designated members of our senior leadership team cease to devote sufficient professional time to or cease to be employed by the Partnership, often called a “key person event,” or in connection with certain other events. Each of these factors could, in turn,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failure to appropriately manage conflicts of interest could damage our reputation and adversely affect our business.</w:t>
      </w:r>
    </w:p>
    <w:p>
      <w:pPr>
        <w:spacing w:after="0" w:line="227"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As we expand the scope of our business, we increasingly confront potential conflicts of interest relating to our advisory and investment management businesses. Actual, potential or perceived conflicts can give rise to client dissatisfaction, litigation or regulatory enforcement actions. As a registered investment adviser, the Partnership owes its clients a fiduciary duty and is required to provide disinterested advice. Appropriately managing conflicts of interest is complex and difficult and our reputation could be damaged if we fail, or appear to fail, to deal appropriately with one or more potential or actual conflicts of interest. Enforcement action or litigation asserting improper management of conflicts of interest, even if unproven, could harm our reputation and our business in a number of ways, including by affecting our ability to raise additional funds or causing existing clients to reduce or terminate their business with us.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obligations to clients and other third parties that may conflict with stockholders’ interests.</w:t>
      </w:r>
    </w:p>
    <w:p>
      <w:pPr>
        <w:spacing w:after="0" w:line="216"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Our subsidiaries that serve as the general partners of, or advisers to, the StepStone Funds have fiduciary and contractual obligations to the clients in those funds and accounts, and some of our subsidiaries may have contractual duties to other third parties. As a result, we may take actions with respect to the allocation of investments among the StepStone Funds (including funds and accounts that have different fee structures), the purchase or sale of investments in the StepStone Funds, the structuring of investment transactions for those StepStone Funds, the advice we provide or other actions in order to comply with these fiduciary and contractual obligations.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In addition, because our senior management and other professionals generally hold their economic interests through pass-through entities like the Partnership or other affiliated entities, which are not subject to U.S. federal and state entity-level income taxes, and our Class A common stockholders will hold their interests through StepStone Group Inc., which is subject to entity-level taxation as a corporation in the United States, conflicts relating to the selection and structuring of investments or other matters may arise between the Class B unitholders (who are also Class B stockholders of StepStone Group Inc.) and Class C unitholders of the Partnership, on the one hand, and the Class A stockholders of StepStone Group Inc., on the other hand.</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Dependence on leverage by certain funds and portfolio companies subjects us to volatility and contractions in the debt financing markets, including as a result of rising interest rates, and could adversely affect the ability of the StepStone Funds to achieve attractive rates of return on those investments.</w:t>
      </w:r>
    </w:p>
    <w:p>
      <w:pPr>
        <w:spacing w:after="0" w:line="186"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If the StepStone Funds or the companies in which the StepStone Funds invest raise capital in the structured private debt, leveraged loan and high yield bond markets, the results of their operations may suffer if such markets experience dislocations, contractions or volatility, for instance due to high inflation, recent and prospective rises in interest rates or future or worsening impacts from the COVID-19 pandemic. In addition, although we expect that the capital and debt markets will cease to use the London Interbank Offered Rate (“LIBOR”) as a benchmark in the near future and the administrator of LIBOR has announced its intention to extend the publication of most tenors of LIBOR for U.S. dollars through June 30, 2023. Any such events could adversely affect the availability of credit to businesses generally, the cost or terms on which lenders are willing to lend, or the strength of the overall economy.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firstLine="648"/>
        <w:spacing w:after="0" w:line="313" w:lineRule="auto"/>
        <w:rPr>
          <w:sz w:val="20"/>
          <w:szCs w:val="20"/>
          <w:color w:val="auto"/>
        </w:rPr>
      </w:pPr>
      <w:r>
        <w:rPr>
          <w:rFonts w:ascii="Arial" w:cs="Arial" w:eastAsia="Arial" w:hAnsi="Arial"/>
          <w:sz w:val="16"/>
          <w:szCs w:val="16"/>
          <w:color w:val="auto"/>
        </w:rPr>
        <w:t>The absence of available sources of sufficient debt financing for extended periods of time or increases in either interest rates or the risk spread demanded by sources of indebtedness would make it more expensive to finance those investments. Certain investments may also be financed through fund-level debt facilities, which may or may not be available for refinancing at the end of their respective terms. Finally, the interest payments on the indebtedness used to finance our focused commingled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adversely affect our business, results of operations and financial condition.</w:t>
      </w:r>
    </w:p>
    <w:p>
      <w:pPr>
        <w:spacing w:after="0" w:line="143"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Similarly, private markets fund portfolio companies regularly utilize the corporate debt markets to obtain additional financing for their operations. Leverage incurred by a portfolio company may cause the portfolio company to be vulnerable to increases in interest rates and may make it less able to cope with changes in business and economic conditions. Any adverse effect caused by the use of leverage by portfolio companies in which we directly or indirectly invest could in turn adversely affect the investment returns of the StepStone Funds and advisory accounts. If the investment returns achieved by the StepStone Funds are reduced, it could result in negative reputational effects, which could materially and adversely affect our business, financial condition and results of operations.</w:t>
      </w:r>
    </w:p>
    <w:p>
      <w:pPr>
        <w:spacing w:after="0" w:line="16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b w:val="1"/>
          <w:bCs w:val="1"/>
          <w:i w:val="1"/>
          <w:iCs w:val="1"/>
          <w:color w:val="auto"/>
        </w:rPr>
        <w:t>Clients in the StepStone Funds with commitment-based structures may not satisfy their contractual obligation to fund capital calls when requested, which could adversely affect a fund’s operations and performance.</w:t>
      </w:r>
    </w:p>
    <w:p>
      <w:pPr>
        <w:spacing w:after="0" w:line="17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Clients make capital commitments to the StepStone Funds, which we are entitled to call at any time during prescribed periods that can extend for several years into the future. We depend on clients fulfilling their commitments when we call capital from them in order for those funds to consummate investments and otherwise pay their obligations when due. Any client that did not fund a capital call may be subject to penalties, potentially including forfeiting a significant amount of its existing investment in that fund. However, if a client has invested little or no capital, for instance early in the life of a fund, then the forfeiture penalty may not be a significant deterrent to default. Failure to fund capital calls may occur more frequently as a result of recent economic contractions, decreases in equity values and increases in interest rates or in the event of a continued economic slowdown. In addition, changes to asset allocation policies or new laws or regulations resulting from declines in public equity markets may restrict or prohibit investors from investing in new or successor StepStone Funds or funding existing commitments. If clients fail to satisfy a significant amount of capital calls for any particular fund or funds, the operation and performance of those funds could be materially and adversely affected.</w:t>
      </w:r>
    </w:p>
    <w:p>
      <w:pPr>
        <w:spacing w:after="0" w:line="174"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b w:val="1"/>
          <w:bCs w:val="1"/>
          <w:i w:val="1"/>
          <w:iCs w:val="1"/>
          <w:color w:val="auto"/>
        </w:rPr>
        <w:t>Our failure to comply with investment guidelines set by our clients could result in damage awards against us or a reduction in AUM, either of which would cause our earnings to decline and adversely affect our business.</w:t>
      </w:r>
    </w:p>
    <w:p>
      <w:pPr>
        <w:spacing w:after="0" w:line="17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When clients retain us to manage assets on their behalf, they specify certain guidelines regarding investment allocation and strategy that we are required to observe in the management of their portfolios. Our failure to comply with these guidelines and other limitations could result in clients terminating their investment management agreement with us, as these agreements generally are terminable without cause on 30 to 90 days’ notice. Clients could also sue us for breach of contract and seek to recover damages from us. In addition, such guidelines may restrict our ability to pursue allocations or strategies that we believe would generate favorable investment returns, which could result in underperformance of, or losses to, a client account. Even when we comply with all applicable investment guidelines, a client may be dissatisfied with its investment performance or our services or fees, and may terminate their SMAs or advisory accounts or be unwilling to commit new capital to the StepStone Funds or advisory accounts. Any of these events could cause a reduction to AUM and consequently cause our earnings to decline and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b w:val="1"/>
          <w:bCs w:val="1"/>
          <w:i w:val="1"/>
          <w:iCs w:val="1"/>
          <w:color w:val="auto"/>
        </w:rPr>
        <w:t>Valuation methodologies for certain assets in the StepStone Funds are subjective, and the values of assets established pursuant to such methodologies may never be realized, which could result in significant losses for the StepStone Funds.</w:t>
      </w:r>
    </w:p>
    <w:p>
      <w:pPr>
        <w:spacing w:after="0" w:line="15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There are no readily ascertainable market prices for a large number of the investments in the StepStone Funds, advisory accounts or the funds in which we invest. The value of the investments of the StepStone Funds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illiquid investments held by the StepStone Funds, advisory accounts and the funds in which we invest may be in industries or sectors that are unstable, in distress, or undergoing some uncertainty, such investments may experience rapid changes in value caused by sudden company-specific or industry-wide developments.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color w:val="auto"/>
        </w:rPr>
        <w:t>Because there is significant uncertainty in the valuation of, or in the stability of the value of, illiquid investments, the fair values of such investments as reflected in a fund’s NAV do not necessarily reflect the prices that would actually be obtained if such investments were sold. Realizations at values significantly lower than the values at which investments have been reflected in fund NAVs could result in losses for the applicable fund and the loss of potential performance fees by the fund’s manager and us. Also, a situation in which asset values turn out to be materially different from values reflected in fund NAVs could cause clients to lose confidence in us and may, in turn, result in difficulties in our ability to raise additional capital, retain clients or attract new clients.</w:t>
      </w:r>
    </w:p>
    <w:p>
      <w:pPr>
        <w:spacing w:after="0" w:line="178"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b w:val="1"/>
          <w:bCs w:val="1"/>
          <w:i w:val="1"/>
          <w:iCs w:val="1"/>
          <w:color w:val="auto"/>
        </w:rPr>
        <w:t>We may not be able to maintain our desired fee structure as a result of industry pressure from private markets clients to reduce fees, which could have a material adverse effect on our profit margins and results of operations.</w:t>
      </w:r>
    </w:p>
    <w:p>
      <w:pPr>
        <w:spacing w:after="0" w:line="152"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color w:val="auto"/>
        </w:rPr>
        <w:t>We may not be able to maintain our current fee structure for our funds as a result of industry pressure from private markets clients to reduce fees. In order to maintain our desired fee structure in a competitive environment, we must be able to continue to provide clients with investment returns and service levels that incentivize our clients to pay our desired fee rates. We cannot assure you that we will succeed in providing investment returns and service levels that will allow us to maintain our desired fee structure. Fee reductions on existing or future new business could have a material adverse effect on our profit margins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We may need to pay “clawback” or “contingent repayment” obligations if and when they are triggered under the governing agreements of our funds.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Generally, if at the termination of a fund and in certain cases at interim points in the life of a fund, the fund has not achieved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investment returns that exceed the preferred return threshold or we have received net profits over the life of the fund in excess of our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allocable share under the applicable partnership agreement, we will be obligated to repay an amount equal to the excess of amounts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previously distributed to us over the amounts to which we are ultimately entitled. This obligation is known as a “clawback” or contingent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repayment obligation. Our carried interest is generally determined at the end of the period on a hypothetical liquidation basis. As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March 31, 2022, if the funds were liquidated at their fair values, no material amounts would have been subject to contingent repayment. 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cannot assure you that we will not incur a contingent repayment obligation in the future. Although a contingent repayment obligation is split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among the various obligors, with each responsible for only its respective share, the governing agreements of the StepStone Funds generally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 that, to the extent another party who received a distribution does not fund its respective share, we are required to fund any additional</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amount beyond the amount of carried interest actually allocated to us, up to the entire amount of the relevant contingent repayment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obligation. We may need to use or reserve cash to repay such contingent repayment obligations instead of using the cash for other purposes.</w:t>
      </w:r>
    </w:p>
    <w:p>
      <w:pPr>
        <w:spacing w:after="0" w:line="22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b w:val="1"/>
          <w:bCs w:val="1"/>
          <w:i w:val="1"/>
          <w:iCs w:val="1"/>
          <w:color w:val="auto"/>
        </w:rPr>
        <w:t>Our investment management activities may involve investments in relatively high-risk, illiquid assets, and we may lose, or our clients may lose, some or all of the amounts invested in these activities or fail to realize any profits from these activities for a considerable period of time.</w:t>
      </w:r>
    </w:p>
    <w:p>
      <w:pPr>
        <w:spacing w:after="0" w:line="186"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The investments made by the StepStone Funds and recommended by our advisory services include high-risk, illiquid assets. We have made and expect to continue to make principal investments alongside our clients, as the general partner, in existing and future StepStone Funds. The StepStone Funds invest capital in private markets funds that make investments in equity or debt securities that are not publicly traded. Even where such securities are publicly traded, many of these funds may be prohibited by contract or applicable securities laws from selling such investments for a period of time. Accordingly, the private markets funds in which we and our clients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Furthermore, large holdings of publicly traded equity securities can often be disposed of only over a substantial period of time, exposing the investment returns to risks of downward movement in market prices during the disposition period. Investing in private markets funds is risky, and we may lose some or the entire amount of our investment or the investment made by the StepStone Funds. Poor investment performance could lead clients to terminate their agreements with us and/or result in negative reputational effects, either of which could materially and adversely affect our business, financial condition and results of operations.</w:t>
      </w:r>
    </w:p>
    <w:p>
      <w:pPr>
        <w:spacing w:after="0" w:line="182"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In addition, we may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of our investment and suffer reputational harm. See “—</w:t>
      </w:r>
      <w:r>
        <w:rPr>
          <w:rFonts w:ascii="Arial" w:cs="Arial" w:eastAsia="Arial" w:hAnsi="Arial"/>
          <w:sz w:val="20"/>
          <w:szCs w:val="20"/>
          <w:i w:val="1"/>
          <w:iCs w:val="1"/>
          <w:color w:val="auto"/>
        </w:rPr>
        <w:t>Dependence on leverage by certain funds and portfolio companies subjects us to volatility and contractions in the</w:t>
      </w:r>
      <w:r>
        <w:rPr>
          <w:rFonts w:ascii="Arial" w:cs="Arial" w:eastAsia="Arial" w:hAnsi="Arial"/>
          <w:sz w:val="20"/>
          <w:szCs w:val="20"/>
          <w:color w:val="auto"/>
        </w:rPr>
        <w:t xml:space="preserve"> </w:t>
      </w:r>
      <w:r>
        <w:rPr>
          <w:rFonts w:ascii="Arial" w:cs="Arial" w:eastAsia="Arial" w:hAnsi="Arial"/>
          <w:sz w:val="20"/>
          <w:szCs w:val="20"/>
          <w:i w:val="1"/>
          <w:iCs w:val="1"/>
          <w:color w:val="auto"/>
        </w:rPr>
        <w:t>debt financing markets and could adversely affect the ability of the StepStone Funds to achieve attractive rates of return on those investments.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results of operations,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190" w:lineRule="exact"/>
        <w:rPr>
          <w:sz w:val="20"/>
          <w:szCs w:val="20"/>
          <w:color w:val="auto"/>
        </w:rPr>
      </w:pPr>
    </w:p>
    <w:p>
      <w:pPr>
        <w:ind w:right="180" w:firstLine="648"/>
        <w:spacing w:after="0" w:line="243" w:lineRule="auto"/>
        <w:rPr>
          <w:sz w:val="20"/>
          <w:szCs w:val="20"/>
          <w:color w:val="auto"/>
        </w:rPr>
      </w:pPr>
      <w:r>
        <w:rPr>
          <w:rFonts w:ascii="Arial" w:cs="Arial" w:eastAsia="Arial" w:hAnsi="Arial"/>
          <w:sz w:val="20"/>
          <w:szCs w:val="20"/>
          <w:color w:val="auto"/>
        </w:rPr>
        <w:t>In addition, during periods of difficult market conditions, including volatility as a result of economic or political events in or affecting the world’s major economies,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the StepStone Funds invest, which consequently would materially and adversely affect investment returns for the StepStone Funds.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StepStone Funds may face risks relating to undiversified investments.</w:t>
      </w:r>
    </w:p>
    <w:p>
      <w:pPr>
        <w:spacing w:after="0" w:line="216"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We cannot give assurance as to the degree of diversification that will be achieved in any of the StepStone Funds. Difficult market conditions or slowdowns affecting a particular asset class, geographic region or other category of investment could have a significant adverse effect on a given StepStone Fund if its investments are concentrated in that category, which would result in lower investment returns. Accordingly, a lack of diversification on the part of a StepStone Fund could adversely affect its investment performance and, as a result,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StepStone Funds make investments in funds and companies that we do not control.</w:t>
      </w:r>
    </w:p>
    <w:p>
      <w:pPr>
        <w:spacing w:after="0" w:line="216" w:lineRule="exact"/>
        <w:rPr>
          <w:sz w:val="20"/>
          <w:szCs w:val="20"/>
          <w:color w:val="auto"/>
        </w:rPr>
      </w:pPr>
    </w:p>
    <w:p>
      <w:pPr>
        <w:jc w:val="both"/>
        <w:ind w:right="120" w:firstLine="648"/>
        <w:spacing w:after="0" w:line="306" w:lineRule="auto"/>
        <w:rPr>
          <w:sz w:val="20"/>
          <w:szCs w:val="20"/>
          <w:color w:val="auto"/>
        </w:rPr>
      </w:pPr>
      <w:r>
        <w:rPr>
          <w:rFonts w:ascii="Arial" w:cs="Arial" w:eastAsia="Arial" w:hAnsi="Arial"/>
          <w:sz w:val="16"/>
          <w:szCs w:val="16"/>
          <w:color w:val="auto"/>
        </w:rPr>
        <w:t>Investments by most of the StepStone Funds will include debt instruments and equity securities of funds and companies that we do not control. The StepStone Funds may invest through co-investment arrangements or acquire minority equity interests and may also dispose of a portion of their equity investments in portfolio companies over time in a manner that results in their retaining a minority investment.</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Consequently, the performance of the StepStone Funds will depend significantly on the investment and other decisions made by third parties, which could have a material adverse effect on the returns achieved by the StepStone Funds.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the investments we have made on behalf of clients or we recommend to our clients could decrease and our financial condition, results of operations and cash flow could suffer as a result.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risk management strategies and procedures may leave us exposed to unidentified or unanticipated risks.</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Risk management applies to our investment management operations as well as to the investments we make for the StepStone Funds.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clients’ investments are based upon our analysis of historical private markets behavior. Statistical techniques are applied to these observations in order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insufficient. Failure of our risk management techniques could materially and adversely affect our business, financial condition and results of operations, including our right to receive performance fees.</w:t>
      </w:r>
    </w:p>
    <w:p>
      <w:pPr>
        <w:spacing w:after="0" w:line="187"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b w:val="1"/>
          <w:bCs w:val="1"/>
          <w:i w:val="1"/>
          <w:iCs w:val="1"/>
          <w:color w:val="auto"/>
        </w:rPr>
        <w:t>The due diligence process that we undertake in connection with investments may not reveal all facts that may be relevant in connection with an investment.</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Before making or recommending investments for our clients,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guarantee the success of an investment.</w:t>
      </w:r>
    </w:p>
    <w:p>
      <w:pPr>
        <w:spacing w:after="0" w:line="168" w:lineRule="exact"/>
        <w:rPr>
          <w:sz w:val="20"/>
          <w:szCs w:val="20"/>
          <w:color w:val="auto"/>
        </w:rPr>
      </w:pPr>
    </w:p>
    <w:p>
      <w:pPr>
        <w:ind w:right="280" w:firstLine="648"/>
        <w:spacing w:after="0" w:line="260" w:lineRule="auto"/>
        <w:rPr>
          <w:sz w:val="20"/>
          <w:szCs w:val="20"/>
          <w:color w:val="auto"/>
        </w:rPr>
      </w:pPr>
      <w:r>
        <w:rPr>
          <w:rFonts w:ascii="Arial" w:cs="Arial" w:eastAsia="Arial" w:hAnsi="Arial"/>
          <w:sz w:val="19"/>
          <w:szCs w:val="19"/>
          <w:color w:val="auto"/>
        </w:rPr>
        <w:t>In addition, generally our underlying investments are managed by third-party sponsors and, as a result, we depend on the due diligence investigation of such third-party sponsors. We have little or no control over their due diligence process, and any shortcomings in their due diligence could be reflected in the performance of the investment we make with them on behalf of our clients. Poor investment performance could lead clients to terminate their agreements with us or result in negative reputational effects, either of which could materially and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our ability to collect and analyze data regarding our clients’ investments could adversely affect our business.</w:t>
      </w:r>
    </w:p>
    <w:p>
      <w:pPr>
        <w:spacing w:after="0" w:line="239" w:lineRule="exact"/>
        <w:rPr>
          <w:sz w:val="20"/>
          <w:szCs w:val="20"/>
          <w:color w:val="auto"/>
        </w:rPr>
      </w:pPr>
    </w:p>
    <w:p>
      <w:pPr>
        <w:ind w:right="240" w:firstLine="648"/>
        <w:spacing w:after="0" w:line="243" w:lineRule="auto"/>
        <w:rPr>
          <w:sz w:val="20"/>
          <w:szCs w:val="20"/>
          <w:color w:val="auto"/>
        </w:rPr>
      </w:pPr>
      <w:r>
        <w:rPr>
          <w:rFonts w:ascii="Arial" w:cs="Arial" w:eastAsia="Arial" w:hAnsi="Arial"/>
          <w:sz w:val="20"/>
          <w:szCs w:val="20"/>
          <w:color w:val="auto"/>
        </w:rPr>
        <w:t>We rely on our proprietary data and technology platforms to provide regular reports to our clients, to research developments and trends in private markets and to support our investment processes. We depend on the continuation of our relationships with the fund managers and sponsors of the underlying funds and investments in order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auto"/>
        </w:rPr>
        <w:t>We and our clients depend on the reliability of our proprietary data and technology platforms and other data processing systems. Failures or interruptions of these services may disrupt our business, damage our reputation, limit our growth and adversely affect our business and results of operations.</w:t>
      </w:r>
    </w:p>
    <w:p>
      <w:pPr>
        <w:spacing w:after="0" w:line="186"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We and our clients rely heavily on our proprietary data and technology platforms, including SPI and Omni, and associated tools, which form a valuable part of the services we offer to our clients. We also rely heavily on other financial, accounting, compliance, monitoring and reporting data processing systems. Our back-up procedures and capabilities in the event of a failure or interruption may not be adequate. We expect that we will need to upgrade and expand the capabilities of our data processing systems and other operating technology in the future and we will incur costs to do so. We also rely on third-party service providers for certain aspects of our information and technology platforms and systems. Any failure, interruption or deterioration of proprietary data and technology platforms or other systems, including the loss or compromise of data by fire, natural disaster, power or telecommunications failure, or cybersecurity breaches or ransomware, or the failure of third-party service providers to perform could materially adversely affect our ability to provide services to our clients, harm our reputation, business or results of operations or result in regulatory intervention.</w:t>
      </w:r>
    </w:p>
    <w:p>
      <w:pPr>
        <w:spacing w:after="0" w:line="170"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b w:val="1"/>
          <w:bCs w:val="1"/>
          <w:i w:val="1"/>
          <w:iCs w:val="1"/>
          <w:color w:val="auto"/>
        </w:rPr>
        <w:t>A compromise or corruption of our systems containing confidential information could damage our business relationships and adversely affect our business, financial condition and results of operations.</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We collect, process and store rapidly increasing volumes of highly sensitive data, including our proprietary business information and intellectual property, and personally identifiable information of our employees, our clients and others, in our data centers and on our networks. Omni includes funds, direct investments and co-investments that we monitor and report on for the StepStone Funds and advisory accounts. The secure processing, maintenance and transmission of this information are critical to our operations. A significant actual or potential theft, loss, corruption, exposure, fraudulent use or misuse of client, employee or other personally identifiable or proprietary business data, whether by third parties or as a result 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and significant reputational harm. Such events could damage our business relationships and adversely affect our business, financial condition and results of operations.</w:t>
      </w:r>
    </w:p>
    <w:p>
      <w:pPr>
        <w:spacing w:after="0" w:line="170"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b w:val="1"/>
          <w:bCs w:val="1"/>
          <w:i w:val="1"/>
          <w:iCs w:val="1"/>
          <w:color w:val="auto"/>
        </w:rPr>
        <w:t>Cybersecurity risks and cyber incidents could adversely affect our business by causing a disruption to our operations, which could adversely affect our financial condition and results of operations.</w:t>
      </w:r>
    </w:p>
    <w:p>
      <w:pPr>
        <w:spacing w:after="0" w:line="177"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The frequency and sophistication of the cyber and security threats we face continue to increase. As a result, we face a heightened risk of a security breach or disruption with respect to sensitive information resulting from an attack by computer hackers, foreign governments or cyber terrorists. Our reputation and our ability to operate and expand our business depend on computer hardware and software systems, including our proprietary data and technology platforms and other data processing systems, which may be vulnerable to security breaches or other cyber incidents. Our funds’ portfolio companies rely on similar systems and face similar risks, and such funds may invest in strategic assets having a national or regional profile or in infrastructure assets that face a greater risk of attack. Cyber or security incidents may be an intentional attack, such as a hacker attack, ransomware, virus or worm, or an unintentional event and could involve bad actors gaining unauthorized access to our information systems for purposes of misappropriating assets, disclosing or modifying sensitive or confidential information, corrupting data or causing operational disruption. Cyber-criminals may attempt to redirect payments required to be paid at the closings of our investments to unauthorized accounts, which we or the services providers we retain, such as paying agents and escrow agents, may not be able to detect or protect against. In recent years, there has been a significant increase in ransomware and other hacking attempts by cyber-criminals. The costs related to cyber or other security threats or disruptions may not be fully insured or indemnified by others, including by our service providers.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We have implemented processes, procedures and internal controls designed to mitigate cybersecurity risks and cyber intrusions. However, these measures, as well as our increased awareness of the nature and extent of a risk of a cyber-incident, do not guarantee that a cyber-incident will not occur or that our financial results or operations will not be adversely affected by such an incident. Cyber-incident techniques change frequently, may not immediately be recognized and can originate from a wide variety of sources. We expect to be required to devote increasing levels of funding and resources to comply with evolving cybersecurity regulations and to continually monitor and enhance our information security procedures and controls. We maintain insurance intended to cover certain cybersecurity events, but such insurance may not cover all risks and losses that we experience.</w:t>
      </w:r>
    </w:p>
    <w:p>
      <w:pPr>
        <w:spacing w:after="0" w:line="185"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Finally, we rely on third-party service providers for certain aspects of our business, including for certain information systems and technology, as well as administration of the StepStone Funds. These third-party service providers and their vendors are also susceptible to cyber and security threats. Any interruption or deterioration in the performance of these third parties, failures of their information systems and technology or cyber and security breaches could put our sensitive information at risk or result in the shutdown of a service provider, which could impair the quality of the funds’ operations and harm our reputation, thereby adversely affecting our business, financial condition and results of operations.</w:t>
      </w:r>
    </w:p>
    <w:p>
      <w:pPr>
        <w:spacing w:after="0" w:line="196"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color w:val="auto"/>
        </w:rPr>
        <w:t>The result of these adverse incidents may include the inability to provide services to our clients, other disruptions of our business, corruption or modifications to our data, fraudulent transfers or requests for transfers of money, liability for stolen assets or information, increased cybersecurity protection and insurance costs and litigation.</w:t>
      </w:r>
    </w:p>
    <w:p>
      <w:pPr>
        <w:spacing w:after="0" w:line="18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b w:val="1"/>
          <w:bCs w:val="1"/>
          <w:i w:val="1"/>
          <w:iCs w:val="1"/>
          <w:color w:val="auto"/>
        </w:rPr>
        <w:t>Employee misconduct could harm us by impairing our ability to attract and retain clients and subjecting us to significant legal liability and reputational harm.</w:t>
      </w:r>
    </w:p>
    <w:p>
      <w:pPr>
        <w:spacing w:after="0" w:line="177"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There is a risk that our employees could engage in misconduct that adversely affects our business. We are subject to a number of obligations and standards arising from our advisory and investment management services and our discretionary authority over the assets we manage. The violation of these obligations and standards by any of our employees would adversely affect our clients and us. Our business often requires that we deal with confidential matters of great significance to companies and funds in which we may invest for our clients. If our employees were to improperly use or disclose confidential information, we could be subject to legal or regulatory action and suffer serious harm to our reputation, financial position and current and future business relationships. It is not always possible to detect or deter employee misconduct, and the extensive precautions we take to detect and prevent this activity may not be effective in all cases. If one of our employees were to engage in misconduct or were to be accused of such misconduct, our business and our reputation could be materially and adversely affected. See “Evolving laws and government regulations could adversely affect us.”</w:t>
      </w:r>
    </w:p>
    <w:p>
      <w:pPr>
        <w:spacing w:after="0" w:line="170"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b w:val="1"/>
          <w:bCs w:val="1"/>
          <w:i w:val="1"/>
          <w:iCs w:val="1"/>
          <w:color w:val="auto"/>
        </w:rPr>
        <w:t>We may face damage to our professional reputation if our services are not regarded as satisfactory or for other reasons and may face legal liability to our clients and third parties under securities or other laws and regulations.</w:t>
      </w:r>
    </w:p>
    <w:p>
      <w:pPr>
        <w:spacing w:after="0" w:line="17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As a private market solutions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The importance of our reputation may increase as we seek to expand our client base and into new private markets.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color w:val="auto"/>
        </w:rPr>
        <w:t>Our asset management and advisory activities subject us to the risk of significant legal liabilities to our clients and third parties, including our clients’ stockholders or beneficiaries. In our investment management business, we make investment decisions on behalf of our clients that could result in substantial losses. Any such losses may subject us to the risk of legal and regulatory liabilities or actions alleging negligent misconduct, breach of fiduciary duty or breach of contract. We could also be liable to our clients and third parties, including our clients’ stockholders or beneficiaries, under securities or other laws and regulations for materially false or misleading statements made in connection with securities and other transactions. These risks often are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clients.</w:t>
      </w:r>
    </w:p>
    <w:p>
      <w:pPr>
        <w:spacing w:after="0" w:line="168" w:lineRule="exact"/>
        <w:rPr>
          <w:sz w:val="20"/>
          <w:szCs w:val="20"/>
          <w:color w:val="auto"/>
        </w:rPr>
      </w:pPr>
    </w:p>
    <w:p>
      <w:pPr>
        <w:ind w:right="820"/>
        <w:spacing w:after="0" w:line="260" w:lineRule="auto"/>
        <w:rPr>
          <w:sz w:val="20"/>
          <w:szCs w:val="20"/>
          <w:color w:val="auto"/>
        </w:rPr>
      </w:pPr>
      <w:r>
        <w:rPr>
          <w:rFonts w:ascii="Arial" w:cs="Arial" w:eastAsia="Arial" w:hAnsi="Arial"/>
          <w:sz w:val="20"/>
          <w:szCs w:val="20"/>
          <w:b w:val="1"/>
          <w:bCs w:val="1"/>
          <w:i w:val="1"/>
          <w:iCs w:val="1"/>
          <w:color w:val="auto"/>
        </w:rPr>
        <w:t>Our non-U.S. operations are subject to certain risks, which may adversely affect our business, financial condition and results of operations.</w:t>
      </w:r>
    </w:p>
    <w:p>
      <w:pPr>
        <w:spacing w:after="0" w:line="177"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Our non-U.S. operations carry special financial and business risks, which include: fluctuations in foreign currency exchange rates that could adversely affect our results; unexpected changes in trading policies, regulatory requirements, tariffs and other barriers; local labor conditions, protections and regulations; adverse consequences or restrictions on the repatriation of earnings; potentially adverse tax consequences, such as trapped foreign losses; less stable political and economic environments; terrorism, political hostilities, war, outbreak of disease and other civil disturbances or other catastrophic events that reduce business activity; cultural and language barriers and the need to adopt different business practices in different geographic areas; and difficulty collecting fees and, if necessary, enforcing judgments.</w:t>
      </w:r>
    </w:p>
    <w:p>
      <w:pPr>
        <w:spacing w:after="0" w:line="165" w:lineRule="exact"/>
        <w:rPr>
          <w:sz w:val="20"/>
          <w:szCs w:val="20"/>
          <w:color w:val="auto"/>
        </w:rPr>
      </w:pPr>
    </w:p>
    <w:p>
      <w:pPr>
        <w:ind w:right="400" w:firstLine="648"/>
        <w:spacing w:after="0" w:line="244" w:lineRule="auto"/>
        <w:rPr>
          <w:sz w:val="20"/>
          <w:szCs w:val="20"/>
          <w:color w:val="auto"/>
        </w:rPr>
      </w:pPr>
      <w:r>
        <w:rPr>
          <w:rFonts w:ascii="Arial" w:cs="Arial" w:eastAsia="Arial" w:hAnsi="Arial"/>
          <w:sz w:val="20"/>
          <w:szCs w:val="20"/>
          <w:color w:val="auto"/>
        </w:rPr>
        <w:t>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94" w:lineRule="exact"/>
        <w:rPr>
          <w:sz w:val="20"/>
          <w:szCs w:val="20"/>
          <w:color w:val="auto"/>
        </w:rPr>
      </w:pPr>
    </w:p>
    <w:p>
      <w:pPr>
        <w:ind w:right="180" w:firstLine="648"/>
        <w:spacing w:after="0" w:line="243" w:lineRule="auto"/>
        <w:rPr>
          <w:sz w:val="20"/>
          <w:szCs w:val="20"/>
          <w:color w:val="auto"/>
        </w:rPr>
      </w:pPr>
      <w:r>
        <w:rPr>
          <w:rFonts w:ascii="Arial" w:cs="Arial" w:eastAsia="Arial" w:hAnsi="Arial"/>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affected, possibly materially, if we are unable to successfully manage these and other risks of global operations in a volatile environment. If our non-U.S. business increases relative to our total business, these factors could have a more pronounced effect on our results of operations or growth prospects.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0"/>
        <w:spacing w:after="0" w:line="316" w:lineRule="auto"/>
        <w:rPr>
          <w:sz w:val="20"/>
          <w:szCs w:val="20"/>
          <w:color w:val="auto"/>
        </w:rPr>
      </w:pPr>
      <w:r>
        <w:rPr>
          <w:rFonts w:ascii="Arial" w:cs="Arial" w:eastAsia="Arial" w:hAnsi="Arial"/>
          <w:sz w:val="18"/>
          <w:szCs w:val="18"/>
          <w:b w:val="1"/>
          <w:bCs w:val="1"/>
          <w:i w:val="1"/>
          <w:iCs w:val="1"/>
          <w:color w:val="auto"/>
        </w:rPr>
        <w:t>Investments of the StepStone Funds in certain jurisdictions may be subject to heightened risks relative to investments in other jurisdictions, which may adversely affect our business, financial condition and results of operations.</w:t>
      </w:r>
    </w:p>
    <w:p>
      <w:pPr>
        <w:spacing w:after="0" w:line="130" w:lineRule="exact"/>
        <w:rPr>
          <w:sz w:val="20"/>
          <w:szCs w:val="20"/>
          <w:color w:val="auto"/>
        </w:rPr>
      </w:pPr>
    </w:p>
    <w:p>
      <w:pPr>
        <w:ind w:right="120" w:firstLine="648"/>
        <w:spacing w:after="0" w:line="309" w:lineRule="auto"/>
        <w:rPr>
          <w:sz w:val="20"/>
          <w:szCs w:val="20"/>
          <w:color w:val="auto"/>
        </w:rPr>
      </w:pPr>
      <w:r>
        <w:rPr>
          <w:rFonts w:ascii="Arial" w:cs="Arial" w:eastAsia="Arial" w:hAnsi="Arial"/>
          <w:sz w:val="16"/>
          <w:szCs w:val="16"/>
          <w:color w:val="auto"/>
        </w:rPr>
        <w:t>A portion of the investments of the StepStone Funds and advisory accounts include private markets funds that are located in, or invest in portfolio companies located in, countries that are subject to heightened risks. Such investments may involve risks related to (i) currency exchange matters, including exchange rate fluctuations with respect to the foreign currency in which the investments are denominated, and costs associated with conversion of investment proceeds and income from one currency to another; (ii) regulations pertaining to investments and investment managers in such countries; (iii) differences in the capital markets of such countries, including, in some cases, the absence of uniform accounting, auditing, financial reporting and legal standards, practices and disclosure requirements and less government supervision and regulation; (iv) certain economic, social and political risks, including exchange control regulations and restrictions on foreign investments and repatriation of capital, and the risks of political, economic or social instability; and (v) the possible imposition of taxes with respect to such investments or confiscatory taxation. These risks could adversely affect the investment performance of the StepStone Funds and advisory accounts, which would adversely affect our business, financial condition and results of operations.</w:t>
      </w:r>
    </w:p>
    <w:p>
      <w:pPr>
        <w:spacing w:after="0" w:line="379" w:lineRule="exact"/>
        <w:rPr>
          <w:sz w:val="20"/>
          <w:szCs w:val="20"/>
          <w:color w:val="auto"/>
        </w:rPr>
      </w:pPr>
    </w:p>
    <w:p>
      <w:pPr>
        <w:ind w:right="940"/>
        <w:spacing w:after="0" w:line="260" w:lineRule="auto"/>
        <w:rPr>
          <w:sz w:val="20"/>
          <w:szCs w:val="20"/>
          <w:color w:val="auto"/>
        </w:rPr>
      </w:pPr>
      <w:r>
        <w:rPr>
          <w:rFonts w:ascii="Arial" w:cs="Arial" w:eastAsia="Arial" w:hAnsi="Arial"/>
          <w:sz w:val="20"/>
          <w:szCs w:val="20"/>
          <w:b w:val="1"/>
          <w:bCs w:val="1"/>
          <w:i w:val="1"/>
          <w:iCs w:val="1"/>
          <w:color w:val="auto"/>
        </w:rPr>
        <w:t>Revenues from our real estate asset class are subject to the risks inherent in the ownership and operation of real estate and the construction and development of real estate.</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Our real estate funds are subject to risks arising from the ownership and operation of real estate and real estate-related businesses and assets. These risks include the following: general and local economic conditions; changes in supply of and demand for competing properties in an area (as a result, for example, of overbuilding); changes in building, environmental and other laws; diminished financial resources of tenants; fluctuations in the average occupancy and room rates for hotel properties; energy and supply shortages; uninsured or uninsurable risks; liability for “slip-and-fall” and other accidents on properties held by our funds; natural disasters; changes in government regulations (such as rent control and tax laws); changes in real property tax and transfer tax rates; changes in interest rates; the reduced availability of mortgage funds which may render the sale or refinancing of properties difficult or impracticable; negative developments in the economy that depress travel activity; environmental liabilities, including under environmental laws that impose, regardless of fault, joint and several liability for the cost of remediating contamination and compensation for damages; contingent liabilities on disposition of assets; unexpected cost overruns in connection with development projects; terrorist attacks, war and other factors that are beyond our control; and dependence on local operating partners. Even in cases where we are indemnified against liabilities arising out of our real estate business, we cannot assure you as to the financial viability of the indemnifying party to satisfy such indemnities or our ability to achieve enforcement of such indemnities.</w:t>
      </w:r>
    </w:p>
    <w:p>
      <w:pPr>
        <w:spacing w:after="0" w:line="182"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If our clients or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or labor conditions or material shortages) and the availability of both construction and permanent financing on favorable terms. Additionally, such investments may be managed by a third party, which makes them dependent upon such third parties. Any of these factors may cause the value of real estate investments to decline, which may have a material adverse effect on our clients or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b w:val="1"/>
          <w:bCs w:val="1"/>
          <w:i w:val="1"/>
          <w:iCs w:val="1"/>
          <w:color w:val="auto"/>
        </w:rPr>
        <w:t>The investments we make on behalf of clients or we recommend to our clients in infrastructure assets may expose us to increased risks and liabilities.</w:t>
      </w:r>
    </w:p>
    <w:p>
      <w:pPr>
        <w:spacing w:after="0" w:line="177"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Investments in infrastructure assets may expose us and our clients to increased risks and liabilities that are inherent in the ownership of infrastructure assets. For example:</w:t>
      </w:r>
    </w:p>
    <w:p>
      <w:pPr>
        <w:spacing w:after="0" w:line="177" w:lineRule="exact"/>
        <w:rPr>
          <w:sz w:val="20"/>
          <w:szCs w:val="20"/>
          <w:color w:val="auto"/>
        </w:rPr>
      </w:pPr>
    </w:p>
    <w:p>
      <w:pPr>
        <w:ind w:left="660" w:right="20" w:hanging="328"/>
        <w:spacing w:after="0" w:line="246"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Ownership of infrastructure assets may also present additional risk of liability for personal and property injury or impose significant operating challenges and costs with respect to, for example, compliance with zoning, environmental, worker, public health and safety or other applicable laws or government actions, which may have a material adverse effect on the operations, financial condition and liquidity of particular assets and ultimately affect investment returns.</w:t>
      </w:r>
    </w:p>
    <w:p>
      <w:pPr>
        <w:spacing w:after="0" w:line="191" w:lineRule="exact"/>
        <w:rPr>
          <w:rFonts w:ascii="Arial" w:cs="Arial" w:eastAsia="Arial" w:hAnsi="Arial"/>
          <w:sz w:val="20"/>
          <w:szCs w:val="20"/>
          <w:color w:val="auto"/>
        </w:rPr>
      </w:pPr>
    </w:p>
    <w:p>
      <w:pPr>
        <w:ind w:left="660" w:right="100" w:hanging="328"/>
        <w:spacing w:after="0" w:line="271"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Infrastructure asset investments may face construction and development risks including, without limitation: (i) labor disputes, shortages of material and skilled labor, or work stoppages; (ii) slower than projected construction progress and the unavailability or late delivery of necessary equipment; (iii) less than optimal coordination with public utilities in the relocation of their facilities; (iv) climate change, adverse weather conditions and unexpected construction conditions; (v) accidents or the breakdown or failure of construction equipment or processes; (vi) political or local opposition; (vii) failure to obtain regulatory approvals or permits; and (viii) catastrophic events, such as explosions, fires, war, terrorist activities, natural disasters and other similar events. These risks could result in substantial unanticipated delays or expenses (which may exceed expected or forecasted budgets) and, under certain circumstances, could prevent completion of construction activities once undertaken. Insurance against such risks may be limited. Certain infrastructure asset investments may remain in construction phases for a prolonged period of time and, accordingly, may not generate cash during such prolonged period. Recourse against the contractor may be subject to liability caps or may be subject to default or insolvency on the part of the contractor.</w:t>
      </w:r>
    </w:p>
    <w:p>
      <w:pPr>
        <w:spacing w:after="0" w:line="169" w:lineRule="exact"/>
        <w:rPr>
          <w:rFonts w:ascii="Arial" w:cs="Arial" w:eastAsia="Arial" w:hAnsi="Arial"/>
          <w:sz w:val="18"/>
          <w:szCs w:val="18"/>
          <w:color w:val="auto"/>
        </w:rPr>
      </w:pPr>
    </w:p>
    <w:p>
      <w:pPr>
        <w:ind w:left="660" w:right="180" w:hanging="328"/>
        <w:spacing w:after="0" w:line="259" w:lineRule="auto"/>
        <w:tabs>
          <w:tab w:leader="none" w:pos="6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operation of infrastructure assets is exposed to potential unplanned interruptions caused by significant catastrophic or force majeure events. These risks could, among other effects, adversely affect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178" w:lineRule="exact"/>
        <w:rPr>
          <w:rFonts w:ascii="Arial" w:cs="Arial" w:eastAsia="Arial" w:hAnsi="Arial"/>
          <w:sz w:val="19"/>
          <w:szCs w:val="19"/>
          <w:color w:val="auto"/>
        </w:rPr>
      </w:pPr>
    </w:p>
    <w:p>
      <w:pPr>
        <w:ind w:left="660" w:hanging="328"/>
        <w:spacing w:after="0" w:line="257" w:lineRule="auto"/>
        <w:tabs>
          <w:tab w:leader="none" w:pos="6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management of the business or operations of an infrastructure asset may be contracted to a third-party management company unaffiliated with us. Although it would be possible to replace any such operator, the failure of such an operator to adequately perform its duties or to act in ways that are in our best interest, or the breach by an operator of applicable agreements or laws, rules and regulations, could have an adverse effect on the investment’s financial condition or results of operations. Infrastructure investments may involve the subcontracting of design and construction activities in respect of projects, and as a result the investments we make on behalf of clients or we recommend to our clients are subject to the risks that contractual provisions passing liabilities to a subcontractor could be ineffective, the subcontractor fails to perform services which it has agreed to perform and the subcontractor becomes insolvent.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Infrastructure investments often involve an ongoing commitment to municipal, state, federal or foreign government or regulatory agencies. The nature of these obligations exposes the investments we make on behalf of clients or we recommend to our clients to a higher level of regulatory control than typically imposed on other businesses and may require complex government licenses, concessions, leases or contracts, which may be difficult to obtain or maintain and which may restrict operations of assets in a way that maximizes cash flows and profitability, and are subject to special risks such as sovereign risks, take actions and expropriation. Infrastructure investments may require operators to manage such investments and such operators’ failure to comply with laws, including prohibitions against bribing of government officials, may adversely affect the value of such investments and cause serious reputational and legal harm. Revenues for such investments may rely on contractual agreements for the provision of services with a limited number of counterparties and are consequently subject to counterparty default risk. The operations and cash flow of infrastructure investments are also more sensitive to inflation and, in certain cases, commodity price risk.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176"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b w:val="1"/>
          <w:bCs w:val="1"/>
          <w:i w:val="1"/>
          <w:iCs w:val="1"/>
          <w:color w:val="auto"/>
        </w:rPr>
        <w:t>The substantial growth of our business in recent years may be difficult to sustain, as it may place significant demands on our resources and employees and may increase our expenses.</w:t>
      </w:r>
    </w:p>
    <w:p>
      <w:pPr>
        <w:spacing w:after="0" w:line="177"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The substantial growth of our business has placed, and if it continues, will continue to place, significant demands on our infrastructure, our investment team and other employees, and will increase our expenses. We will need to continuously invest in our human resources and our infrastructure as a result of becoming a public company and the increasingly complex investment management industry and increasing sophistication of clients. In addition, the launch of our private wealth platform has and will require ongoing development of new infrastructure. Legal and regulatory developments also contribute to the increasing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also poses challenges. In addition, our efforts to retain or attract qualified investment professionals may result in significant additional expenses.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enter into new lines of business, which may result in additional risks and uncertainties in our business.</w:t>
      </w:r>
    </w:p>
    <w:p>
      <w:pPr>
        <w:spacing w:after="0" w:line="216" w:lineRule="exact"/>
        <w:rPr>
          <w:sz w:val="20"/>
          <w:szCs w:val="20"/>
          <w:color w:val="auto"/>
        </w:rPr>
      </w:pPr>
    </w:p>
    <w:p>
      <w:pPr>
        <w:ind w:right="60" w:firstLine="648"/>
        <w:spacing w:after="0" w:line="256" w:lineRule="auto"/>
        <w:rPr>
          <w:sz w:val="20"/>
          <w:szCs w:val="20"/>
          <w:color w:val="auto"/>
        </w:rPr>
      </w:pPr>
      <w:r>
        <w:rPr>
          <w:rFonts w:ascii="Arial" w:cs="Arial" w:eastAsia="Arial" w:hAnsi="Arial"/>
          <w:sz w:val="19"/>
          <w:szCs w:val="19"/>
          <w:color w:val="auto"/>
        </w:rPr>
        <w:t>We currently generate substantially all of our revenue from asset management and advisory services. However, we may grow our business by offering additional products and services and by entering into new lines of business.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core businesses. In addition, we may from time to time explore opportunities to grow our business via acquisitions, partnerships, investments or other strategic transactions. For example, in September 2021 we completed our acquisition of Greenspring, a venture capital and growth equity platform. We cannot assure you that we will successfully identify, negotiate, complete or integrate such transactions, or that any completed transactions will produce favorable financial results.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Entry into certain lines of business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acquire additional businesses or assets or form joint ventures.</w:t>
      </w:r>
    </w:p>
    <w:p>
      <w:pPr>
        <w:spacing w:after="0" w:line="216"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As part of our business strategy, we may pursue additional acquisitions of complementary businesses or assets or seek to enter into joint ventures. These acquisitions or joint ventures would be intended to leverage our existing operations and industry experience or increase our product offerings. The success of any acquisitions, joint ventures or other investments will depend on our ability to identify, negotiate, complete and, in the case of acquisitions, integrate those transactions and, if necessary, obtain satisfactory financing to fund those transactions. We may not realize the anticipated benefits of any acquisition, joint venture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For example, in September 2021 we completed our acquisition of Greenspring and the transaction agreement provides for the payment of up to $75 million of additional cash consideration as an earn-out payment to the sellers of Greenspring, payable in 2025 subject to achievement by Greenspring of certain management fee revenue targets for the calendar year 2024. Integration of acquired companies or businesses also may require management resources that otherwise would be available for ongoing development of our existing business, or integration may not succeed, leading to a failure to realize anticipated benefits. Any acquisitions or investments made by us also could harm our results of operations, including as a result of significant write-offs or the incurrence of debt and contingent liabilities. In addition, if we choose to issue equity to fund an acquisition, our stockholders may experience dilution.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or future indebtedness may expose us to substantial risks.</w:t>
      </w:r>
    </w:p>
    <w:p>
      <w:pPr>
        <w:spacing w:after="0" w:line="216"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In September 2021, we entered into a Credit Agreement with JPMorgan Chase Bank, N.A. and certain other lenders party thereto. See note 9 to our consolidated financial statements included elsewhere in this annual report for more information. Borrowings under the Credit Agreement, or any future debt we undertake,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will not be available for our operations, distributions, dividends or other purposes. Any substantial decrease in net operating cash flows or any substantial increase in expenses could make it difficult for us to meet our debt service requirements or force us to modify our operations. Restrictive covenants in agreements and instruments governing our current and future debt may adversely affect our ability to operate our business or limit our ability to engage in certain transactions or activities, including paying dividends or making other distributions on our Class A common stock. We cannot assure you that we will be able to maintain leverage levels in compliance with such covenants. Any failure to comply with these financial and other covenants, if not waived, could cause a default or event of default under such indebtedness.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risks in using custodians, counterparties, administrators and other agents.</w:t>
      </w:r>
    </w:p>
    <w:p>
      <w:pPr>
        <w:spacing w:after="0" w:line="216"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clients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196"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168"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19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16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b w:val="1"/>
          <w:bCs w:val="1"/>
          <w:i w:val="1"/>
          <w:iCs w:val="1"/>
          <w:color w:val="auto"/>
        </w:rPr>
        <w:t>We currently do not include the controls at Greenspring in our assessment of internal controls over financial reporting, and we may need to implement additional processes and procedures to accurately and timely prepare our consolidated financial statements as a result of the consolidation of Greenspring.</w:t>
      </w:r>
    </w:p>
    <w:p>
      <w:pPr>
        <w:spacing w:after="0" w:line="186"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Pursuant to a transition period for new acquisitions, management’s assessment of the effectiveness of our internal controls over financial reporting does not include the internal controls over financial reporting of Greenspring. As described in note 15 to our consolidated financial statements included in Part II, Item 8 of this annual report, the Company began consolidating Greenspring into its consolidated financial statements as of September 20, 2021. We are currently in the process of reviewing Greenspring’s internal controls over financial reporting. We may be required to implement additional procedures and processes to ensure that we can accurately and timely prepare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Risks Related to Our Industry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investment management and investment advisory business is intensely competitive.</w:t>
      </w:r>
    </w:p>
    <w:p>
      <w:pPr>
        <w:spacing w:after="0" w:line="216"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investment management and investment advisory business is intensely competitive, with competition based on a variety of factors, including investment performance, the quality of service provided to clients, brand recognition and business reputation. We compete with a variety of traditional and private markets managers, commercial banks, investment banks and other financial institutions. Many factors affect our ability to compete successfully, including:</w:t>
      </w:r>
    </w:p>
    <w:p>
      <w:pPr>
        <w:spacing w:after="0" w:line="191"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some of our competitors have more relevant experience, greater financial and other resources and more personnel than we do;</w:t>
      </w:r>
    </w:p>
    <w:p>
      <w:pPr>
        <w:spacing w:after="0" w:line="238" w:lineRule="exact"/>
        <w:rPr>
          <w:rFonts w:ascii="Arial" w:cs="Arial" w:eastAsia="Arial" w:hAnsi="Arial"/>
          <w:sz w:val="18"/>
          <w:szCs w:val="18"/>
          <w:color w:val="auto"/>
        </w:rPr>
      </w:pPr>
    </w:p>
    <w:p>
      <w:pPr>
        <w:ind w:left="660" w:right="580" w:hanging="328"/>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if, as we expect, allocation of assets to private markets investment strategies increases, there may be increased competition for private markets investments and access to fund managers;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certain clients may prefer to invest with private partnerships rather than a public company;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other industry participants from time to time recruit our investment professionals and other employees away from us.</w:t>
      </w:r>
    </w:p>
    <w:p>
      <w:pPr>
        <w:spacing w:after="0" w:line="216" w:lineRule="exact"/>
        <w:rPr>
          <w:sz w:val="20"/>
          <w:szCs w:val="20"/>
          <w:color w:val="auto"/>
        </w:rPr>
      </w:pPr>
    </w:p>
    <w:p>
      <w:pPr>
        <w:ind w:right="360" w:firstLine="648"/>
        <w:spacing w:after="0" w:line="287" w:lineRule="auto"/>
        <w:rPr>
          <w:sz w:val="20"/>
          <w:szCs w:val="20"/>
          <w:color w:val="auto"/>
        </w:rPr>
      </w:pPr>
      <w:r>
        <w:rPr>
          <w:rFonts w:ascii="Arial" w:cs="Arial" w:eastAsia="Arial" w:hAnsi="Arial"/>
          <w:sz w:val="19"/>
          <w:szCs w:val="19"/>
          <w:color w:val="auto"/>
        </w:rPr>
        <w:t>This competitive pressure could adversely affect our ability to make successful investments and restrict our ability to raise future funds, either of which would materially and adversely affect our business, financial condition and results of operations.</w:t>
      </w:r>
    </w:p>
    <w:p>
      <w:pPr>
        <w:spacing w:after="0" w:line="152"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b w:val="1"/>
          <w:bCs w:val="1"/>
          <w:i w:val="1"/>
          <w:iCs w:val="1"/>
          <w:color w:val="auto"/>
        </w:rPr>
        <w:t>Difficult or volatile market and political conditions can adversely affect our business by reducing the market value of the assets we manage or causing our SMA clients to reduce their investments in private markets.</w:t>
      </w:r>
    </w:p>
    <w:p>
      <w:pPr>
        <w:spacing w:after="0" w:line="17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8"/>
          <w:szCs w:val="18"/>
          <w:color w:val="auto"/>
        </w:rPr>
        <w:t>The global financial markets and business climate have recently deteriorated and may continue to deteriorate, including due to continued rising interest rates, ongoing high inflation, reduced availability of credit, changes in laws and regulation, terrorism or political uncertainty, war (including the ongoing Russia-Ukraine conflict), and severe public health events, such as the COVID-19 pandemic. The extent and impact of any sanctions imposed in connection with the Russia-Ukraine conflict may cause additional financial market volatility and impact the global economy. Volatility and disruption in the equity and credit markets can adversely affect the portfolio companies in which private markets funds invest and adversely affect the investment performance of the StepStone Funds and advisory accounts. Our ability to manage our exposure to market conditions is limited. Market deterioration could cause us, the StepStone Funds we manage or the funds in which they invest to experience reduced liquidity, earnings and cash flow, recognize impairment charges, or face challenges in raising additional capital, obtaining investment financing and making investments on attractive terms. Adverse market conditions can also affect our ability and the ability of funds in which we and our clients invest to liquidate positions in a timely and efficient manner. More costly and restrictive financing also may adversely affect the investment returns of our co-investments in leveraged buyout transactions and, therefore, adversely affect the results of operations and financial condition of our co-investment funds.</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Our business may generate lower revenue as a result of recent and prospective economic contractions, decreases in equity markets and tightening of global credit markets. These events may result in reduced opportunities to find suitable investments and make it more difficult for us, or for the funds in which we and our clients invest, to exit and realize value from existing investments, potentially resulting in a decline in the value of the investments held in our clients’ portfolios. Such a decline could cause our revenue and net income to decline by causing some of our clients to reduce their investments in private markets in favor of investments they perceive as offering greater opportunity or lower risk, which would result in lower fees being paid to us.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These events may also reduce the commitments our clients are able to devote to private markets investments generally and make it more difficult for the funds in which we invest to obtain funding for additional investments at attractive rates, which would further reduce our profitability.</w:t>
      </w:r>
    </w:p>
    <w:p>
      <w:pPr>
        <w:spacing w:after="0" w:line="186" w:lineRule="exact"/>
        <w:rPr>
          <w:sz w:val="20"/>
          <w:szCs w:val="20"/>
          <w:color w:val="auto"/>
        </w:rPr>
      </w:pPr>
    </w:p>
    <w:p>
      <w:pPr>
        <w:ind w:right="140" w:firstLine="648"/>
        <w:spacing w:after="0" w:line="269" w:lineRule="auto"/>
        <w:rPr>
          <w:sz w:val="20"/>
          <w:szCs w:val="20"/>
          <w:color w:val="auto"/>
        </w:rPr>
      </w:pPr>
      <w:r>
        <w:rPr>
          <w:rFonts w:ascii="Arial" w:cs="Arial" w:eastAsia="Arial" w:hAnsi="Arial"/>
          <w:sz w:val="19"/>
          <w:szCs w:val="19"/>
          <w:color w:val="auto"/>
        </w:rPr>
        <w:t>Our profitability may also be adversely affected by our fixed costs and the possibility that we would be unable to reduce other costs within a time frame sufficient to match any decreases in revenue relating to changes in market and economic conditions. If our revenue declines without a commensurate reduction in our expenses, our net income will be lower.</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The COVID-19 pandemic has severely disrupted the global financial markets and business climate and may adversely affect our business, financial condition and results of operations.</w:t>
      </w:r>
    </w:p>
    <w:p>
      <w:pPr>
        <w:spacing w:after="0" w:line="177"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Beginning in the fourth quarter of our fiscal year ended March 31, 2020, the global financial markets and business climate were adversely affected by the global outbreak of COVID-19. The spread of the COVID-19 pandemic throughout the world has led many countries to institute a variety of measures in an effort to contain viral spread. These measures have caused reductions in demand for certain goods and services, reductions in business activity and financial transactions, supply chain interruptions and overall economic and significant financial market volatility. While many of the initial restrictions have been relaxed or lifted, the risk of future COVID-19 outbreaks remains and restrictions have been and may continue to be reimposed to mitigate risks to public health in jurisdictions where additional outbreaks have been detected. Moreover, even where restrictions are and remain lifted, certain groups of people may continue to self-isolate and not participate in the economy at pre-pandemic levels for a prolonged period of time, potentially further delaying global economic recovery. As a result, we are unable to predict the ultimate duration and adverse impact of COVID-19 on our business, financial condition and results of operations. Adverse effects on our business due to COVID-19 have included or may include, but are not limited to, the following:</w:t>
      </w:r>
    </w:p>
    <w:p>
      <w:pPr>
        <w:spacing w:after="0" w:line="174" w:lineRule="exact"/>
        <w:rPr>
          <w:sz w:val="20"/>
          <w:szCs w:val="20"/>
          <w:color w:val="auto"/>
        </w:rPr>
      </w:pPr>
    </w:p>
    <w:p>
      <w:pPr>
        <w:ind w:left="660" w:right="20" w:hanging="328"/>
        <w:spacing w:after="0" w:line="260"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Management fees</w:t>
      </w:r>
      <w:r>
        <w:rPr>
          <w:rFonts w:ascii="Arial" w:cs="Arial" w:eastAsia="Arial" w:hAnsi="Arial"/>
          <w:sz w:val="19"/>
          <w:szCs w:val="19"/>
          <w:color w:val="auto"/>
        </w:rPr>
        <w:t>. A slowdown in fundraising activity could result in delayed or decreased management fees as compared to prior</w:t>
      </w:r>
      <w:r>
        <w:rPr>
          <w:rFonts w:ascii="Arial" w:cs="Arial" w:eastAsia="Arial" w:hAnsi="Arial"/>
          <w:sz w:val="19"/>
          <w:szCs w:val="19"/>
          <w:i w:val="1"/>
          <w:iCs w:val="1"/>
          <w:color w:val="auto"/>
        </w:rPr>
        <w:t xml:space="preserve"> </w:t>
      </w:r>
      <w:r>
        <w:rPr>
          <w:rFonts w:ascii="Arial" w:cs="Arial" w:eastAsia="Arial" w:hAnsi="Arial"/>
          <w:sz w:val="19"/>
          <w:szCs w:val="19"/>
          <w:color w:val="auto"/>
        </w:rPr>
        <w:t>periods. Additionally, changes to asset allocation policies or new laws or regulations resulting from declines in public equity markets may restrict or prohibit investors from investing in new or successor StepStone Funds or funding existing commitments. If we experience a slowdown in the pace of capital deployment, it may result in delayed or decreased management fees for those funds and accounts that pay management fees based on invested capital.</w:t>
      </w:r>
    </w:p>
    <w:p>
      <w:pPr>
        <w:spacing w:after="0" w:line="180" w:lineRule="exact"/>
        <w:rPr>
          <w:rFonts w:ascii="Arial" w:cs="Arial" w:eastAsia="Arial" w:hAnsi="Arial"/>
          <w:sz w:val="19"/>
          <w:szCs w:val="19"/>
          <w:color w:val="auto"/>
        </w:rPr>
      </w:pPr>
    </w:p>
    <w:p>
      <w:pPr>
        <w:ind w:left="660" w:right="20" w:hanging="328"/>
        <w:spacing w:after="0" w:line="256"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Performance fees</w:t>
      </w:r>
      <w:r>
        <w:rPr>
          <w:rFonts w:ascii="Arial" w:cs="Arial" w:eastAsia="Arial" w:hAnsi="Arial"/>
          <w:sz w:val="19"/>
          <w:szCs w:val="19"/>
          <w:color w:val="auto"/>
        </w:rPr>
        <w:t>. The underlying investments in the StepStone Funds reflect valuations on a three-month lag, or as of December 31,</w:t>
      </w:r>
      <w:r>
        <w:rPr>
          <w:rFonts w:ascii="Arial" w:cs="Arial" w:eastAsia="Arial" w:hAnsi="Arial"/>
          <w:sz w:val="19"/>
          <w:szCs w:val="19"/>
          <w:i w:val="1"/>
          <w:iCs w:val="1"/>
          <w:color w:val="auto"/>
        </w:rPr>
        <w:t xml:space="preserve"> </w:t>
      </w:r>
      <w:r>
        <w:rPr>
          <w:rFonts w:ascii="Arial" w:cs="Arial" w:eastAsia="Arial" w:hAnsi="Arial"/>
          <w:sz w:val="19"/>
          <w:szCs w:val="19"/>
          <w:color w:val="auto"/>
        </w:rPr>
        <w:t>2021, adjusted for capital contributions and distributions during the three-month lag period ended March 31, 2022. For the year ended March 31, 2021, our investments in StepStone Funds and accrued carried interest allocations initially experienced significant declines during the first three months, primarily reflecting the unrealized depreciation in the fair value of certain underlying fund investments driven by the impact of COVID-19, and subsequently saw significant increases, primarily reflecting the unrealized appreciation in the fair value of certain underlying fund investments driven by the continued recovery in the financial markets. If such declines persist over a longer period of time, our realized performance fee revenues may be adversely affected in future periods, as the ability of fund managers to exit existing investments profitably may be limited due to lower valuations from decreased operating performance of portfolio companies.</w:t>
      </w:r>
    </w:p>
    <w:p>
      <w:pPr>
        <w:spacing w:after="0" w:line="184" w:lineRule="exact"/>
        <w:rPr>
          <w:rFonts w:ascii="Arial" w:cs="Arial" w:eastAsia="Arial" w:hAnsi="Arial"/>
          <w:sz w:val="19"/>
          <w:szCs w:val="19"/>
          <w:color w:val="auto"/>
        </w:rPr>
      </w:pPr>
    </w:p>
    <w:p>
      <w:pPr>
        <w:ind w:left="660" w:right="360" w:hanging="328"/>
        <w:spacing w:after="0" w:line="287"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Liquidity</w:t>
      </w:r>
      <w:r>
        <w:rPr>
          <w:rFonts w:ascii="Arial" w:cs="Arial" w:eastAsia="Arial" w:hAnsi="Arial"/>
          <w:sz w:val="19"/>
          <w:szCs w:val="19"/>
          <w:color w:val="auto"/>
        </w:rPr>
        <w:t>. Our liquidity and cash flows may be adversely affected by declines or delays in realized management fee revenues and</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fee revenues. As of March 31, 2022, we had $116.4 million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100" w:hanging="328"/>
        <w:spacing w:after="0" w:line="25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Investment opportunities</w:t>
      </w:r>
      <w:r>
        <w:rPr>
          <w:rFonts w:ascii="Arial" w:cs="Arial" w:eastAsia="Arial" w:hAnsi="Arial"/>
          <w:sz w:val="20"/>
          <w:szCs w:val="20"/>
          <w:color w:val="auto"/>
        </w:rPr>
        <w:t>. While the market dislocation caused by COVID-19 may present attractive investment opportunities due to</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increased volatility in the financial markets, we may not be able to complete those investments, which could negatively affect our revenue, particularly for funds that pay management fees based on invested capital.</w:t>
      </w:r>
    </w:p>
    <w:p>
      <w:pPr>
        <w:spacing w:after="0" w:line="185"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Clients and fund managers</w:t>
      </w:r>
      <w:r>
        <w:rPr>
          <w:rFonts w:ascii="Arial" w:cs="Arial" w:eastAsia="Arial" w:hAnsi="Arial"/>
          <w:sz w:val="18"/>
          <w:szCs w:val="18"/>
          <w:color w:val="auto"/>
        </w:rPr>
        <w:t>. A significant portion of our business activity involves meeting with clients and fund managers to build</w:t>
      </w:r>
      <w:r>
        <w:rPr>
          <w:rFonts w:ascii="Arial" w:cs="Arial" w:eastAsia="Arial" w:hAnsi="Arial"/>
          <w:sz w:val="18"/>
          <w:szCs w:val="18"/>
          <w:i w:val="1"/>
          <w:iCs w:val="1"/>
          <w:color w:val="auto"/>
        </w:rPr>
        <w:t xml:space="preserve"> </w:t>
      </w:r>
      <w:r>
        <w:rPr>
          <w:rFonts w:ascii="Arial" w:cs="Arial" w:eastAsia="Arial" w:hAnsi="Arial"/>
          <w:sz w:val="18"/>
          <w:szCs w:val="18"/>
          <w:color w:val="auto"/>
        </w:rPr>
        <w:t>and strengthen our relationships. Prior to the pandemic, much of this activity was done in person. Since the onset of the pandemic, we have largely shifted to telephone and video conferences to build and maintain our relationships, and this continued to some extent based on client preferences and local conditions. It is unclear whether this shift will have a negative impact on our ability to service our clients, connect with new clients, market our funds, source new investment opportunities and conduct due diligence on investments. Further, even though we have increased the amount of this activity conducted in person, the negative impact of our prior shift to telephone and video conferences may not be rectified. Additionally, we depend on clients fulfilling their commitments when we call capital from them in order for those funds to consummate investments and otherwise pay their obligations when due. Our funds’ operations and performance can be directly impacted if our clients face liquidity challenges related to the COVID-19 pandemic or otherwise and are unable to fulfill their commitments.</w:t>
      </w:r>
    </w:p>
    <w:p>
      <w:pPr>
        <w:spacing w:after="0" w:line="173" w:lineRule="exact"/>
        <w:rPr>
          <w:rFonts w:ascii="Arial" w:cs="Arial" w:eastAsia="Arial" w:hAnsi="Arial"/>
          <w:sz w:val="18"/>
          <w:szCs w:val="18"/>
          <w:color w:val="auto"/>
        </w:rPr>
      </w:pPr>
    </w:p>
    <w:p>
      <w:pPr>
        <w:ind w:left="660" w:right="20" w:hanging="328"/>
        <w:spacing w:after="0" w:line="272"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The ability of our employees to conduct their daily work in our offices helps to ensure a level of productivity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security that may not be achieved when working remotely for an extended period of time. In some jurisdictions employees have returned to working in our offices, but generally spend fewer days working in our offices than they did before the onset of the COVID-19 pandemic. Employees’ increased use of remote working environments could strain our technology resources and introduce operational risks, including heightened cybersecurity risk, as remote working environments can be less secure and more susceptible to hacking attacks. See “—Risks Related to our Business—Cybersecurity risks could adversely affect our business by causing a disruption to our operations, which could adversely affect our financial condition and results of operations.” In addition, third-party service providers on whom we may be reliant for certain aspects of our business, including fund administration activities and cloud-based services, could be affected by an inability to perform due to continuing adverse impacts of COVID-19.</w:t>
      </w:r>
    </w:p>
    <w:p>
      <w:pPr>
        <w:spacing w:after="0" w:line="170" w:lineRule="exact"/>
        <w:rPr>
          <w:rFonts w:ascii="Arial" w:cs="Arial" w:eastAsia="Arial" w:hAnsi="Arial"/>
          <w:sz w:val="18"/>
          <w:szCs w:val="18"/>
          <w:color w:val="auto"/>
        </w:rPr>
      </w:pPr>
    </w:p>
    <w:p>
      <w:pPr>
        <w:ind w:left="660" w:right="40" w:hanging="328"/>
        <w:spacing w:after="0" w:line="257" w:lineRule="auto"/>
        <w:tabs>
          <w:tab w:leader="none" w:pos="648"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Employee well-being</w:t>
      </w:r>
      <w:r>
        <w:rPr>
          <w:rFonts w:ascii="Arial" w:cs="Arial" w:eastAsia="Arial" w:hAnsi="Arial"/>
          <w:sz w:val="19"/>
          <w:szCs w:val="19"/>
          <w:color w:val="auto"/>
        </w:rPr>
        <w:t>. We recognize that COVID-19 threatens our employees’ safety, well-being and morale. If our senior</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or other key personnel become ill or are otherwise unable to perform their duties for an extended period of time, we may experience a loss of productivity or a delay in the implementation of certain strategic plans. We operate globally, with offices in 23 cities across 14 countries on five continents, with strong local teams supporting a global client base. Local COVID-19-related laws may be subject to rapid change depending on public health developments, which can lead to confusion and make compliance with laws uncertain and subject us to increased risk of litigation for non-compliance. We may also be exposed to the risk of litigation by our employees against us for, among other things, failure to take adequate steps to protect their safety or well-being, particularly in the event they become sick after returning to the office.</w:t>
      </w:r>
    </w:p>
    <w:p>
      <w:pPr>
        <w:spacing w:after="0" w:line="180" w:lineRule="exact"/>
        <w:rPr>
          <w:rFonts w:ascii="Arial" w:cs="Arial" w:eastAsia="Arial" w:hAnsi="Arial"/>
          <w:sz w:val="19"/>
          <w:szCs w:val="19"/>
          <w:color w:val="auto"/>
        </w:rPr>
      </w:pPr>
    </w:p>
    <w:p>
      <w:pPr>
        <w:ind w:left="660" w:right="240" w:hanging="328"/>
        <w:spacing w:after="0" w:line="25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Portfolio companies</w:t>
      </w:r>
      <w:r>
        <w:rPr>
          <w:rFonts w:ascii="Arial" w:cs="Arial" w:eastAsia="Arial" w:hAnsi="Arial"/>
          <w:sz w:val="20"/>
          <w:szCs w:val="20"/>
          <w:color w:val="auto"/>
        </w:rPr>
        <w:t>. Operational disruptions and increased volatility and disruption in the equity and credit markets caused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COVID-19 pandemic can adversely affect the portfolio companies in which private markets funds invest and adversely affect the investment performance of the StepStone Funds and advisory accounts.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We believe COVID-19’s adverse impact on our business, financial condition and results of operations will be significantly driven by a number of factors that we are unable to predict or control, including, for example: the severity and duration of the pandemic, including from any new variants of COVID-19; the success of continuing global vaccination campaigns; the pandemic’s impact on global financial markets and business conditions; the timing, scope and effectiveness of additional governmental responses to the pandemic; the timing and path of economic recovery; and the negative impact on our clients, third-party fund managers, counterparties, investee portfolio companies, vendors and other business partners that may indirectly adversely affect us. In addition, regulatory oversight and enforcement may become more rigorous for public companies in general, and for the financial services industry in particular, as a result of the recent volatility in the financial markets.</w:t>
      </w:r>
    </w:p>
    <w:p>
      <w:pPr>
        <w:spacing w:after="0" w:line="180"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b w:val="1"/>
          <w:bCs w:val="1"/>
          <w:i w:val="1"/>
          <w:iCs w:val="1"/>
          <w:color w:val="auto"/>
        </w:rPr>
        <w:t>We operate in a heavily regulated industry and any failure to comply with the government regulations to which we are subject could adversely affect us.</w:t>
      </w:r>
    </w:p>
    <w:p>
      <w:pPr>
        <w:spacing w:after="0" w:line="17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9"/>
          <w:szCs w:val="19"/>
          <w:color w:val="auto"/>
        </w:rPr>
        <w:t>We are subject to numerous regulations that may impact our business model. In the United States, our advisory and investment management businesses are subject to regulation by the SEC, the Commodity Futures Trading Commission, the Internal Revenue Service (the “IRS”) and other regulatory agencies, pursuant to, among other laws, the Investment Advisers Act, the Securities Act, the Internal Revenue Code of 1986, as amended, (the “Code”), the Commodity Exchange Act, and the Exchange Act. The SEC in particular has increased its regulation of the asset management and private equity industries in recent years, focusing on the private equity industry’s fees, allocation of expenses to funds, valuation practices, allocation of fund investment opportunities, disclosures to clients, the allocation of broken-deal expenses, the management of conflicts of interest disclosures and other fiduciary obligations. The SEC has also heightened its focus on the valuation processes employed by investment advisers. The lack of readily ascertainable market prices for many of the investments made by the StepStone Funds or the funds in which we invest could subject our valuation policies and processes to increased scrutiny by the SEC.</w:t>
      </w:r>
    </w:p>
    <w:p>
      <w:pPr>
        <w:spacing w:after="0" w:line="190"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clients or fail to gain new clients. Additionally, legislation, including proposed legislation regarding executive compensation and taxation of carried interest, may adversely affect our ability to attract and retain key personnel. See “Business—Regulatory Environment.”</w:t>
      </w:r>
    </w:p>
    <w:p>
      <w:pPr>
        <w:spacing w:after="0" w:line="16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8"/>
          <w:szCs w:val="18"/>
          <w:color w:val="auto"/>
        </w:rPr>
        <w:t>To the extent that the Partnership is a “fiduciary” under the Employee Retirement Income Security Act of 1974, as amended (“ERISA”), with respect to benefit plan clients, it is subject to ERISA, and to regulations promulgated thereunder. ERISA and applicable provisions of the Code impose certain duties on persons who are fiduciaries under ERISA, prohibit certain transactions involving ERISA plan clients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In addition, the Partnership, along with certain of our consolidated subsidiaries, is registered as an investment adviser with the SEC and is subject to the requirements and regulations of the Investment Advisers Act. Such requirements relate to, among other things, maintaining an effective compliance program, incentive fees, solicitation arrangements, allocation of investments, recordkeeping and reporting requirements, disclosure requirements, limitations on agency cross and principal transactions between an adviser and their advisory clients, as well as general anti-fraud prohibitions. As a registered investment adviser, the Partnership has fiduciary duties to its clients. A failure to comply with the obligations imposed by the Investment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results of operations and business reputation.</w:t>
      </w:r>
    </w:p>
    <w:p>
      <w:pPr>
        <w:spacing w:after="0" w:line="168"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In addition, the European Union’s General Data Protection Regulation (the “GDPR”) and the California Consumer Privacy Act (“CCPA”) impose stringent data protection requirements. There are substantial financial penalties for breach of the GDPR, including up to the higher of 20 million Euros or 4% of group annual worldwide turnover. Non-compliance with GDPR, CCPA or similar regulation enacted elsewhere therefore represents a serious risk to our business.</w:t>
      </w:r>
    </w:p>
    <w:p>
      <w:pPr>
        <w:spacing w:after="0" w:line="191"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Our private wealth investment platform is subject to additional regulatory requirements that could adversely impact its profitability. One of our funds we offer to private wealth investors is a registered investment company under the Investment Company Act and we expect that additional funds we offer to private wealth investors will also be registered investment companies under the Investment Company Act or applicable laws in other jurisdictions. 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stringent governance and board independence requirements. In addition, we will depend on third parties to assist us in complying with regulatory obligations with respect to such registered funds. Requirements imposed by the Investment Company Act, including limitations on capital structure, the ability to transact business with affiliates and the ability to compensate senior employees, or the failure of our third-party vendors to assist us with required compliance could materially and adversely affect our businesses, financial condition and results of operations.</w:t>
      </w:r>
    </w:p>
    <w:p>
      <w:pPr>
        <w:spacing w:after="0" w:line="18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addition, if we fail to comply with any of the regulations that we are subject to, we could be subject to enforcement actions, which may materially and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Evolving laws and government regulations could adversely affect us.</w:t>
      </w:r>
    </w:p>
    <w:p>
      <w:pPr>
        <w:spacing w:after="0" w:line="2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the StepStone Funds, or on private markets funds generally, of future regulation, or of changes in the interpretation and enforcement of existing regulation, could have an adverse effect on the StepStone Funds’ investment strategies or our business model. Policy changes and regulatory reform by the U.S. federal government may create regulatory uncertainty for our funds’ portfolio companies and our investment strategies and adversely affect the profitability of the StepStone Funds’ portfolio companies.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Ongoing political developments could adversely impact our investment management and investment advisory businesses. The financial services industry is currently experiencing an uncertain political and regulatory environment. We expect a greater level of SEC enforcement activity under the current U.S. presidential administration, potentially targeting practices which were not targeted by the prior U.S. presidential administration. For example, the Biden administration and the current leadership of the SEC have signaled that they intend to seek to enact changes to numerous areas of law and regulations currently in effect. In particular, the SEC has signaled an increased emphasis on investment adviser and private fund regulation and has proposed a number of new rules that, if adopted as proposed, would impose significant changes on investment advisers and their management of private funds (including with respect to fund audits, adviser-led secondary transactions, fee and expense allocation and reporting, beneficial ownership reporting under Exchange Act Sections 13(d) and 13(g), reporting on Form PF, Rule 10b5-1 insider trading plans, borrowings, indemnification, side letters, cybersecurity risk management, and annual compliance reviews), and the SEC is expected to propose additional changes in the future. Any such changes, including with modifications, whether enacted under current or future leadership, could have a significant effect on private funds and private fund advisers and their operations, including increasing compliance burdens and regulatory costs, restrictions on the ability to receive expense, indemnification and other cost reimbursements, and heightened risk of regulatory enforcement action such as public sanctions, restrictions on activities, fines and reputational damage. Any of the foregoing could lead to further regulatory uncertainty, result in changes to our operations and could materially impact our funds and/or their investments (including the funds in which the StepStone Funds and our clients invests) and/or us, including by causing us to incur additional expenses.</w:t>
      </w:r>
    </w:p>
    <w:p>
      <w:pPr>
        <w:spacing w:after="0" w:line="1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Governmental policy changes and regulatory or tax reform could also have a material effect on our funds. For example, regulatory or tax reform in jurisdictions where we may be conducting business (including jurisdictions in which we have established StepStone Funds, such as the Cayman Islands) and jurisdictions in which our clients or investors in StepStone Funds are located may increase administrative costs, increase taxes borne by StepStone Funds or our clients or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170" w:lineRule="exact"/>
        <w:rPr>
          <w:sz w:val="20"/>
          <w:szCs w:val="20"/>
          <w:color w:val="auto"/>
        </w:rPr>
      </w:pPr>
    </w:p>
    <w:p>
      <w:pPr>
        <w:ind w:right="40" w:firstLine="648"/>
        <w:spacing w:after="0" w:line="256" w:lineRule="auto"/>
        <w:rPr>
          <w:sz w:val="20"/>
          <w:szCs w:val="20"/>
          <w:color w:val="auto"/>
        </w:rPr>
      </w:pPr>
      <w:r>
        <w:rPr>
          <w:rFonts w:ascii="Arial" w:cs="Arial" w:eastAsia="Arial" w:hAnsi="Arial"/>
          <w:sz w:val="19"/>
          <w:szCs w:val="19"/>
          <w:color w:val="auto"/>
        </w:rPr>
        <w:t>In recent years, the United States has imposed tariffs on various products imported into the United States. These tariffs have resulted in, and may continue to trigger, retaliatory actions by affected countries, including the imposition of tariffs on the United States by other countries. Certain foreign governments have instituted or are considering imposing trade sanctions on certain U.S. goods and denying U.S. companies access to critical raw materials. Governmental actions related to the imposition of tariffs or other trade barriers or changes to international trade agreements or policies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b w:val="1"/>
          <w:bCs w:val="1"/>
          <w:i w:val="1"/>
          <w:iCs w:val="1"/>
          <w:color w:val="auto"/>
        </w:rPr>
        <w:t>Future changes to tax laws or our effective tax rate could materially adversely affect our company and reduce net returns to our stockholders.</w:t>
      </w:r>
    </w:p>
    <w:p>
      <w:pPr>
        <w:spacing w:after="0" w:line="177"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Base Erosion and Profit Shifting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 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As a result, the tax laws in the United States and other countries in which we and our affiliates do business could change on a prospective or retroactive basis, and any such changes could have an adverse effect on our worldwide tax liabilities, business, financial condition and results of operations.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181" w:lineRule="exact"/>
        <w:rPr>
          <w:sz w:val="20"/>
          <w:szCs w:val="20"/>
          <w:color w:val="auto"/>
        </w:rPr>
      </w:pPr>
    </w:p>
    <w:p>
      <w:pPr>
        <w:ind w:right="320" w:firstLine="648"/>
        <w:spacing w:after="0" w:line="260" w:lineRule="auto"/>
        <w:rPr>
          <w:sz w:val="20"/>
          <w:szCs w:val="20"/>
          <w:color w:val="auto"/>
        </w:rPr>
      </w:pPr>
      <w:r>
        <w:rPr>
          <w:rFonts w:ascii="Arial" w:cs="Arial" w:eastAsia="Arial" w:hAnsi="Arial"/>
          <w:sz w:val="19"/>
          <w:szCs w:val="19"/>
          <w:color w:val="auto"/>
        </w:rPr>
        <w:t>Our businesses are subject to income taxation in the United States, as well as in many tax jurisdictions throughout the world. Tax rates in these jurisdictions may be subject to significant change. If our effective tax rate increases, our results of operations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required to pay additional taxes under the Centralized Partnership Audit Regime.</w:t>
      </w:r>
    </w:p>
    <w:p>
      <w:pPr>
        <w:spacing w:after="0" w:line="216"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For tax years beginning on or after January 1, 2018, the Partnership is subject to partnership audit rules enacted as part of the Bipartisan Budget Act of 2015 (the “Centralized Partnership Audit Regime”). Under the Centralized Partnership Audit Regime, any IRS audit of the Partnership would be conducted at the Partnership level, and if the IRS determines an adjustment, the default rule is that the Partnership would pay an “imputed underpayment” including interest and penalties, if applicable. The Partnership may instead elect to make a “push-out” election, in which case the partners for the year that is under audit would be required to take into account the adjustments on their own personal income tax returns. We will decide whether or not to cause the Partnership to make this election; however, there are circumstances in which the election may not be available and, in the case of an entity in which the Partnership directly or indirectly invests, such decision may be outside of our control. If the Partnership or an entity in which the Partnership directly or indirectly invests does not make this election, the then-current partners of the Partnership (including SSG) could economically bear the burden of the understatement.</w:t>
      </w:r>
    </w:p>
    <w:p>
      <w:pPr>
        <w:spacing w:after="0" w:line="170"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Audit adjustments for state or local tax purposes could similarly result in the Partnership (or any of its applicable subsidiaries or other entities in which the Partnership directly or indirectly invests) being required to pay or indirectly bear the economic burden of state or local taxes and associated interest, and penalties.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Federal, state and foreign anti-corruption and sanctions laws create the potential for significant liabilities and penalties and reputational harm.</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We are subject to laws and regulations governing payments and contributions to political persons or other third parties, including restrictions imposed by the Foreign Corrupt Practices Act (“FCPA”) as well as trade sanctions and export control laws administered by the U.S. Department of Treasury’s Office of Foreign Assets Control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affect a number of aspects of our business, including servicing existing clients, finding new clients, and sourcing new investments, as well as activities by the portfolio companies in our investment portfolio or other controlled investments.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8"/>
          <w:szCs w:val="18"/>
          <w:color w:val="auto"/>
        </w:rPr>
        <w:t>Similar laws in non-U.S. jurisdictions, such as EU sanctions or the United Kingdom (“UK”) Bribery Act, as well as other applicable anti-bribery, anti-corruption, anti-money laundering, or sanction or other export control laws in the United States and abroad, may also impose stricter or more onerous requirements than the FCPA, OFAC, the U.S. Department of Commerce and the U.S. Department of State, and implementing them may disrupt our business or cause us to incur significantly more costs to comply with those laws. In addition, the U.S. and other countries have begun imposing sanctions on Russia in connection with the ongoing Russia-Ukraine conflict, which may impact us, StepStone Funds and our portfolio companies to a degree which remains uncertain. Different laws contain conflicting provisions, making compliance with all laws more difficult. If we fail to comply with these laws and regulations, we could face claims for damages, civil or criminal financial penalties, reputational harm, incarceration of our employees, restrictions on our operations and other liabilities, which could negatively affect our business, results of operations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client confidence, any one of which could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Regulation of investment advisers outside the United States could adversely affect our ability to operate our business.</w:t>
      </w:r>
    </w:p>
    <w:p>
      <w:pPr>
        <w:spacing w:after="0" w:line="227"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We provide investment advisory and other services and raise funds in a number of countries and jurisdictions outside the United States. In a number of these countries and jurisdictions, which include the UK, the EU, the European Economic Area (“EEA”), and certain of the individual member states of each of the EU and EEA (including Ireland and Luxembourg), Switzerland, Japan, Korea,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Switzerland and the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spacing w:after="0" w:line="172"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color w:val="auto"/>
        </w:rPr>
        <w:t>The European Union Markets in Financial Instruments Directive II (“MiFID II”), which became effective on January 3, 2018,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investment firms that are subject to MiFID II (including as applicable in the UK), we were required to implement revised policies and procedures to comply with MiFID II where relevant, including where certain rules have an extraterritorial impact on us. Compliance with MiFID II has, therefore, resulted in greater overall complexity, higher compliance, administration and operational costs, and less overall flexibility. The complexity, operational costs and reduction in flexibility may be further compounded as a result of UK’s departure from the EU. See “The exit of the UK from the EU (Brexit) could adversely affect our business and our operations.” This is because the UK is both: (i) no longer generally required to transpose EU law into UK law and (ii) has transposed certain EU legislation into UK law subject to various amendments and subject to the UK Financial Conduct Authority’s oversight rather than that of EU regulators. Taken together, this could result in divergence between the UK and EU regulatory frameworks. Outside the UK and EEA, the regulations to which we are subject relate primarily to registration and reporting obligations.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It is expected that additional laws and regulations will come into force in the UK, the EEA, the EU, and other countries in which we operate over the coming years. Regulation (EU) 2019/2033 on the prudential requirements for investment firms (“IFR”) and Directive (EU) 2019/2034 on the prudential supervision of investment firms (“IFD”) entered into force on December 25, 2019. Together the IFR and IFD introduced a new prudential regime for those of our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Further, as described above, the UK’s departure from the EU and the potential resulting divergence between the UK and EU regulatory frameworks may result in additional complexity and costs in complying with regulations across both the UK and EU. The UK introduced a new prudential regime for investment firms that are subject to MiFID II (as implemented in the UK), that entered into force on January 1, 2022. This new regime introduced (amongst other things) increased regulatory capital requirements, new remuneration requirements and increased reporting requirements. In addition, there may be future changes to the AIFMD and UCITS regimes and also further regulation adopted which may impact those parts of our business operating within the EU. For instance, key requirements under Directive (EU) 2019/1160 and Regulation (EU) 2019/1156 on the cross-border distribution of collective investment undertakings came into effect in EU member states from August 2, 2021. Among other things, this legislation introduced rules regarding the pre-marketing of funds, including additional reporting requirements.</w:t>
      </w:r>
    </w:p>
    <w:p>
      <w:pPr>
        <w:spacing w:after="0" w:line="187"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There have also been significant legislative developments affecting the private equity industry in Europe and there continues to be discussion regarding enhancing governmental scrutiny and/or increasing regulation of the private equity industry, which may have an adverse impact on the private equity industry in Europe (including by making it more difficult to raise capital from certain types of investors and otherwise imposing on private equity funds additional and costly regulatory compliance burdens), which could in turn adversely affect our business prospects, financial condition and results of operations.</w:t>
      </w:r>
    </w:p>
    <w:p>
      <w:pPr>
        <w:spacing w:after="0" w:line="194" w:lineRule="exact"/>
        <w:rPr>
          <w:sz w:val="20"/>
          <w:szCs w:val="20"/>
          <w:color w:val="auto"/>
        </w:rPr>
      </w:pPr>
    </w:p>
    <w:p>
      <w:pPr>
        <w:ind w:right="60" w:firstLine="648"/>
        <w:spacing w:after="0" w:line="291" w:lineRule="auto"/>
        <w:rPr>
          <w:sz w:val="20"/>
          <w:szCs w:val="20"/>
          <w:color w:val="auto"/>
        </w:rPr>
      </w:pPr>
      <w:r>
        <w:rPr>
          <w:rFonts w:ascii="Arial" w:cs="Arial" w:eastAsia="Arial" w:hAnsi="Arial"/>
          <w:sz w:val="18"/>
          <w:szCs w:val="18"/>
          <w:color w:val="auto"/>
        </w:rPr>
        <w:t>These laws and regulations may affect our costs and manner of conducting business in one or more markets, the risks of doing business, the assets that we manage or advise, and our ability to raise capital from clients. Any failure by us to comply with either existing or new laws or regulations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exit of the UK from the EU (Brexit) could adversely affect our business and our operations.</w:t>
      </w:r>
    </w:p>
    <w:p>
      <w:pPr>
        <w:spacing w:after="0" w:line="216"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The UK left the EU on January 31, 2020 and entered into a new trade and cooperation agreement with the EU on December 30, 2020 (the “Trade Agreement”). There is still, however, some degree of uncertainty as to the exact nature of the future relationship between the UK and the EU. Brexit has caused significant geo-political uncertainty and market volatility in the UK and elsewhere. The UK is no longer in the single EU market or subject to the global trade deals negotiated by the EU on behalf of its members, which could have a material adverse effect on our operations and the operations of the portfolio companies in which our funds invest. For example, a decline in trade could affect the attractiveness of the UK as a global investment center and, as a result, could make doing business in Europe more difficult.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Under the EU single market directives, mutual access rights to markets and market infrastructure exist across the EU and the mutual recognition of insolvency, bank recovery and resolution regimes applies. In addition, certain regulated entities licensed or authorized in one EEA jurisdiction may operate on a cross-border basis in other EEA countries in reliance on passporting rights and without the need for a separate license or authorization. With the expiration of the Brexit transition period on December 31, 2020, UK regulated entities lost the right to passport their services to EEA countries, and EEA entities lost the right to reciprocal passporting into the UK (subject to a transitional regime in the latter case). In response to this, as planned, we have engaged our affiliate entity, SGEAIL, which is based in the EU, to allow us to continue to engage in regulated activities within the EU. SGEAIL is authorized by the Central Bank of Ireland pursuant to AIFMD and UCITS and authorized to provide certain MiFID II services. We also have established offices in various EU jurisdictions to employ and supervise operations in such jurisdictions, including the establishment of branches in SGEAIL. While we believe that taking these steps will help to ensure that we are able to continue to conduct business in the UK and the EU after Brexit, there remains some uncertainty as to the full extent to which our business could be adversely affected. Further, the UK’s departure from the EU and the potential resulting divergence between the UK and EU regulatory frameworks may result in additional complexity and costs in complying with regulations across both the UK and EU. See “Business—Regulatory Environment—Foreign Regulation” for additional information about the potential effects of the loss of passporting privileges and our planned responses. The movement of capital, the right of establishment and the mobility of personnel may also be restricted. In addition, UK entities may no longer have access rights to market infrastructure across the EU and the recognition of insolvency, bank recovery and resolution regimes across the EU may no longer be mutual.</w:t>
      </w:r>
    </w:p>
    <w:p>
      <w:pPr>
        <w:spacing w:after="0" w:line="176"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Brexit has also caused exchange rate fluctuations. In particular the British pound has weakened significantly against both the U.S. dollar and the Euro. Further exchange rate volatility may occur. Unhedged currency fluctuations have the ability to adversely affect our funds and their underlying business investments.</w:t>
      </w:r>
    </w:p>
    <w:p>
      <w:pPr>
        <w:spacing w:after="0" w:line="186"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auto"/>
        </w:rPr>
        <w:t>Further, the UK’s determination as to which, if any, EU laws to repeal, retain, replace or replicate from the EU could exacerbate the uncertainty and result in divergent national laws and regulations. Changes to the regulatory regimes in the UK or the EU and its member states could materially affect our business prospects and opportunities and increase our costs, or require us to adhere to new regulations that may be burdensome for us. In addition, Brexit could potentially disrupt the tax jurisdictions in which we operate and affect the tax benefits or liabilities in these or other jurisdictions in a manner that is adverse to us and/or our funds. Any of the foregoing could materially and adversely affect our business, financial condition and results of operations.</w:t>
      </w:r>
    </w:p>
    <w:p>
      <w:pPr>
        <w:spacing w:after="0" w:line="178" w:lineRule="exact"/>
        <w:rPr>
          <w:sz w:val="20"/>
          <w:szCs w:val="20"/>
          <w:color w:val="auto"/>
        </w:rPr>
      </w:pPr>
    </w:p>
    <w:p>
      <w:pPr>
        <w:ind w:right="320"/>
        <w:spacing w:after="0" w:line="385" w:lineRule="auto"/>
        <w:rPr>
          <w:sz w:val="20"/>
          <w:szCs w:val="20"/>
          <w:color w:val="auto"/>
        </w:rPr>
      </w:pPr>
      <w:r>
        <w:rPr>
          <w:rFonts w:ascii="Arial" w:cs="Arial" w:eastAsia="Arial" w:hAnsi="Arial"/>
          <w:sz w:val="16"/>
          <w:szCs w:val="16"/>
          <w:b w:val="1"/>
          <w:bCs w:val="1"/>
          <w:i w:val="1"/>
          <w:iCs w:val="1"/>
          <w:color w:val="auto"/>
        </w:rPr>
        <w:t>We are subject to increasing scrutiny from institutional clients with respect to ESG costs of investments made by the StepStone Funds, which may constrain investment opportunities for our funds and adversely affect our ability to raise capital from such clients.</w:t>
      </w:r>
    </w:p>
    <w:p>
      <w:pPr>
        <w:spacing w:after="0" w:line="85" w:lineRule="exact"/>
        <w:rPr>
          <w:sz w:val="20"/>
          <w:szCs w:val="20"/>
          <w:color w:val="auto"/>
        </w:rPr>
      </w:pPr>
    </w:p>
    <w:p>
      <w:pPr>
        <w:ind w:right="20" w:firstLine="648"/>
        <w:spacing w:after="0" w:line="256" w:lineRule="auto"/>
        <w:rPr>
          <w:sz w:val="20"/>
          <w:szCs w:val="20"/>
          <w:color w:val="auto"/>
        </w:rPr>
      </w:pPr>
      <w:r>
        <w:rPr>
          <w:rFonts w:ascii="Arial" w:cs="Arial" w:eastAsia="Arial" w:hAnsi="Arial"/>
          <w:sz w:val="19"/>
          <w:szCs w:val="19"/>
          <w:color w:val="auto"/>
        </w:rPr>
        <w:t>In recent years, certain institutional clients have placed increasing importance on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clients have conditioned future capital commitments on the taking or refraining from taking of such actions. Clients’ increased focus and activism related to ESG and similar matters may constrain our investment opportunities. In addition, institutional clients may decide to not commit capital to future fundraises as a result of their assessment of our approach to and consideration of the ESG cost of investments made by us. To the extent our access to capital from such clients is impaired, we may not be able to maintain or increase the size of our funds or raise sufficient capital for new funds, which may adversely affect our revenues.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ESG matters have also been the subject of increased focus by regulators, including in the EU and the U.S. For example, in May 2018, the European Commission proposed legislative reforms relating in part to formalizing the duties and disclosure obligations of companies, asset managers and asset owners in relation to ESG factors. These and other proposals have resulted in the Non-Financial Disclosure Regulation, EU Taxonomy Regulation and the EU Sustainable Finance Disclosure Regulation. These legislative developments, which create a common classification system and disclosure obligations focusing on ESG issues, largely apply from 2021 onwards and require additional disclosures to clients with respect to ESG factors, which may increase our compliance obligations and expenses, and could lead clients to reduce their investment with us. Our EU based business, as well as any global product sales into the EU, is subject to these requirements. In the U.S., the SEC has created a Climate and ESG Task Force in its Division of Enforcement, which will focus on identifying any material gaps or misstatements in issuers’ disclosure of climate risks under existing rules. Separately, the SEC has identified ESG investing as an exam priority for investment advisers that offer ESG products and services. Further, in March 2022, the SEC issued proposed regulations governing climate-related disclosure. The UK Financial Conduct Authority is introducing new rules and guidance for asset managers to make mandatory disclosures at both the manager and product level.</w:t>
      </w:r>
    </w:p>
    <w:p>
      <w:pPr>
        <w:spacing w:after="0" w:line="176"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Additionally, a lack of harmonization globally in relation to ESG legal and regulatory reform leads to a risk of fragmentation in group level priorities as a result of the different pace of sustainability transition across global jurisdictions. This may create conflicts across our global business which could risk inhibiting our future implementation of, and compliance with, rapidly developing ESG standards and requirements. Failure to keep pace with sustainability transition could impact our competitiveness in the market and damage our reputation resulting in a material adverse effect on our business. In addition, our brand and reputation are also associated with our public commitments to various corporate ESG initiatives, including our goals for sustainability and inclusion and diversity. Any failure to achieve our disclosed commitments, could harm our reputation and adversely affect our client relationships or our recruitment and retention efforts. Moreover, positions we take or do not take on social issues may be unpopular with some of our employees or with our clients or potential clients, which may in the future impact our ability to attract or retain employees or clients. Given increased U.S. and European legal and regulatory focus on ESG matters, failure to comply with applicable legal and regulatory changes may attract increased regulatory scrutiny of our business, and could result in fines and/or other sanctions being levied against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Risks Related to Our Organizational Structure</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auto"/>
        </w:rPr>
        <w:t>We are a “controlled company” within the meaning of the Nasdaq Global Select Market listing standards and, as a result, qualify for, and rely on, exemptions from certain corporate governance requirements. You will not have the same protections afforded to stockholders of companies that are subject to such requirements.</w:t>
      </w:r>
    </w:p>
    <w:p>
      <w:pPr>
        <w:spacing w:after="0" w:line="186"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Holders of our Class B common stock continue to control a majority of the voting power of our outstanding common stock. So long as no Sunset (as defined below) has occurred and the Class B stockholders who are party to the Stockholders’ Agreement hold at least approximately 16.7% of all of the outstanding shares of the Company’s common stock, the Class B stockholders are expected to hold a majority of the Company’s outstanding voting power and thereby will control the outcome of matters submitted to a stockholder vote. As a result of the voting power held by those Class B stockholders who are party to the Stockholders’ Agreement, we qualify as a “controlled company” within the meaning of the corporate governance standards of the Nasdaq Global Select Market.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w:t>
      </w:r>
    </w:p>
    <w:p>
      <w:pPr>
        <w:spacing w:after="0" w:line="185" w:lineRule="exact"/>
        <w:rPr>
          <w:sz w:val="20"/>
          <w:szCs w:val="20"/>
          <w:color w:val="auto"/>
        </w:rPr>
      </w:pPr>
    </w:p>
    <w:p>
      <w:pPr>
        <w:jc w:val="both"/>
        <w:ind w:right="60" w:firstLine="648"/>
        <w:spacing w:after="0" w:line="282" w:lineRule="auto"/>
        <w:rPr>
          <w:sz w:val="20"/>
          <w:szCs w:val="20"/>
          <w:color w:val="auto"/>
        </w:rPr>
      </w:pPr>
      <w:r>
        <w:rPr>
          <w:rFonts w:ascii="Arial" w:cs="Arial" w:eastAsia="Arial" w:hAnsi="Arial"/>
          <w:sz w:val="18"/>
          <w:szCs w:val="18"/>
          <w:color w:val="auto"/>
        </w:rPr>
        <w:t>We rely on and intend to continue to rely on some or all of these exemptions. As a result, we do not have a majority of independent directors, our compensation committee does not consist entirely of independent directors and our directors will not be nominated or selected entirely by independent directors. Accordingly, you will not have the same protections afforded to stockholders of companies that are subject to all of the corporate governance requirements of the Nasdaq Global Select Market, until we are no longer a controlled company.</w:t>
      </w:r>
    </w:p>
    <w:p>
      <w:pPr>
        <w:spacing w:after="0" w:line="16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b w:val="1"/>
          <w:bCs w:val="1"/>
          <w:i w:val="1"/>
          <w:iCs w:val="1"/>
          <w:color w:val="auto"/>
        </w:rPr>
        <w:t>SSG depends on distributions from the Partnership to pay any dividends, if declared, taxes and other expenses, including payments under the Tax Receivable Agreements.</w:t>
      </w:r>
    </w:p>
    <w:p>
      <w:pPr>
        <w:spacing w:after="0" w:line="177"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SSG is a holding company and its only business is to act as the managing member of the General Partner, and its only material assets are Class A units and 100% of the interests in the General Partner. SSG does not have any independent means of generating revenue. We anticipate that the Partnership will continue to be treated as a partnership for U.S. federal income tax purposes and, as such, generally will not be subject to any entity-level U.S. federal income tax. Instead, taxable income will be allocated to the partners of the Partnership. Accordingly, SSG will be required to pay income taxes on its allocable share of any net taxable income of the Partnership.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In addition, the Partnership will reimburse SSG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To the extent that SSG needs funds, and the Partnership is restricted from making such distributions under applicable laws or regulations, or is otherwise unable to provide such funds, it could materially and adversely affect SSG’s ability to pay dividends and taxes and other expenses, including payments under the Tax Receivable Agreements, and affect our liquidity and financial condition.</w:t>
      </w:r>
    </w:p>
    <w:p>
      <w:pPr>
        <w:spacing w:after="0" w:line="37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b w:val="1"/>
          <w:bCs w:val="1"/>
          <w:i w:val="1"/>
          <w:iCs w:val="1"/>
          <w:color w:val="auto"/>
        </w:rPr>
        <w:t>The IRS might challenge the tax basis step-ups and other tax benefits we receive in connection with our IPO and the related transactions and in connection with additional acquisitions of Partnership units.</w:t>
      </w:r>
    </w:p>
    <w:p>
      <w:pPr>
        <w:spacing w:after="0" w:line="177"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Partnership units held directly by the partners of the Partnership other than SSG, including members of our senior leadership team, may in the future be exchanged for shares of our Class A common stock or, at our election, cash. Similar to our initial purchase of Partnership units, those exchanges may also result in increases in the tax basis of the assets of the Partnership that otherwise would not have been available. These increases in tax basis are expected to increase (for tax purposes) SSG’s depreciation and amortization and, together with other tax benefits, reduce the amount of tax that SSG would otherwise be required to pay, although it is possible that the IRS might challenge all or part of that tax basis increases or other tax benefits, and a court might sustain such a challenge. SSG’s ability to achieve benefits from any tax basis increases or other tax benefits will depend upon a number of factors, as discussed below, including the timing and amount of our future income.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80" w:firstLine="648"/>
        <w:spacing w:after="0" w:line="269" w:lineRule="auto"/>
        <w:rPr>
          <w:sz w:val="20"/>
          <w:szCs w:val="20"/>
          <w:color w:val="auto"/>
        </w:rPr>
      </w:pPr>
      <w:r>
        <w:rPr>
          <w:rFonts w:ascii="Arial" w:cs="Arial" w:eastAsia="Arial" w:hAnsi="Arial"/>
          <w:sz w:val="19"/>
          <w:szCs w:val="19"/>
          <w:color w:val="auto"/>
        </w:rPr>
        <w:t>We will not be reimbursed for any payments previously made under the Tax Receivable Agreements if the basis increases or other tax benefits described above are successfully challenged by the IRS or another taxing authority. As a result, in certain circumstances, payments could be made under the Tax Receivable Agreements in excess of our ultimate cash tax savings.</w:t>
      </w:r>
    </w:p>
    <w:p>
      <w:pPr>
        <w:spacing w:after="0" w:line="17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b w:val="1"/>
          <w:bCs w:val="1"/>
          <w:i w:val="1"/>
          <w:iCs w:val="1"/>
          <w:color w:val="auto"/>
        </w:rPr>
        <w:t>In certain circumstances, payments under each Tax Receivable Agreement may be accelerated and/or significantly exceed the actual tax benefits, if any, that SSG actually realizes.</w:t>
      </w:r>
    </w:p>
    <w:p>
      <w:pPr>
        <w:spacing w:after="0" w:line="17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Each Tax Receivable Agreement provides that if (i) SSG exercises its right to early termination of such Tax Receivable Agreement in whole (that is, with respect to all benefits due to all beneficiaries under such Tax Receivable Agreement) or in part (that is, with respect to some benefits due to all beneficiaries under such Tax Receivable Agreement), (ii) SSG experiences certain changes in control, (iii) such Tax Receivable Agreement is rejected in certain bankruptcy proceedings, (iv) SSG fails (subject to certain exceptions) to make a payment under such Tax Receivable Agreement within 180 days after the due date or (v) SSG materially breaches its obligations under such Tax Receivable Agreement, SSG will be obligated to make an early termination payment to holders of rights under such Tax Receivable Agreement equal to the present value of all payments that would be required to be paid by SSG under such Tax Receivable Agreement. The amount of such payments will be determined on the basis of certain assumptions in each Tax Receivable Agreement, including (i) the assumption that SSG would have enough taxable income in the future to fully utilize the tax benefit resulting from the tax assets that are the subject of such Tax Receivable Agreement, (ii) the assumption that any item of loss deduction or credit generated by a basis adjustment or imputed interest arising in a taxable year preceding the taxable year that includes an early termination will be used by SSG ratably from such taxable year through the earlier of (x) the scheduled expiration of such tax item or (y) 15 years; (iii) in the case of the Reorganization Tax Receivable Agreement, the assumption that any net operating loss (and similar items) inherited from certain pre-IPO institutional investors (the “Blocker Companies”), will be used by SSG ratably from the taxable year that includes an early termination through the earlier of (x) the scheduled expiration of such net operating loss (or similar item) or (y) 15 years (or longer, to the extent that SSG is prevented from fully utilizing such net operating loss (or similar item) under certain U.S. federal income tax rules); (iv) the assumption that any non-amortizable assets are deemed to be disposed of in a fully taxable transaction on the fifteenth anniversary of the earlier of the basis adjustment and the early termination date; (v) the assumption that U.S. federal, state and local tax rates will be the same as in effect on the early termination date, unless scheduled to change and, solely with respect to the Exchanges Tax Receivable Agreement; and (vi) the assumption that any units (other than those held by SSG)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SSG under such Tax Receivable Agreement at a rate equal to the lesser of (a) 6.5% and (b) the Secured Overnight Financing Rate, as reported by the Wall Street Journal (“SOFR”) plus 400 basis points.</w:t>
      </w:r>
    </w:p>
    <w:p>
      <w:pPr>
        <w:spacing w:after="0" w:line="175"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Moreover, as a result of an elective early termination, a change in control or SSG’s material breach of its obligations under either Tax Receivable Agreement, SSG could be required to make payments under such Tax Receivable Agreement that exceed its actual cash savings under such Tax Receivable Agreement. Thus, SSG’s obligations under each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such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firstLine="648"/>
        <w:spacing w:after="0" w:line="270" w:lineRule="auto"/>
        <w:rPr>
          <w:sz w:val="20"/>
          <w:szCs w:val="20"/>
          <w:color w:val="auto"/>
        </w:rPr>
      </w:pPr>
      <w:r>
        <w:rPr>
          <w:rFonts w:ascii="Arial" w:cs="Arial" w:eastAsia="Arial" w:hAnsi="Arial"/>
          <w:sz w:val="18"/>
          <w:szCs w:val="18"/>
          <w:color w:val="auto"/>
        </w:rPr>
        <w:t>Payments under each Tax Receivable Agreement will be based on the tax reporting positions that we will determine and the IRS or another tax authority may challenge all or part of the tax basis increases or the inheritance of tax attributes from the Blocker Companies, as well as other related tax positions we take, and a court could sustain such challenge. If any tax benefits that have given rise to payments under either Tax Receivable Agreement are subsequently disallowed, SSG would be entitled to reduce future amounts otherwise payable to a holder of rights under such Tax Receivable Agreement to the extent such holder has received excess payments. However, the required final and binding determination that a holder of rights under a Tax Receivable Agreement has received excess payments may not be made for a number of years following commencement of any challenge, and SSG will not be permitted to reduce its payments under a Tax Receivable Agreement until there has been a final and binding determination, by which time sufficient subsequent payments under the Tax Receivable Agreement may not be available to offset prior payments for disallowed benefits. SSG will not be reimbursed for any payments previously made under either Tax Receivable Agreement if the basis increases described above are successfully challenged by the IRS or another taxing authority. As a result, in certain circumstances, payments could be made under either Tax Receivable Agreement that are significantly in excess of the benefit that SSG actually realizes in respect of the increases in tax basis (and utilization of certain other tax benefits) and SSG may not be able to recoup those payments, which could adversely affect SSG’s financial condition and liquidity.</w:t>
      </w:r>
    </w:p>
    <w:p>
      <w:pPr>
        <w:spacing w:after="0" w:line="17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b w:val="1"/>
          <w:bCs w:val="1"/>
          <w:i w:val="1"/>
          <w:iCs w:val="1"/>
          <w:color w:val="auto"/>
        </w:rPr>
        <w:t>In certain circumstances, the Partnership will be required to make distributions to us and the existing partners of the Partnership, and the distributions that the Partnership will be required to make may be substantial.</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The Partnership is expected to continue to be treated as a partnership for U.S. federal income tax purposes and, as such, is not subject to U.S. federal income tax. Instead, taxable income will be allocated to partners, including SSG. Pursuant to the StepStone Limited Partnership Agreement, the Partnership will make tax distributions to its partners, including SSG, which generally will be pro rata based on the ownership of Partnership units, calculated using an assumed tax rate, to help each of the partners to pay taxes on that partner’s allocable share of the Partnership’s net taxable income. Under applicable tax rules, the Partnership is required to allocate net taxable income disproportionately to its partners in certain circumstances. Because tax distributions will be determined based on the partner who is allocated the largest amount of taxable income on a per unit basis and on an assumed tax rate that is the highest possible rate applicable to any partner, but will be made pro rata based on ownership of Partnership units, the Partnership will be required to make tax distributions that, in the aggregate, will likely exceed the amount of taxes that it would have paid if it were taxed on its net income at the assumed rate.</w:t>
      </w:r>
    </w:p>
    <w:p>
      <w:pPr>
        <w:spacing w:after="0" w:line="170"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Funds used by the Partnership to satisfy its tax distribution obligations will not be available for reinvestment in our business. Moreover, the tax distributions the Partnership will be required to make may be substantial and may significantly exceed (as a percentage of the Partnership’s income) the overall effective tax rate applicable to a similarly situated corporate taxpayer. In addition, because these payments will be calculated with reference to an assumed tax rate, and because of the disproportionate allocation of net taxable income, these payments likely will significantly exceed the actual tax liability for many of the existing partners of the Partnership.</w:t>
      </w:r>
    </w:p>
    <w:p>
      <w:pPr>
        <w:spacing w:after="0" w:line="165"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As a result of potential differences in the amount of net taxable income allocable to us and to the existing partners of the Partnership, as well as the use of an assumed tax rate in calculating the Partnership’s distribution obligations, we may receive distributions significantly in excess of our tax liabilities and obligations to make payments under the Tax Receivable Agreements. We may choose to manage these excess distributions through a number of different approaches, including through the payment of dividends to our Class A common stockholders or by applying them to other corporate purposes.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fund withholding tax upon certain exchanges of Class B units into shares of Class A common stock by non-U.S.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holders.</w:t>
      </w:r>
    </w:p>
    <w:p>
      <w:pPr>
        <w:spacing w:after="0" w:line="200" w:lineRule="exact"/>
        <w:rPr>
          <w:sz w:val="20"/>
          <w:szCs w:val="20"/>
          <w:color w:val="auto"/>
        </w:rPr>
      </w:pPr>
    </w:p>
    <w:p>
      <w:pPr>
        <w:ind w:right="180" w:firstLine="648"/>
        <w:spacing w:after="0" w:line="242" w:lineRule="auto"/>
        <w:rPr>
          <w:sz w:val="20"/>
          <w:szCs w:val="20"/>
          <w:color w:val="auto"/>
        </w:rPr>
      </w:pPr>
      <w:r>
        <w:rPr>
          <w:rFonts w:ascii="Arial" w:cs="Arial" w:eastAsia="Arial" w:hAnsi="Arial"/>
          <w:sz w:val="20"/>
          <w:szCs w:val="20"/>
          <w:color w:val="auto"/>
        </w:rPr>
        <w:t>In the event of a transfer by a non-U.S. transferor of an interest in a partnership that is engaged in a U.S. trade or business, the transferee generally must withhold tax in an amount equal to 10% of the amount realized (as determined for U.S. federal income tax purposes) by the transferor on such transfer absent an exception. Holders of Class B units may include non-U.S. holders. The partners holding Class B units in the Partnership generally will be entitled to exchange such Class B units for shares of Class A common stock on a one-for-one basis or, at our election, for cash. To the extent withholding is required and we elect to deliver shares of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have tax and other liabilities attributable to our pre-IPO investors as a result of certain reorganization transactions.</w:t>
      </w:r>
    </w:p>
    <w:p>
      <w:pPr>
        <w:spacing w:after="0" w:line="227" w:lineRule="exact"/>
        <w:rPr>
          <w:sz w:val="20"/>
          <w:szCs w:val="20"/>
          <w:color w:val="auto"/>
        </w:rPr>
      </w:pPr>
    </w:p>
    <w:p>
      <w:pPr>
        <w:ind w:right="40" w:firstLine="648"/>
        <w:spacing w:after="0" w:line="256" w:lineRule="auto"/>
        <w:rPr>
          <w:sz w:val="20"/>
          <w:szCs w:val="20"/>
          <w:color w:val="auto"/>
        </w:rPr>
      </w:pPr>
      <w:r>
        <w:rPr>
          <w:rFonts w:ascii="Arial" w:cs="Arial" w:eastAsia="Arial" w:hAnsi="Arial"/>
          <w:sz w:val="19"/>
          <w:szCs w:val="19"/>
          <w:color w:val="auto"/>
        </w:rPr>
        <w:t>Certain of our pre-IPO institutional investors held their interests in the Partnership through entities that were taxable as corporations for U.S. federal income tax purposes. Before the IPO, SSG formed a new, first-tier merger subsidiary with respect to each Blocker Company. Contemporaneously with the IPO, each merger subsidiary merged with and into the respective Blocker Company, with the Blocker Company surviving. Immediately thereafter, each Blocker Company merged with and into SSG, with SSG surviving. In the Blocker Mergers, the 100% owners of the Blocker Companies acquired an aggregate of 9,112,500 shares of newly issued Class A common stock and the Company acquired a corresponding amount of Partnership units. As the successor to these merged entities, SSG generally succeeded to and became responsible for any outstanding or historical tax or other liabilities of the merged entities, including any liabilities incurred as a result of the mergers described in the previous sentence. Any such liabilities for which SSG is responsible could have an adverse effect on our liquidity and financial condition.</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i w:val="1"/>
          <w:iCs w:val="1"/>
          <w:color w:val="auto"/>
        </w:rPr>
        <w:t>Pursuant to recently enacted regulations issued under Section 162(m) of the Code, SSG may not be permitted to deduct its distributive share of compensation expense to the extent that the compensation was paid by the Partnership to certain of SSG’s covered employees, potentially resulting in additional U.S. federal income tax liability for SSG and reducing cash available for distribution to SSG’s stockholders and/or for the payment of other expenses and obligations of SSG.</w:t>
      </w:r>
    </w:p>
    <w:p>
      <w:pPr>
        <w:spacing w:after="0" w:line="161"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officers for the taxable year (other than the PEO and PFO) required to be disclosed in the proxy statement, or (c) was a covered employee of the taxpayer (or any predecessor) for any preceding taxable year beginning after December 31, 2016. Pursuant to recently enacted regulations with respect to Section 162(m) of the Code issued by the IRS, SSG will not be permitted to deduct its distributive share of compensation expense allocated to it, to the extent that such distributive share plus the amount of any compensation paid directly by SSG exceeds $1,000,000 with respect to a covered employee, even if the Partnership, rather than SSG, pays the compensation to SSG’s covered employees. Accordingly, to the extent that SSG is disallowed a deduction for its distributive share of compensation expense under Section 162(m) of the Code, it may result in additional U.S. federal income tax liability for SSG and/or reduce cash available for distribution to SSG’s stockholders or for the payment of other expenses and obligations of SSG.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b w:val="1"/>
          <w:bCs w:val="1"/>
          <w:i w:val="1"/>
          <w:iCs w:val="1"/>
          <w:color w:val="auto"/>
        </w:rPr>
        <w:t>If StepStone Group Inc. were deemed an “investment company” under the Investment Company Act of 1940 as a result of its ownership of the Partnership or the General Partner, applicable restrictions could make it impractical for us to continue our business as contemplated and could have a material adverse effect on our business.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 issuer will generally be deemed to be an “investment company” for purposes of the Investment Company Act if:</w:t>
      </w:r>
    </w:p>
    <w:p>
      <w:pPr>
        <w:spacing w:after="0" w:line="216" w:lineRule="exact"/>
        <w:rPr>
          <w:sz w:val="20"/>
          <w:szCs w:val="20"/>
          <w:color w:val="auto"/>
        </w:rPr>
      </w:pPr>
    </w:p>
    <w:p>
      <w:pPr>
        <w:ind w:left="660" w:hanging="328"/>
        <w:spacing w:after="0" w:line="260"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it is or holds itself out as being engaged primarily, or proposes to engage primarily, in the business of investing, reinvesting or trading in securities; or</w:t>
      </w:r>
    </w:p>
    <w:p>
      <w:pPr>
        <w:spacing w:after="0" w:line="176"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77"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 xml:space="preserve">We believe that we are primarily engaged in the investment advisory service business, specifically that of providing customized investment solutions and advisory, data </w:t>
      </w:r>
      <w:r>
        <w:rPr>
          <w:rFonts w:ascii="Arial" w:cs="Arial" w:eastAsia="Arial" w:hAnsi="Arial"/>
          <w:sz w:val="18"/>
          <w:szCs w:val="18"/>
          <w:color w:val="231F20"/>
        </w:rPr>
        <w:t>and administrative</w:t>
      </w:r>
      <w:r>
        <w:rPr>
          <w:rFonts w:ascii="Arial" w:cs="Arial" w:eastAsia="Arial" w:hAnsi="Arial"/>
          <w:sz w:val="18"/>
          <w:szCs w:val="18"/>
          <w:color w:val="auto"/>
        </w:rPr>
        <w:t xml:space="preserve"> services to our clients and not in the business of investing, reinvesting or trading in securities. We also believe that the primary source of income from each of our businesses is properly characterized as income earned in exchange for the provision of services. We hold ourselves out as an asset management firm and do not propose to engage primarily in the business of investing, reinvesting or trading in securities. Accordingly, we do not believe that StepStone Group Inc., the General Partner or the Partnership is an “orthodox” investment company as defined in section 3(a)(1)(A) of the Investment Company Act and described in the first bullet point above. Further, a majority of the Partnership’s assets consist of direct and indirect ownership interests as the general partner or managing member of the StepStone Funds we sponsor. We believe these interests in the StepStone Funds are not investment securities. The Partnership also will hold minority interests in certain operating subsidiaries that are consolidated on the Partnership’s financial statements as “variable interest entities.” See “Management’s Discussion and Analysis of Financial Condition and Results of Operations— Organizational Structure—Ownership of Our Businesses” for additional information regarding our variable interest entities. The Partnership’s interests in these subsidiaries may be considered investment securities under section 3(a)(1)(C) of the Investment Company Act. However, the value of these subsidiaries is not large enough to cause the Partnership’s holdings in investment securities to exceed the 40% threshold under section 3(a)(1)(C). StepStone Group Inc.’s unconsolidated assets consist primarily of Class A units of the Partnership and 100% of the interests in the General Partner. StepStone Group Inc. is the sole managing member of the General Partner and, in such capacity, indirectly operates and controls all of the Partnership’s business and affairs. We do not believe StepStone Group Inc.’s managing member interest in the General Partner is an investment security. Therefore, we believe that less than 40% of StepStone Group Inc.’s total assets (exclusive of U.S. government securities and cash items) on an unconsolidated basis comprise assets that could be considered investment securities. Accordingly, we do not believe StepStone Group Inc. is an inadvertent investment company by virtue of the 40% test in section 3(a)(1)(C) of the Investment Company Act as described in the second bullet point above. In addition, we believe StepStone Group Inc. is not an investment company under section 3(b)(1) of the Investment Company Act because it is primarily engaged in a non-investment company business.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StepStone Group Inc. will not be deemed to be an investment company under the Investment Company Act. However, if anything were to happen that would cause StepStone Group Inc.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Partnership, the General Partner, us or our senior leadership team, or any combination thereof and materially and adversely affect our business, financial condition and results of operations.</w:t>
      </w:r>
    </w:p>
    <w:p>
      <w:pPr>
        <w:spacing w:after="0" w:line="190"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b w:val="1"/>
          <w:bCs w:val="1"/>
          <w:i w:val="1"/>
          <w:iCs w:val="1"/>
          <w:color w:val="auto"/>
        </w:rPr>
        <w:t>A change of control of our company, including the effect of a “Sunset,” could result in an assignment of our investment advisory agreements.</w:t>
      </w:r>
    </w:p>
    <w:p>
      <w:pPr>
        <w:spacing w:after="0" w:line="177" w:lineRule="exact"/>
        <w:rPr>
          <w:sz w:val="20"/>
          <w:szCs w:val="20"/>
          <w:color w:val="auto"/>
        </w:rPr>
      </w:pPr>
    </w:p>
    <w:p>
      <w:pPr>
        <w:ind w:firstLine="648"/>
        <w:spacing w:after="0" w:line="310" w:lineRule="auto"/>
        <w:rPr>
          <w:sz w:val="20"/>
          <w:szCs w:val="20"/>
          <w:color w:val="auto"/>
        </w:rPr>
      </w:pPr>
      <w:r>
        <w:rPr>
          <w:rFonts w:ascii="Arial" w:cs="Arial" w:eastAsia="Arial" w:hAnsi="Arial"/>
          <w:sz w:val="16"/>
          <w:szCs w:val="16"/>
          <w:color w:val="auto"/>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the Partnership undergoes a change of control. After a “Sunset” becomes effective, the Class B common stock will have one vote per share instead of five votes per share, and the Stockholders Agreement will expire, meaning that the Class B stockholders will no longer have the right to control the appointment of directors or to direct the vote on all matters that are submitted to our stockholders for a vote. If a third party acquired a sufficient number of shares to be able, alone or with others, to control the appointment of directors and other matters submitted to our stockholders for a vote, there could be deemed a change of control of the Partnership, and thus an assignment. If such an assignment occurs, we cannot be certain that the Partnership will be able to obtain the necessary consents from our funds and other clients, which could cause us to lose the management fees and performance fees we earn from such funds and other clients.</w:t>
      </w:r>
    </w:p>
    <w:p>
      <w:pPr>
        <w:spacing w:after="0" w:line="143"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b w:val="1"/>
          <w:bCs w:val="1"/>
          <w:i w:val="1"/>
          <w:iCs w:val="1"/>
          <w:color w:val="auto"/>
        </w:rPr>
        <w:t>Because members of our senior leadership team hold their economic interest through other entities, conflicts of interest may arise between them and the holders of our Class A common stock or with us.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Sunset Holders, who are members of our senior leadership team, beneficially owned</w:t>
      </w:r>
    </w:p>
    <w:p>
      <w:pPr>
        <w:spacing w:after="0" w:line="16"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approximately 30.5% of the outstanding Partnership units as of March 31, 2022. Because they hold their economic interest in the Partnership directly, the members of our senior leadership team may have interests that do not align with, or conflict with, those of the holders of Class A common stock or with us. For example, members of our senior leadership team will have different tax positions from Class A common stockholders, which could influence their decisions regarding whether and when to dispose of assets, whether and when to incur new or refinance existing indebtedness, and whether and when to terminate either Tax Receivable Agreement and accelerate the obligations thereunder. In addition, the structuring of future transactions and investments may take into consideration the partners’ tax considerations even where no similar benefit would accrue to us.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40"/>
        <w:spacing w:after="0" w:line="385" w:lineRule="auto"/>
        <w:rPr>
          <w:sz w:val="20"/>
          <w:szCs w:val="20"/>
          <w:color w:val="auto"/>
        </w:rPr>
      </w:pPr>
      <w:r>
        <w:rPr>
          <w:rFonts w:ascii="Arial" w:cs="Arial" w:eastAsia="Arial" w:hAnsi="Arial"/>
          <w:sz w:val="16"/>
          <w:szCs w:val="16"/>
          <w:b w:val="1"/>
          <w:bCs w:val="1"/>
          <w:i w:val="1"/>
          <w:iCs w:val="1"/>
          <w:color w:val="auto"/>
        </w:rPr>
        <w:t>We rely on our equity ownership, governance rights and other contractual arrangements to control certain of our consolidated subsidiaries that are not wholly-owned, which may provide us less effective operational control than wholly owning such subsidiaries.</w:t>
      </w:r>
    </w:p>
    <w:p>
      <w:pPr>
        <w:spacing w:after="0" w:line="8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Certain of our consolidated subsidiaries are not wholly-owned by us. To the extent these subsidiaries are not wholly-owned by us, substantially all of the other owners are current StepStone professionals working for the related businesses. See “Management’s Discussion and Analysis of Financial Condition and Results of Operations—Organizational Structure—Ownership of Our Businesses.” We have relied, and expect to continue to rely, on a combination of our equity ownership, governance rights and other contractual arrangements to control operations of these businesses. However, these arrangements may not be as effective in providing us with control over these operations as would wholly owning these subsidiaries. For example, the other owners of these subsidiaries typically have contractual rights to be significantly represented on the board of directors or other governing body of the relevant subsidiary as well as the right to participate in certain decisions affecting the subsidiary, and may assert interests that are in conflict with the interests of StepStone with regard to significant decisions affecting these subsidiaries. As a result, the arrangements we use to control the subsidiaries that are not wholly-owned may not fully protect our interests. If control over these subsidiaries and their operations is exerted less effectively by StepStone, our ability to conduct our business and our results of operations may be adversely affected.</w:t>
      </w:r>
    </w:p>
    <w:p>
      <w:pPr>
        <w:spacing w:after="0" w:line="170" w:lineRule="exact"/>
        <w:rPr>
          <w:sz w:val="20"/>
          <w:szCs w:val="20"/>
          <w:color w:val="auto"/>
        </w:rPr>
      </w:pPr>
    </w:p>
    <w:p>
      <w:pPr>
        <w:ind w:right="360"/>
        <w:spacing w:after="0" w:line="385" w:lineRule="auto"/>
        <w:rPr>
          <w:sz w:val="20"/>
          <w:szCs w:val="20"/>
          <w:color w:val="auto"/>
        </w:rPr>
      </w:pPr>
      <w:r>
        <w:rPr>
          <w:rFonts w:ascii="Arial" w:cs="Arial" w:eastAsia="Arial" w:hAnsi="Arial"/>
          <w:sz w:val="16"/>
          <w:szCs w:val="16"/>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Holders of our Class A common stock and Class B common stock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entitles its holder to five votes on all matters to be voted on by stockholders generally until a Sunset becomes effective. After a Sunset becomes effective, each share of our Class B common stock will entitle its holder to one vote. Certain of the holders of our Class B common stock have agreed to vote all of their shares in accordance with the instructions of the Class B Committee, and therefore will exercise control over all matters requiring the approval of our stockholders, including the election of our directors and the approval of significant corporate transactions.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174"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b w:val="1"/>
          <w:bCs w:val="1"/>
          <w:i w:val="1"/>
          <w:iCs w:val="1"/>
          <w:color w:val="auto"/>
        </w:rPr>
        <w:t>Distributions made by the Partnership to us may be substantial, and our ability to use the cash we receive in such distributions may be limited.</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Under the terms of the StepStone Limited Partnership Agreement, the Partnership is obligated to make pro rata tax distributions to us and other partners of the Partnership. We may receive distributions significantly in excess of our tax liabilities and our obligations to make payments under the Tax Receivable Agreements. Our board of directors will determine the appropriate uses for any excess cash so accumulated, which may include the payment of a cash dividend on the Class A common stock, payment of obligations under the Tax Receivable Agreements or the purchase of additional units in the Partnership. To the extent we do not take such actions and instead, for example, hold such cash balances, substantial cash may accumulate at SSG and not be invested in our business. In addition, Class B and Class C limited partners in the Partnership would benefit from any value attributable to such accumulated cash balances as a result of their ownership of Class A common stock following an exchange of their units for Class A common stock.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dual class structure of our common stock may adversely affect the trading market for our Class A common stock.</w:t>
      </w:r>
    </w:p>
    <w:p>
      <w:pPr>
        <w:spacing w:after="0" w:line="227"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Certain stock index providers, such as S&amp;P Dow Jones, exclude companies with multiple classes of shares of common stock from being added to certain stock indices.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80"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b w:val="1"/>
          <w:bCs w:val="1"/>
          <w:i w:val="1"/>
          <w:iCs w:val="1"/>
          <w:color w:val="auto"/>
        </w:rPr>
        <w:t>We may pay dividends to our stockholders, but our ability to do so is subject to the discretion of our board of directors and may be limited by our holding company structure and applicable provisions of Delaware law.</w:t>
      </w:r>
    </w:p>
    <w:p>
      <w:pPr>
        <w:spacing w:after="0" w:line="177" w:lineRule="exact"/>
        <w:rPr>
          <w:sz w:val="20"/>
          <w:szCs w:val="20"/>
          <w:color w:val="auto"/>
        </w:rPr>
      </w:pPr>
    </w:p>
    <w:p>
      <w:pPr>
        <w:ind w:right="40" w:firstLine="648"/>
        <w:spacing w:after="0" w:line="255" w:lineRule="auto"/>
        <w:rPr>
          <w:sz w:val="20"/>
          <w:szCs w:val="20"/>
          <w:color w:val="auto"/>
        </w:rPr>
      </w:pPr>
      <w:r>
        <w:rPr>
          <w:rFonts w:ascii="Arial" w:cs="Arial" w:eastAsia="Arial" w:hAnsi="Arial"/>
          <w:sz w:val="19"/>
          <w:szCs w:val="19"/>
          <w:color w:val="auto"/>
        </w:rPr>
        <w:t>We declared and paid our first quarterly cash dividend in the fourth quarter of fiscal 2021 and have paid a quarterly cash dividend consistently thereafter. We may in the future continue to pay cash dividends to our stockholders, but our board of directors may, in its discretion, decrease the level of dividends or discontinue the payment of dividends entirely. In addition, as a holding company, we will be dependent upon the ability of the Partnership to generate earnings and cash flows and distribute them to us so that we may pay our obligations and expenses (including our taxes and payments under the Tax Receivable Agreements) and pay dividends to our stockholders. Through our ownership of a 100% membership interest in the General Partner, we expect to cause the Partnership to make distributions to its partners, including us. However, the ability of the Partnership to make such distributions will be subject to its results of operations, cash requirements and financial condition. Our ability to declare and pay dividends to our stockholders is also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the payment of dividends on our Class A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 Risk Factors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may be volatile, which could cause the value of stockholders’ investments to decline.</w:t>
      </w:r>
    </w:p>
    <w:p>
      <w:pPr>
        <w:spacing w:after="0" w:line="262"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The price of our Class A common stock has been volatile, and we have a relatively limited trading history. During fiscal 2022, the closing price of our Class A common stock ranged from a low of $30.07, and to a high closing price of $54.99. The closing price of our Class A common stock has fallen to as low as $23.16 in fiscal 2023 to date. The price of our Class A common stock may continue to be volatile in the future. The factors described in this “Risk Factors” section may have a significant impact on the market price of our Class A common stock.</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Class A common stock.</w:t>
      </w:r>
    </w:p>
    <w:p>
      <w:pPr>
        <w:spacing w:after="0" w:line="186" w:lineRule="exact"/>
        <w:rPr>
          <w:sz w:val="20"/>
          <w:szCs w:val="20"/>
          <w:color w:val="auto"/>
        </w:rPr>
      </w:pPr>
    </w:p>
    <w:p>
      <w:pPr>
        <w:ind w:right="160" w:firstLine="648"/>
        <w:spacing w:after="0" w:line="385" w:lineRule="auto"/>
        <w:rPr>
          <w:sz w:val="20"/>
          <w:szCs w:val="20"/>
          <w:color w:val="auto"/>
        </w:rPr>
      </w:pPr>
      <w:r>
        <w:rPr>
          <w:rFonts w:ascii="Arial" w:cs="Arial" w:eastAsia="Arial" w:hAnsi="Arial"/>
          <w:sz w:val="16"/>
          <w:szCs w:val="16"/>
          <w:color w:val="auto"/>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180" w:hanging="328"/>
        <w:spacing w:after="0" w:line="260" w:lineRule="auto"/>
        <w:tabs>
          <w:tab w:leader="none" w:pos="648" w:val="left"/>
        </w:tabs>
        <w:numPr>
          <w:ilvl w:val="0"/>
          <w:numId w:val="36"/>
        </w:numPr>
        <w:rPr>
          <w:rFonts w:ascii="Arial" w:cs="Arial" w:eastAsia="Arial" w:hAnsi="Arial"/>
          <w:sz w:val="20"/>
          <w:szCs w:val="20"/>
          <w:color w:val="auto"/>
        </w:rPr>
      </w:pPr>
      <w:r>
        <w:rPr>
          <w:rFonts w:ascii="Arial" w:cs="Arial" w:eastAsia="Arial" w:hAnsi="Arial"/>
          <w:sz w:val="20"/>
          <w:szCs w:val="20"/>
          <w:color w:val="auto"/>
        </w:rPr>
        <w:t>provide that vacancies on our board of directors shall be filled only by a majority of directors then in office, even though less than a quorum, or by a sole remaining director;</w:t>
      </w:r>
    </w:p>
    <w:p>
      <w:pPr>
        <w:spacing w:after="0" w:line="176" w:lineRule="exact"/>
        <w:rPr>
          <w:rFonts w:ascii="Arial" w:cs="Arial" w:eastAsia="Arial" w:hAnsi="Arial"/>
          <w:sz w:val="20"/>
          <w:szCs w:val="20"/>
          <w:color w:val="auto"/>
        </w:rPr>
      </w:pPr>
    </w:p>
    <w:p>
      <w:pPr>
        <w:ind w:left="660" w:right="480" w:hanging="328"/>
        <w:spacing w:after="0" w:line="260" w:lineRule="auto"/>
        <w:tabs>
          <w:tab w:leader="none" w:pos="648" w:val="left"/>
        </w:tabs>
        <w:numPr>
          <w:ilvl w:val="0"/>
          <w:numId w:val="36"/>
        </w:numPr>
        <w:rPr>
          <w:rFonts w:ascii="Arial" w:cs="Arial" w:eastAsia="Arial" w:hAnsi="Arial"/>
          <w:sz w:val="20"/>
          <w:szCs w:val="20"/>
          <w:color w:val="auto"/>
        </w:rPr>
      </w:pPr>
      <w:r>
        <w:rPr>
          <w:rFonts w:ascii="Arial" w:cs="Arial" w:eastAsia="Arial" w:hAnsi="Arial"/>
          <w:sz w:val="20"/>
          <w:szCs w:val="20"/>
          <w:color w:val="auto"/>
        </w:rPr>
        <w:t>establish that our board of directors is divided into three classes, with each class serving three-year staggered terms, subject to a specified sunset;</w:t>
      </w:r>
    </w:p>
    <w:p>
      <w:pPr>
        <w:spacing w:after="0" w:line="176" w:lineRule="exact"/>
        <w:rPr>
          <w:rFonts w:ascii="Arial" w:cs="Arial" w:eastAsia="Arial" w:hAnsi="Arial"/>
          <w:sz w:val="20"/>
          <w:szCs w:val="20"/>
          <w:color w:val="auto"/>
        </w:rPr>
      </w:pPr>
    </w:p>
    <w:p>
      <w:pPr>
        <w:ind w:left="660" w:right="40" w:hanging="328"/>
        <w:spacing w:after="0" w:line="291"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our directors can be removed (i) for cause only as long as our board of directors is classified and (ii) following such time as our board of directors is no longer classified, with or without cause, but only upon the affirmative vote of holders of at least 66 2⁄3% of the voting power of the outstanding shares of our capital stock entitled to vote generally in the election of directors;</w:t>
      </w:r>
    </w:p>
    <w:p>
      <w:pPr>
        <w:spacing w:after="0" w:line="151" w:lineRule="exact"/>
        <w:rPr>
          <w:rFonts w:ascii="Arial" w:cs="Arial" w:eastAsia="Arial" w:hAnsi="Arial"/>
          <w:sz w:val="18"/>
          <w:szCs w:val="18"/>
          <w:color w:val="auto"/>
        </w:rPr>
      </w:pPr>
    </w:p>
    <w:p>
      <w:pPr>
        <w:ind w:left="660" w:right="540" w:hanging="328"/>
        <w:spacing w:after="0" w:line="316"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w:t>
      </w:r>
    </w:p>
    <w:p>
      <w:pPr>
        <w:spacing w:after="0" w:line="129" w:lineRule="exact"/>
        <w:rPr>
          <w:rFonts w:ascii="Arial" w:cs="Arial" w:eastAsia="Arial" w:hAnsi="Arial"/>
          <w:sz w:val="18"/>
          <w:szCs w:val="18"/>
          <w:color w:val="auto"/>
        </w:rPr>
      </w:pPr>
    </w:p>
    <w:p>
      <w:pPr>
        <w:ind w:left="660" w:right="700" w:hanging="328"/>
        <w:spacing w:after="0" w:line="260" w:lineRule="auto"/>
        <w:tabs>
          <w:tab w:leader="none" w:pos="648" w:val="left"/>
        </w:tabs>
        <w:numPr>
          <w:ilvl w:val="0"/>
          <w:numId w:val="36"/>
        </w:numPr>
        <w:rPr>
          <w:rFonts w:ascii="Arial" w:cs="Arial" w:eastAsia="Arial" w:hAnsi="Arial"/>
          <w:sz w:val="20"/>
          <w:szCs w:val="20"/>
          <w:color w:val="auto"/>
        </w:rPr>
      </w:pPr>
      <w:r>
        <w:rPr>
          <w:rFonts w:ascii="Arial" w:cs="Arial" w:eastAsia="Arial" w:hAnsi="Arial"/>
          <w:sz w:val="20"/>
          <w:szCs w:val="20"/>
          <w:color w:val="auto"/>
        </w:rPr>
        <w:t>specify that special meetings of our stockholders can be called only by our board of directors or the chairman of our board of directors;</w:t>
      </w:r>
    </w:p>
    <w:p>
      <w:pPr>
        <w:spacing w:after="0" w:line="176" w:lineRule="exact"/>
        <w:rPr>
          <w:rFonts w:ascii="Arial" w:cs="Arial" w:eastAsia="Arial" w:hAnsi="Arial"/>
          <w:sz w:val="20"/>
          <w:szCs w:val="20"/>
          <w:color w:val="auto"/>
        </w:rPr>
      </w:pPr>
    </w:p>
    <w:p>
      <w:pPr>
        <w:ind w:left="660" w:right="760" w:hanging="328"/>
        <w:spacing w:after="0" w:line="260" w:lineRule="auto"/>
        <w:tabs>
          <w:tab w:leader="none" w:pos="648" w:val="left"/>
        </w:tabs>
        <w:numPr>
          <w:ilvl w:val="0"/>
          <w:numId w:val="36"/>
        </w:numPr>
        <w:rPr>
          <w:rFonts w:ascii="Arial" w:cs="Arial" w:eastAsia="Arial" w:hAnsi="Arial"/>
          <w:sz w:val="20"/>
          <w:szCs w:val="20"/>
          <w:color w:val="auto"/>
        </w:rPr>
      </w:pPr>
      <w:r>
        <w:rPr>
          <w:rFonts w:ascii="Arial" w:cs="Arial" w:eastAsia="Arial" w:hAnsi="Arial"/>
          <w:sz w:val="20"/>
          <w:szCs w:val="20"/>
          <w:color w:val="auto"/>
        </w:rPr>
        <w:t>establish an advance notice procedure for stockholder proposals to be brought before an annual meeting, including proposed nominations of persons for election to our board of directors;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and</w:t>
      </w:r>
    </w:p>
    <w:p>
      <w:pPr>
        <w:spacing w:after="0" w:line="238" w:lineRule="exact"/>
        <w:rPr>
          <w:rFonts w:ascii="Arial" w:cs="Arial" w:eastAsia="Arial" w:hAnsi="Arial"/>
          <w:sz w:val="18"/>
          <w:szCs w:val="18"/>
          <w:color w:val="auto"/>
        </w:rPr>
      </w:pPr>
    </w:p>
    <w:p>
      <w:pPr>
        <w:ind w:left="660" w:right="80" w:hanging="328"/>
        <w:spacing w:after="0" w:line="260" w:lineRule="auto"/>
        <w:tabs>
          <w:tab w:leader="none" w:pos="648"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reflect two classes of common stock, with Class B common stock having five votes per share and Class A common stock having one vote per share, until a Sunset becomes effective, as discussed above.</w:t>
      </w:r>
    </w:p>
    <w:p>
      <w:pPr>
        <w:spacing w:after="0" w:line="177"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amended and restated certificate of incorporation not to be subject to Section 203. However, our amended and restated certificate of incorporation contains provisions that have the same effect as Section 203, except that they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or other employees.</w:t>
      </w:r>
    </w:p>
    <w:p>
      <w:pPr>
        <w:spacing w:after="0" w:line="161"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Our amended and restated certificate of incorporation provides that, unless we select or consent to the selection of an alternative forum, all complaints asserting any internal corporate claims, which include claims in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right of our company (i) that are based upon a violation of a duty by a current or former director, officer, employee or stockholder in such capacity or (ii) as to which the DGCL confers jurisdiction upon the Court of Chancery, shall, to the fullest extent permitted by law, be exclusively brought in the Court of Chancery of the State of Delaware or, if such court does not have subject matter jurisdiction thereof, another state court or a federal court located within the State of Delaware. Furthermore, unless we select or consent to the selection of an alternative forum, the federal district courts of the United States of America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22"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We lease our corporate headquarters office space located at 450 Lexington Avenue,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Floor, New York, NY 10017. We also lease space for our offices located in Baltimore, Beijing, Charlotte, Cleveland, Dublin, Frankfurt, Hong Kong, La Jolla, London, Luxembourg, Miami, Palo Alto, Perth, Rome, San Francisco, Santiago, São Paolo, Seoul, Sydney, Tokyo, Toronto and Zurich. We do not own any real property. We believe our existing facilities are adequate for our current needs and that suitable additional space will be available as and when needed.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2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In the normal course of business, we may be subject to various legal, judicial and administrative proceedings. See note 16 to our consolidated financial statements included in Part II, Item 8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Information for Common Stock</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Our Class A common stock is traded on the Nasdaq Global Select Market under the symbol “STEP.” There is no established public trading market for our Class B common stock.</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Holders of Record</w:t>
      </w:r>
    </w:p>
    <w:p>
      <w:pPr>
        <w:spacing w:after="0" w:line="222" w:lineRule="exact"/>
        <w:rPr>
          <w:sz w:val="20"/>
          <w:szCs w:val="20"/>
          <w:color w:val="auto"/>
        </w:rPr>
      </w:pPr>
    </w:p>
    <w:p>
      <w:pPr>
        <w:jc w:val="both"/>
        <w:ind w:right="160" w:firstLine="648"/>
        <w:spacing w:after="0" w:line="269" w:lineRule="auto"/>
        <w:rPr>
          <w:sz w:val="20"/>
          <w:szCs w:val="20"/>
          <w:color w:val="auto"/>
        </w:rPr>
      </w:pPr>
      <w:r>
        <w:rPr>
          <w:rFonts w:ascii="Arial" w:cs="Arial" w:eastAsia="Arial" w:hAnsi="Arial"/>
          <w:sz w:val="19"/>
          <w:szCs w:val="19"/>
          <w:color w:val="auto"/>
        </w:rPr>
        <w:t>As of May 25, 2022, there was one stockholder of record of our Class A common stock and there were 63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Dividend Policy</w:t>
      </w:r>
    </w:p>
    <w:p>
      <w:pPr>
        <w:spacing w:after="0" w:line="222"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The Board of Directors of the Company declared a quarterly cash dividend of $0.15 per share of Class A common stock, which was paid on March 15, 2022 to holders of record at the close of business on February 28, 2022. In addition, on May 26, 2022, we announced a dividend of $0.20 per share of Class A common stock, which is payable on June 30, 2022 to holders of record at the close of business on June 15, 2022. This dividend relates to earnings in respect of our fourth quarter of fiscal year 2022.</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The following table presents information regarding quarterly dividends on Class A common shares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Quarterly Fiscal Period</w:t>
            </w:r>
            <w:r>
              <w:rPr>
                <w:rFonts w:ascii="Arial" w:cs="Arial" w:eastAsia="Arial" w:hAnsi="Arial"/>
                <w:sz w:val="23"/>
                <w:szCs w:val="23"/>
                <w:b w:val="1"/>
                <w:bCs w:val="1"/>
                <w:color w:val="auto"/>
                <w:w w:val="91"/>
                <w:vertAlign w:val="superscript"/>
              </w:rPr>
              <w:t>1</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Dividend Payment Date</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Dividend Per Share of Class A Common Stock</w:t>
            </w:r>
          </w:p>
        </w:tc>
      </w:tr>
      <w:tr>
        <w:trPr>
          <w:trHeight w:val="223"/>
        </w:trPr>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First quarter</w:t>
            </w:r>
          </w:p>
        </w:tc>
        <w:tc>
          <w:tcPr>
            <w:tcW w:w="14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Second quarter</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80" w:type="dxa"/>
            <w:vAlign w:val="bottom"/>
          </w:tcPr>
          <w:p>
            <w:pPr>
              <w:jc w:val="right"/>
              <w:ind w:right="1590"/>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Third quarter</w:t>
            </w:r>
          </w:p>
        </w:tc>
        <w:tc>
          <w:tcPr>
            <w:tcW w:w="3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1"/>
              </w:rPr>
              <w:t>Fourth quarter</w:t>
            </w:r>
          </w:p>
        </w:tc>
        <w:tc>
          <w:tcPr>
            <w:tcW w:w="37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1"/>
              </w:rPr>
              <w:t>March 12, 2021</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Total dividends paid in FY2021</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First quarter</w:t>
            </w:r>
          </w:p>
        </w:tc>
        <w:tc>
          <w:tcPr>
            <w:tcW w:w="3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July 15, 2021</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Second quarter</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15, 2021</w:t>
            </w:r>
          </w:p>
        </w:tc>
        <w:tc>
          <w:tcPr>
            <w:tcW w:w="88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Third quarter</w:t>
            </w:r>
          </w:p>
        </w:tc>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December 15, 2021</w:t>
            </w:r>
          </w:p>
        </w:tc>
        <w:tc>
          <w:tcPr>
            <w:tcW w:w="88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1"/>
              </w:rPr>
              <w:t>Fourth quarter</w:t>
            </w:r>
          </w:p>
        </w:tc>
        <w:tc>
          <w:tcPr>
            <w:tcW w:w="37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1"/>
              </w:rPr>
              <w:t>March 15, 2022</w:t>
            </w:r>
          </w:p>
        </w:tc>
        <w:tc>
          <w:tcPr>
            <w:tcW w:w="8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Total dividends paid in FY2022</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jc w:val="both"/>
        <w:ind w:left="660" w:right="80" w:hanging="652"/>
        <w:spacing w:after="0" w:line="277"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Prior to the Company’s IPO on September 16, 2020, it was a wholly-owned subsidiary of the Partnership, had a single class of common stock and did not pay dividends. As such, there is no quarterly dividend information reported for the quarter ended September 30, 2020 or any periods prior. Dividends paid, as reported in this table, relate to the preceding quarterly period in which they were earned.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Subject to funds being legally available,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and non-pro rata payments to SSG to reimburse it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The declaration and payment of any other dividends by SSG will generally be at the sole discretion of its board of directors, which may change our dividend policy at any time. Holders of our Class B common stock will not be entitled to dividends distributed by SSG, but will share in the distributions made by the Partnership on a pro rata basis. In connection with deciding whether to pay any dividend to our Class A stockholders, the board of directors will take into account:</w:t>
      </w:r>
    </w:p>
    <w:p>
      <w:pPr>
        <w:spacing w:after="0" w:line="190"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general economic and business conditions;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financial condition and results of operations;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available cash and current and anticipated cash needs;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capital requirements;</w:t>
      </w:r>
    </w:p>
    <w:p>
      <w:pPr>
        <w:spacing w:after="0" w:line="215" w:lineRule="exact"/>
        <w:rPr>
          <w:rFonts w:ascii="Arial" w:cs="Arial" w:eastAsia="Arial" w:hAnsi="Arial"/>
          <w:sz w:val="20"/>
          <w:szCs w:val="20"/>
          <w:color w:val="auto"/>
        </w:rPr>
      </w:pPr>
    </w:p>
    <w:p>
      <w:pPr>
        <w:ind w:left="660" w:right="98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contractual, legal, tax and regulatory requirements, restrictions and implications on the payment of dividends by us to our stockholders or by our subsidiaries (including the Partnership) to us; and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such other factors as our board of directors may deem relevant.</w:t>
      </w:r>
    </w:p>
    <w:p>
      <w:pPr>
        <w:spacing w:after="0" w:line="216"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To the extent that the tax distributions SSG receives exceed the amounts SSG actually is required to pay taxes and other expenses and make payments under the Tax Receivable Agreements (because of the lower tax rate applicable to SSG than the assumed tax rate on which such distributions are based or because a disproportionate share of the taxable income of the Partnership may be required to be allocated to partners in the Partnership other than SSG), our board of directors, in its sole discretion, will make any determination from time to time with respect to the use of any such excess cash so accumulated, including potentially causing SSG to contribute such excess cash (net of any operating expenses) to the Partnership. Concurrently with any potential contribution of such excess cash, in order to maintain the intended economic relationship between the shares of Class A common stock and the Partnership units after accounting for such contribution, the Partnership and SSG, as applicable, may undertake ameliorative actions, which may include reverse splits, reclassifications, combinations, subdivisions or adjustments of outstanding Partnership units and corresponding shares of Class A common stock, as well as corresponding adjustments to the shares of Class B common stock. To the extent that SSG contributes such excess cash to the Partnership (and undertakes such ameliorative actions), a holder of Class A common stock would not receive distributions in cash and would instead benefit through an increase in the indirect ownership interest in the Partnership represented by such holder’s Class A common stock. To the extent that SSG does not distribute such excess cash as dividends on the Class A common stock or otherwise undertake such ameliorative actions and instead, for example, holds such cash balances, the limited partners of the Partnership (not including SSG) may benefit from any value attributable to such cash balances as a result of their ownership of Class A common stock following an exchange of their Class B units for shares of the Class A common stock, notwithstanding that such limited partners may previously have participated as holders of Class B units in distributions by the Partnership that resulted in such excess cash balances at SSG.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22"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Except as previously disclosed in Current Reports on Form 8-K, no unregistered sales of the Company’s equity securities were made during the year ended March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Use of Proceeds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Stock Performance Graph</w:t>
      </w:r>
    </w:p>
    <w:p>
      <w:pPr>
        <w:spacing w:after="0" w:line="22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61"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The following graph depicts the total cumulative stockholder return on our common stock from September 16, 2020, the first day of trading of our Class A common stock on Nasdaq, through March 31, 2022, relative to the performance of the S&amp;P 500 Index and the Dow Jones US Asset Managers Index. The graph assumes an initial investment of $100.00 at the close of trading on September 16, 2020 and that all dividends paid by companies included in these indices have been reinvested. The performance shown in the graph below is not intended to forecast or be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866140</wp:posOffset>
            </wp:positionV>
            <wp:extent cx="5254625" cy="32575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September 16, 2020</w:t>
            </w:r>
          </w:p>
        </w:tc>
        <w:tc>
          <w:tcPr>
            <w:tcW w:w="8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March 31, 2021</w:t>
            </w:r>
          </w:p>
        </w:tc>
        <w:tc>
          <w:tcPr>
            <w:tcW w:w="8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March 31, 2022</w:t>
            </w:r>
          </w:p>
        </w:tc>
      </w:tr>
      <w:tr>
        <w:trPr>
          <w:trHeight w:val="223"/>
        </w:trPr>
        <w:tc>
          <w:tcPr>
            <w:tcW w:w="3440" w:type="dxa"/>
            <w:vAlign w:val="bottom"/>
          </w:tcPr>
          <w:p>
            <w:pPr>
              <w:ind w:left="680"/>
              <w:spacing w:after="0"/>
              <w:rPr>
                <w:sz w:val="20"/>
                <w:szCs w:val="20"/>
                <w:color w:val="auto"/>
              </w:rPr>
            </w:pPr>
            <w:r>
              <w:rPr>
                <w:rFonts w:ascii="Arial" w:cs="Arial" w:eastAsia="Arial" w:hAnsi="Arial"/>
                <w:sz w:val="18"/>
                <w:szCs w:val="18"/>
                <w:color w:val="auto"/>
              </w:rPr>
              <w:t>StepStone Group Inc.</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141.36</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134.05</w:t>
            </w:r>
          </w:p>
        </w:tc>
      </w:tr>
      <w:tr>
        <w:trPr>
          <w:trHeight w:val="230"/>
        </w:trPr>
        <w:tc>
          <w:tcPr>
            <w:tcW w:w="3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S&amp;P 500 Index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136.80</w:t>
            </w:r>
          </w:p>
        </w:tc>
      </w:tr>
      <w:tr>
        <w:trPr>
          <w:trHeight w:val="230"/>
        </w:trPr>
        <w:tc>
          <w:tcPr>
            <w:tcW w:w="3440" w:type="dxa"/>
            <w:vAlign w:val="bottom"/>
          </w:tcPr>
          <w:p>
            <w:pPr>
              <w:ind w:left="680"/>
              <w:spacing w:after="0"/>
              <w:rPr>
                <w:sz w:val="20"/>
                <w:szCs w:val="20"/>
                <w:color w:val="auto"/>
              </w:rPr>
            </w:pPr>
            <w:r>
              <w:rPr>
                <w:rFonts w:ascii="Arial" w:cs="Arial" w:eastAsia="Arial" w:hAnsi="Arial"/>
                <w:sz w:val="18"/>
                <w:szCs w:val="18"/>
                <w:color w:val="auto"/>
                <w:w w:val="90"/>
              </w:rPr>
              <w:t>Dow Jones US Asset Managers Index</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140.46</w:t>
            </w:r>
          </w:p>
        </w:tc>
        <w:tc>
          <w:tcPr>
            <w:tcW w:w="1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153.12</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i w:val="1"/>
          <w:iCs w:val="1"/>
          <w:color w:val="auto"/>
        </w:rPr>
        <w:t>The following discussion and analysis should be read in conjunction with the consolidated financial statements and the related notes included in Part II, Item 8 of this annual report on Form 10-K. This annual report reflects the historical results of operations and financial position of StepStone Group LP, our predecessor for accounting purposes, prior to the Reorganization and IPO. In this annual report, references to “we,” “us,” “our,” “StepStone” and similar terms refer to SSG and its consolidated subsidiaries, including the Partnership, following the Reorganization and IPO and to the Partnership and its consolidated subsidiaries prior to the Reorganization and IPO. Unless otherwise indicated, references in this annual report to fiscal 2022, fiscal 2021 and fiscal 2020 are to our fiscal years ended March 31, 2022, 2021 and 2020,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 xml:space="preserve">We are a global private markets investment firm focused on providing customized investment solutions and advisory, data </w:t>
      </w:r>
      <w:r>
        <w:rPr>
          <w:rFonts w:ascii="Arial" w:cs="Arial" w:eastAsia="Arial" w:hAnsi="Arial"/>
          <w:sz w:val="18"/>
          <w:szCs w:val="18"/>
          <w:color w:val="231F20"/>
        </w:rPr>
        <w:t>and</w:t>
      </w:r>
      <w:r>
        <w:rPr>
          <w:rFonts w:ascii="Arial" w:cs="Arial" w:eastAsia="Arial" w:hAnsi="Arial"/>
          <w:sz w:val="18"/>
          <w:szCs w:val="18"/>
          <w:color w:val="auto"/>
        </w:rPr>
        <w:t xml:space="preserve"> </w:t>
      </w:r>
      <w:r>
        <w:rPr>
          <w:rFonts w:ascii="Arial" w:cs="Arial" w:eastAsia="Arial" w:hAnsi="Arial"/>
          <w:sz w:val="18"/>
          <w:szCs w:val="18"/>
          <w:color w:val="231F20"/>
        </w:rPr>
        <w:t xml:space="preserve">administrative </w:t>
      </w:r>
      <w:r>
        <w:rPr>
          <w:rFonts w:ascii="Arial" w:cs="Arial" w:eastAsia="Arial" w:hAnsi="Arial"/>
          <w:sz w:val="18"/>
          <w:szCs w:val="18"/>
          <w:color w:val="000000"/>
        </w:rPr>
        <w:t>services to our clients. Our clients include some of the world’s largest public and private defined benefit and defined</w:t>
      </w:r>
      <w:r>
        <w:rPr>
          <w:rFonts w:ascii="Arial" w:cs="Arial" w:eastAsia="Arial" w:hAnsi="Arial"/>
          <w:sz w:val="18"/>
          <w:szCs w:val="18"/>
          <w:color w:val="231F20"/>
        </w:rPr>
        <w:t xml:space="preserve"> </w:t>
      </w:r>
      <w:r>
        <w:rPr>
          <w:rFonts w:ascii="Arial" w:cs="Arial" w:eastAsia="Arial" w:hAnsi="Arial"/>
          <w:sz w:val="18"/>
          <w:szCs w:val="18"/>
          <w:color w:val="000000"/>
        </w:rPr>
        <w:t>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2022, we oversaw approximately $570 billion of private markets allocations, including $134 billion of assets under management (“AUM”) and $436 billion of assets under advisement (“AUA”).</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23 cities across 14 countries on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March 31, 2022, we had over 790 total employees, including approximately 280 investment professionals and more than 500 employees across our operating team and implementation teams dedicated to sourcing, executing, analyzing and monitoring private markets opportunities.</w:t>
      </w:r>
    </w:p>
    <w:p>
      <w:pPr>
        <w:spacing w:after="0" w:line="168"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60" w:hanging="328"/>
        <w:spacing w:after="0" w:line="246"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i w:val="1"/>
          <w:iCs w:val="1"/>
          <w:color w:val="auto"/>
        </w:rPr>
        <w:t xml:space="preserve">Separately managed accounts (“SMAs”). </w:t>
      </w:r>
      <w:r>
        <w:rPr>
          <w:rFonts w:ascii="Arial" w:cs="Arial" w:eastAsia="Arial" w:hAnsi="Arial"/>
          <w:sz w:val="20"/>
          <w:szCs w:val="20"/>
          <w:color w:val="auto"/>
        </w:rPr>
        <w:t>Owned by one client and managed according to their specific preferences, SMAs integrate</w:t>
      </w:r>
      <w:r>
        <w:rPr>
          <w:rFonts w:ascii="Arial" w:cs="Arial" w:eastAsia="Arial" w:hAnsi="Arial"/>
          <w:sz w:val="20"/>
          <w:szCs w:val="20"/>
          <w:i w:val="1"/>
          <w:iCs w:val="1"/>
          <w:color w:val="auto"/>
        </w:rPr>
        <w:t xml:space="preserve"> </w:t>
      </w:r>
      <w:r>
        <w:rPr>
          <w:rFonts w:ascii="Arial" w:cs="Arial" w:eastAsia="Arial" w:hAnsi="Arial"/>
          <w:sz w:val="20"/>
          <w:szCs w:val="20"/>
          <w:color w:val="auto"/>
        </w:rPr>
        <w:t>a combination of primaries, secondaries and co-investments across one or more asset classes. SMAs are meant to address clients’ specific portfolio objectives with respect to return, risk tolerance, diversification and liquidity. SMAs, including directly managed assets, comprised $79 billion of our AUM as of March 31, 2022.</w:t>
      </w:r>
    </w:p>
    <w:p>
      <w:pPr>
        <w:spacing w:after="0" w:line="191" w:lineRule="exact"/>
        <w:rPr>
          <w:rFonts w:ascii="Arial" w:cs="Arial" w:eastAsia="Arial" w:hAnsi="Arial"/>
          <w:sz w:val="20"/>
          <w:szCs w:val="20"/>
          <w:color w:val="auto"/>
        </w:rPr>
      </w:pPr>
    </w:p>
    <w:p>
      <w:pPr>
        <w:ind w:left="660" w:right="180" w:hanging="328"/>
        <w:spacing w:after="0" w:line="31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Focused commingled funds. </w:t>
      </w:r>
      <w:r>
        <w:rPr>
          <w:rFonts w:ascii="Arial" w:cs="Arial" w:eastAsia="Arial" w:hAnsi="Arial"/>
          <w:sz w:val="18"/>
          <w:szCs w:val="18"/>
          <w:color w:val="auto"/>
        </w:rPr>
        <w:t>Owned by multiple clients, our focused commingled funds deploy capital in specific asset classes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investment strategies. Focused commingled funds comprised $44 billion of our AUM as of March 31, 2022.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40" w:hanging="328"/>
        <w:spacing w:after="0" w:line="243"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i w:val="1"/>
          <w:iCs w:val="1"/>
          <w:color w:val="auto"/>
        </w:rPr>
        <w:t xml:space="preserve">Advisory, data and administrative services. </w:t>
      </w:r>
      <w:r>
        <w:rPr>
          <w:rFonts w:ascii="Arial" w:cs="Arial" w:eastAsia="Arial" w:hAnsi="Arial"/>
          <w:sz w:val="20"/>
          <w:szCs w:val="20"/>
          <w:color w:val="auto"/>
        </w:rPr>
        <w:t>These services include one or more of the following for our clients: (i) recurring support</w:t>
      </w:r>
      <w:r>
        <w:rPr>
          <w:rFonts w:ascii="Arial" w:cs="Arial" w:eastAsia="Arial" w:hAnsi="Arial"/>
          <w:sz w:val="20"/>
          <w:szCs w:val="20"/>
          <w:i w:val="1"/>
          <w:iCs w:val="1"/>
          <w:color w:val="auto"/>
        </w:rPr>
        <w:t xml:space="preserve"> </w:t>
      </w:r>
      <w:r>
        <w:rPr>
          <w:rFonts w:ascii="Arial" w:cs="Arial" w:eastAsia="Arial" w:hAnsi="Arial"/>
          <w:sz w:val="20"/>
          <w:szCs w:val="20"/>
          <w:color w:val="auto"/>
        </w:rPr>
        <w:t>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SPI and our other proprietary tools; and (vi) administrative services to unaffiliated investment advisors. Advisory relationships comprised $436 billion of our AUA and $12 billion of our AUM as of March 31, 2022.</w:t>
      </w:r>
    </w:p>
    <w:p>
      <w:pPr>
        <w:spacing w:after="0" w:line="192" w:lineRule="exact"/>
        <w:rPr>
          <w:rFonts w:ascii="Arial" w:cs="Arial" w:eastAsia="Arial" w:hAnsi="Arial"/>
          <w:sz w:val="20"/>
          <w:szCs w:val="20"/>
          <w:color w:val="auto"/>
        </w:rPr>
      </w:pPr>
    </w:p>
    <w:p>
      <w:pPr>
        <w:ind w:left="660" w:right="300" w:hanging="328"/>
        <w:spacing w:after="0" w:line="244" w:lineRule="auto"/>
        <w:tabs>
          <w:tab w:leader="none" w:pos="648" w:val="left"/>
        </w:tabs>
        <w:numPr>
          <w:ilvl w:val="0"/>
          <w:numId w:val="40"/>
        </w:numPr>
        <w:rPr>
          <w:rFonts w:ascii="Arial" w:cs="Arial" w:eastAsia="Arial" w:hAnsi="Arial"/>
          <w:sz w:val="20"/>
          <w:szCs w:val="20"/>
          <w:color w:val="231F20"/>
        </w:rPr>
      </w:pPr>
      <w:r>
        <w:rPr>
          <w:rFonts w:ascii="Arial" w:cs="Arial" w:eastAsia="Arial" w:hAnsi="Arial"/>
          <w:sz w:val="20"/>
          <w:szCs w:val="20"/>
          <w:i w:val="1"/>
          <w:iCs w:val="1"/>
          <w:color w:val="auto"/>
        </w:rPr>
        <w:t xml:space="preserve">Portfolio analytics and reporting. </w:t>
      </w:r>
      <w:r>
        <w:rPr>
          <w:rFonts w:ascii="Arial" w:cs="Arial" w:eastAsia="Arial" w:hAnsi="Arial"/>
          <w:sz w:val="20"/>
          <w:szCs w:val="20"/>
          <w:color w:val="auto"/>
        </w:rPr>
        <w:t>We provide clients with tailored reporting packages, including customized performance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benchmarks as well as associated compliance, administrative and tax capabilities. Mandates for portfolio analytics and reporting services typically include licensed access to our proprietary performance monitoring software, Omni. </w:t>
      </w:r>
      <w:r>
        <w:rPr>
          <w:rFonts w:ascii="Arial" w:cs="Arial" w:eastAsia="Arial" w:hAnsi="Arial"/>
          <w:sz w:val="20"/>
          <w:szCs w:val="20"/>
          <w:color w:val="231F20"/>
        </w:rPr>
        <w:t>Omni tracked detailed</w:t>
      </w:r>
      <w:r>
        <w:rPr>
          <w:rFonts w:ascii="Arial" w:cs="Arial" w:eastAsia="Arial" w:hAnsi="Arial"/>
          <w:sz w:val="20"/>
          <w:szCs w:val="20"/>
          <w:color w:val="auto"/>
        </w:rPr>
        <w:t xml:space="preserve"> </w:t>
      </w:r>
      <w:r>
        <w:rPr>
          <w:rFonts w:ascii="Arial" w:cs="Arial" w:eastAsia="Arial" w:hAnsi="Arial"/>
          <w:sz w:val="20"/>
          <w:szCs w:val="20"/>
          <w:color w:val="231F20"/>
        </w:rPr>
        <w:t xml:space="preserve">information on over </w:t>
      </w:r>
      <w:r>
        <w:rPr>
          <w:rFonts w:ascii="Arial" w:cs="Arial" w:eastAsia="Arial" w:hAnsi="Arial"/>
          <w:sz w:val="20"/>
          <w:szCs w:val="20"/>
          <w:color w:val="000000"/>
        </w:rPr>
        <w:t>$805 billion of client commitments as of March 31, 2022, inclusive of our combined AUM/AUA, previously</w:t>
      </w:r>
      <w:r>
        <w:rPr>
          <w:rFonts w:ascii="Arial" w:cs="Arial" w:eastAsia="Arial" w:hAnsi="Arial"/>
          <w:sz w:val="20"/>
          <w:szCs w:val="20"/>
          <w:color w:val="231F20"/>
        </w:rPr>
        <w:t xml:space="preserve"> </w:t>
      </w:r>
      <w:r>
        <w:rPr>
          <w:rFonts w:ascii="Arial" w:cs="Arial" w:eastAsia="Arial" w:hAnsi="Arial"/>
          <w:sz w:val="20"/>
          <w:szCs w:val="20"/>
          <w:color w:val="000000"/>
        </w:rPr>
        <w:t>exited investments and investments of former clients.</w:t>
      </w:r>
    </w:p>
    <w:p>
      <w:pPr>
        <w:spacing w:after="0" w:line="19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factors:</w:t>
      </w:r>
    </w:p>
    <w:p>
      <w:pPr>
        <w:spacing w:after="0" w:line="200" w:lineRule="exact"/>
        <w:rPr>
          <w:sz w:val="20"/>
          <w:szCs w:val="20"/>
          <w:color w:val="auto"/>
        </w:rPr>
      </w:pPr>
    </w:p>
    <w:p>
      <w:pPr>
        <w:ind w:left="660" w:hanging="328"/>
        <w:spacing w:after="0" w:line="243"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i w:val="1"/>
          <w:iCs w:val="1"/>
          <w:color w:val="auto"/>
        </w:rPr>
        <w:t xml:space="preserve">The extent to which clients favor private markets investments. </w:t>
      </w:r>
      <w:r>
        <w:rPr>
          <w:rFonts w:ascii="Arial" w:cs="Arial" w:eastAsia="Arial" w:hAnsi="Arial"/>
          <w:sz w:val="20"/>
          <w:szCs w:val="20"/>
          <w:color w:val="auto"/>
        </w:rPr>
        <w:t>Our ability to attract new capital is partially dependent on clients’</w:t>
      </w:r>
      <w:r>
        <w:rPr>
          <w:rFonts w:ascii="Arial" w:cs="Arial" w:eastAsia="Arial" w:hAnsi="Arial"/>
          <w:sz w:val="20"/>
          <w:szCs w:val="20"/>
          <w:i w:val="1"/>
          <w:iCs w:val="1"/>
          <w:color w:val="auto"/>
        </w:rPr>
        <w:t xml:space="preserve"> </w:t>
      </w:r>
      <w:r>
        <w:rPr>
          <w:rFonts w:ascii="Arial" w:cs="Arial" w:eastAsia="Arial" w:hAnsi="Arial"/>
          <w:sz w:val="20"/>
          <w:szCs w:val="20"/>
          <w:color w:val="auto"/>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95"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generate strong, stable returns. </w:t>
      </w:r>
      <w:r>
        <w:rPr>
          <w:rFonts w:ascii="Arial" w:cs="Arial" w:eastAsia="Arial" w:hAnsi="Arial"/>
          <w:sz w:val="18"/>
          <w:szCs w:val="18"/>
          <w:color w:val="auto"/>
        </w:rPr>
        <w:t>Our ability to raise and retain capital is partially dependent on the investment returns</w:t>
      </w:r>
      <w:r>
        <w:rPr>
          <w:rFonts w:ascii="Arial" w:cs="Arial" w:eastAsia="Arial" w:hAnsi="Arial"/>
          <w:sz w:val="18"/>
          <w:szCs w:val="18"/>
          <w:i w:val="1"/>
          <w:iCs w:val="1"/>
          <w:color w:val="auto"/>
        </w:rPr>
        <w:t xml:space="preserve"> </w:t>
      </w:r>
      <w:r>
        <w:rPr>
          <w:rFonts w:ascii="Arial" w:cs="Arial" w:eastAsia="Arial" w:hAnsi="Arial"/>
          <w:sz w:val="18"/>
          <w:szCs w:val="18"/>
          <w:color w:val="auto"/>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80" w:hanging="328"/>
        <w:spacing w:after="0" w:line="278" w:lineRule="auto"/>
        <w:tabs>
          <w:tab w:leader="none" w:pos="648"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Our ability to maintain our data advantage relative to competitors. </w:t>
      </w:r>
      <w:r>
        <w:rPr>
          <w:rFonts w:ascii="Arial" w:cs="Arial" w:eastAsia="Arial" w:hAnsi="Arial"/>
          <w:sz w:val="18"/>
          <w:szCs w:val="18"/>
          <w:color w:val="auto"/>
        </w:rPr>
        <w:t>Our proprietary data and technology platforms, analytical tools</w:t>
      </w:r>
      <w:r>
        <w:rPr>
          <w:rFonts w:ascii="Arial" w:cs="Arial" w:eastAsia="Arial" w:hAnsi="Arial"/>
          <w:sz w:val="18"/>
          <w:szCs w:val="18"/>
          <w:i w:val="1"/>
          <w:iCs w:val="1"/>
          <w:color w:val="auto"/>
        </w:rPr>
        <w:t xml:space="preserve"> </w:t>
      </w:r>
      <w:r>
        <w:rPr>
          <w:rFonts w:ascii="Arial" w:cs="Arial" w:eastAsia="Arial" w:hAnsi="Arial"/>
          <w:sz w:val="18"/>
          <w:szCs w:val="18"/>
          <w:color w:val="auto"/>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64" w:lineRule="exact"/>
        <w:rPr>
          <w:rFonts w:ascii="Arial" w:cs="Arial" w:eastAsia="Arial" w:hAnsi="Arial"/>
          <w:sz w:val="18"/>
          <w:szCs w:val="18"/>
          <w:i w:val="1"/>
          <w:iCs w:val="1"/>
          <w:color w:val="auto"/>
        </w:rPr>
      </w:pPr>
    </w:p>
    <w:p>
      <w:pPr>
        <w:ind w:left="660" w:right="40" w:hanging="328"/>
        <w:spacing w:after="0" w:line="243"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 xml:space="preserve">Our ability to source investments with attractive risk-adjusted returns. </w:t>
      </w:r>
      <w:r>
        <w:rPr>
          <w:rFonts w:ascii="Arial" w:cs="Arial" w:eastAsia="Arial" w:hAnsi="Arial"/>
          <w:sz w:val="20"/>
          <w:szCs w:val="20"/>
          <w:color w:val="auto"/>
        </w:rPr>
        <w:t>The continued growth in our revenues is dependent on our</w:t>
      </w:r>
      <w:r>
        <w:rPr>
          <w:rFonts w:ascii="Arial" w:cs="Arial" w:eastAsia="Arial" w:hAnsi="Arial"/>
          <w:sz w:val="20"/>
          <w:szCs w:val="20"/>
          <w:i w:val="1"/>
          <w:iCs w:val="1"/>
          <w:color w:val="auto"/>
        </w:rPr>
        <w:t xml:space="preserve"> </w:t>
      </w:r>
      <w:r>
        <w:rPr>
          <w:rFonts w:ascii="Arial" w:cs="Arial" w:eastAsia="Arial" w:hAnsi="Arial"/>
          <w:sz w:val="20"/>
          <w:szCs w:val="20"/>
          <w:color w:val="auto"/>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92" w:lineRule="exact"/>
        <w:rPr>
          <w:rFonts w:ascii="Arial" w:cs="Arial" w:eastAsia="Arial" w:hAnsi="Arial"/>
          <w:sz w:val="20"/>
          <w:szCs w:val="20"/>
          <w:color w:val="auto"/>
        </w:rPr>
      </w:pPr>
    </w:p>
    <w:p>
      <w:pPr>
        <w:ind w:left="660" w:right="60" w:hanging="328"/>
        <w:spacing w:after="0" w:line="244"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 xml:space="preserve">Increased competition and clients’ desire to work with fewer managers. </w:t>
      </w:r>
      <w:r>
        <w:rPr>
          <w:rFonts w:ascii="Arial" w:cs="Arial" w:eastAsia="Arial" w:hAnsi="Arial"/>
          <w:sz w:val="20"/>
          <w:szCs w:val="20"/>
          <w:color w:val="auto"/>
        </w:rPr>
        <w:t>There has been an increasing desire on the part of larger</w:t>
      </w:r>
      <w:r>
        <w:rPr>
          <w:rFonts w:ascii="Arial" w:cs="Arial" w:eastAsia="Arial" w:hAnsi="Arial"/>
          <w:sz w:val="20"/>
          <w:szCs w:val="20"/>
          <w:i w:val="1"/>
          <w:iCs w:val="1"/>
          <w:color w:val="auto"/>
        </w:rPr>
        <w:t xml:space="preserve"> </w:t>
      </w:r>
      <w:r>
        <w:rPr>
          <w:rFonts w:ascii="Arial" w:cs="Arial" w:eastAsia="Arial" w:hAnsi="Arial"/>
          <w:sz w:val="20"/>
          <w:szCs w:val="20"/>
          <w:color w:val="auto"/>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Current Events</w:t>
      </w:r>
    </w:p>
    <w:p>
      <w:pPr>
        <w:spacing w:after="0" w:line="222"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In 2021, economic conditions improved from the prior year since the onset of the COVID-19 pandemic as vaccination rates increased and lockdowns eased. Most financial markets experienced strong returns during 2021, despite the ongoing pandemic, which caused severe disruptions in the global financial markets and economies. Efforts to reopen the global economy in 2021 contributed to robust economic activity that supported the global recovery. However, the emergence of new variants has and may continue to contribute to setbacks or slowing of recovery efforts.</w:t>
      </w:r>
    </w:p>
    <w:p>
      <w:pPr>
        <w:spacing w:after="0" w:line="194"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Leading into 2022, factors including inflation, higher interest rates, the ongoing Russia-Ukraine conflict and the impact of COVID-19 variants on economic growth led to increased volatility in the financial markets. As expected, the U.S. Federal Reserve raised its short-term lending rate by 25 basis points in March 2022 and an additional 50 basis points in May 2022, with further increases expected through the rest of the year.</w:t>
      </w:r>
    </w:p>
    <w:p>
      <w:pPr>
        <w:spacing w:after="0" w:line="191"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We are continuing to closely monitor developments related to COVID-19, inflation, rising interest rates and the Russia-Ukraine conflict, and to assess the impact on financial markets and on our business. Our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It is currently not possible to predict the ultimate effects of these events on the financial markets, overall economy and our consolidated financial statements. See “Risk Factors—Risks Related to Our Industry—The COVID-19 pandemic has severely disrupted the global financial markets and business climate and may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Recent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 and Initial Public Offering</w:t>
      </w:r>
    </w:p>
    <w:p>
      <w:pPr>
        <w:spacing w:after="0" w:line="222"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color w:val="auto"/>
        </w:rPr>
        <w:t>On September 18, 2020, we completed an IPO pursuant to which we issued 20,125,000 shares of Class A common stock at a price of $18.00 per share. We received net proceeds from the offering of $337.8 million, net of underwriting discounts of $24.5 million and before offering costs of $9.7 million that were incurred by the Partnership. We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In connection with the IPO, we completed certain transactions as part of the Reorganization to, among other things, provide for Class A common stock and Class B common stock; appoint SSG as the sole managing member of StepStone Group Holdings LLC, the General Partner; complete a series of merger transactions such that certain blocker entities in which certain pre-IPO institutional investors held their interests in the Partnership merged with and into SSG, with SSG surviving, resulting in the pre-IPO institutional investors acquiring 9,112,500 shares of newly issued Class A common stock of SSG; and classify the Partnership’s interests acquired by SSG as Class A units and reclassify the Partnership’s interests held by the continuing partners as Class B units. See “Organizational Structure” below.</w:t>
      </w:r>
    </w:p>
    <w:p>
      <w:pPr>
        <w:spacing w:after="0" w:line="165" w:lineRule="exact"/>
        <w:rPr>
          <w:sz w:val="20"/>
          <w:szCs w:val="20"/>
          <w:color w:val="auto"/>
        </w:rPr>
      </w:pPr>
    </w:p>
    <w:p>
      <w:pPr>
        <w:ind w:right="860" w:firstLine="648"/>
        <w:spacing w:after="0" w:line="260" w:lineRule="auto"/>
        <w:rPr>
          <w:sz w:val="20"/>
          <w:szCs w:val="20"/>
          <w:color w:val="auto"/>
        </w:rPr>
      </w:pPr>
      <w:r>
        <w:rPr>
          <w:rFonts w:ascii="Arial" w:cs="Arial" w:eastAsia="Arial" w:hAnsi="Arial"/>
          <w:sz w:val="20"/>
          <w:szCs w:val="20"/>
          <w:color w:val="auto"/>
        </w:rPr>
        <w:t>See note 1 to our consolidated financial statements included elsewhere in this annual report for more information about the Reorganization and IPO.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Greenspring Acquisition</w:t>
      </w:r>
    </w:p>
    <w:p>
      <w:pPr>
        <w:spacing w:after="0" w:line="222"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On September 20, 2021, we completed the acquisition of 100% of Greenspring in exchange for (i) cash consideration of approximately $185 million, net of an agreed upon adjustment based upon Greenspring’s net working capital balance at the closing date, (ii) 12,686,756 shares of Class A common stock and (iii) 3,071,519 newly issued Class C units of the Partnership. The transaction agreement also included an earn-out of up to $75 million that is payable in 2025 subject to the achievement of certain management fee revenue targets for calendar year 2024. The acquisition of Greenspring, a venture capital platform, is expected to expand our continued growth of our private markets capabilities across asset classes, geographies and sectors. The results of Greenspring’s operations have been included in the consolidated financial statements effective September 20, 2021.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22" w:lineRule="exact"/>
        <w:rPr>
          <w:sz w:val="20"/>
          <w:szCs w:val="20"/>
          <w:color w:val="auto"/>
        </w:rPr>
      </w:pPr>
    </w:p>
    <w:p>
      <w:pPr>
        <w:ind w:right="320" w:firstLine="648"/>
        <w:spacing w:after="0" w:line="246" w:lineRule="auto"/>
        <w:rPr>
          <w:sz w:val="20"/>
          <w:szCs w:val="20"/>
          <w:color w:val="auto"/>
        </w:rPr>
      </w:pPr>
      <w:r>
        <w:rPr>
          <w:rFonts w:ascii="Arial" w:cs="Arial" w:eastAsia="Arial" w:hAnsi="Arial"/>
          <w:sz w:val="20"/>
          <w:szCs w:val="20"/>
          <w:color w:val="auto"/>
        </w:rPr>
        <w:t>In September 2021, we entered into a credit agreement with various lenders (the “Credit Agreement”) in connection with the Greenspring acquisition. The Credit Agreement was arranged by JPMorgan Chase Bank, N.A., as administrative agent, and provides for a $225.0 million multicurrency revolving credit facility (the “Revolver”) with a five year maturity. As of March 31, 2022, there was $62.9 million outstanding on the Revolver, net of debt issuance costs.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and a corresponding number of Class A units of the Partnership were issued to us. We did not receive any proceeds from the sale of shares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80" w:firstLine="648"/>
        <w:spacing w:after="0" w:line="243" w:lineRule="auto"/>
        <w:rPr>
          <w:sz w:val="20"/>
          <w:szCs w:val="20"/>
          <w:color w:val="auto"/>
        </w:rPr>
      </w:pPr>
      <w:r>
        <w:rPr>
          <w:rFonts w:ascii="Arial" w:cs="Arial" w:eastAsia="Arial" w:hAnsi="Arial"/>
          <w:sz w:val="20"/>
          <w:szCs w:val="20"/>
          <w:color w:val="auto"/>
        </w:rPr>
        <w:t>In June 2021, we issued 1,898,438 shares of Class A common stock to certain limited partners of the Partnership in exchange for 1,898,438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us.</w:t>
      </w:r>
    </w:p>
    <w:p>
      <w:pPr>
        <w:spacing w:after="0" w:line="196" w:lineRule="exact"/>
        <w:rPr>
          <w:sz w:val="20"/>
          <w:szCs w:val="20"/>
          <w:color w:val="auto"/>
        </w:rPr>
      </w:pPr>
    </w:p>
    <w:p>
      <w:pPr>
        <w:ind w:right="120" w:firstLine="648"/>
        <w:spacing w:after="0" w:line="321" w:lineRule="auto"/>
        <w:rPr>
          <w:sz w:val="20"/>
          <w:szCs w:val="20"/>
          <w:color w:val="auto"/>
        </w:rPr>
      </w:pPr>
      <w:r>
        <w:rPr>
          <w:rFonts w:ascii="Arial" w:cs="Arial" w:eastAsia="Arial" w:hAnsi="Arial"/>
          <w:sz w:val="16"/>
          <w:szCs w:val="16"/>
          <w:color w:val="auto"/>
        </w:rPr>
        <w:t>In September 2021, we issued 12,686,756 shares of Class A common stock and 3,071,519 Class C units of the Partnership as partial consideration for the Greenspring acquisition. In connection with the transaction, we amended the limited partnership agreement to create a new Class C limited partnership interest and admit the new limited partners that received Class C units as consideration for the Greenspring acquisition. The Class C limited partners of the Partnership became parties to the Exchanges Tax Receivable Agreement to allow for the exchange of Class C units to shares of Class A common stock of the Company on a one for one basis, subject to certain restrictions.</w:t>
      </w:r>
    </w:p>
    <w:p>
      <w:pPr>
        <w:spacing w:after="0" w:line="133" w:lineRule="exact"/>
        <w:rPr>
          <w:sz w:val="20"/>
          <w:szCs w:val="20"/>
          <w:color w:val="auto"/>
        </w:rPr>
      </w:pPr>
    </w:p>
    <w:p>
      <w:pPr>
        <w:ind w:right="160" w:firstLine="648"/>
        <w:spacing w:after="0" w:line="263" w:lineRule="auto"/>
        <w:rPr>
          <w:sz w:val="20"/>
          <w:szCs w:val="20"/>
          <w:color w:val="auto"/>
        </w:rPr>
      </w:pPr>
      <w:r>
        <w:rPr>
          <w:rFonts w:ascii="Arial" w:cs="Arial" w:eastAsia="Arial" w:hAnsi="Arial"/>
          <w:sz w:val="19"/>
          <w:szCs w:val="19"/>
          <w:color w:val="auto"/>
        </w:rPr>
        <w:t>In September 2021, we issued 2,087,281 shares of Class A common stock to certain limited partners of the Partnership in exchange for 2,087,281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7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9"/>
          <w:szCs w:val="19"/>
          <w:color w:val="auto"/>
        </w:rPr>
        <w:t>In November 2021, we conducted an underwritten public offering of 4,500,000 shares of Class A common stock sold by selling stockholders at a public offering price of $51.83 per share. In connection with the offering, we issued 3,958,204 shares of Class A common stock to certain selling stockholders in exchange for 3,958,204 Class B units. A corresponding number of shares of Class B common stock were automatically redeemed at par value and canceled in connection with such exchange and a corresponding number of Class A units of the Partnership were issued to us. We also issued 142,695 shares of Class A common stock to certain selling stockholders in exchange for 142,695 Class C units and a corresponding number of Class A units of the Partnership were issued to us. We did not receive any proceeds from the sale of shares by the selling stockholders.</w:t>
      </w:r>
    </w:p>
    <w:p>
      <w:pPr>
        <w:spacing w:after="0" w:line="185" w:lineRule="exact"/>
        <w:rPr>
          <w:sz w:val="20"/>
          <w:szCs w:val="20"/>
          <w:color w:val="auto"/>
        </w:rPr>
      </w:pPr>
    </w:p>
    <w:p>
      <w:pPr>
        <w:ind w:right="60" w:firstLine="648"/>
        <w:spacing w:after="0" w:line="263" w:lineRule="auto"/>
        <w:rPr>
          <w:sz w:val="20"/>
          <w:szCs w:val="20"/>
          <w:color w:val="auto"/>
        </w:rPr>
      </w:pPr>
      <w:r>
        <w:rPr>
          <w:rFonts w:ascii="Arial" w:cs="Arial" w:eastAsia="Arial" w:hAnsi="Arial"/>
          <w:sz w:val="19"/>
          <w:szCs w:val="19"/>
          <w:color w:val="auto"/>
        </w:rPr>
        <w:t>In December 2021, we issued 935,235 shares of Class A common stock to certain limited partners of the Partnership in exchange for 935,235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76"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In March 2022, we issued 350,000 shares of Class A common stock to a limited partner of the Partnership in exchange for 350,000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Organizational Structure</w:t>
      </w:r>
    </w:p>
    <w:p>
      <w:pPr>
        <w:spacing w:after="0" w:line="222" w:lineRule="exact"/>
        <w:rPr>
          <w:sz w:val="20"/>
          <w:szCs w:val="20"/>
          <w:color w:val="auto"/>
        </w:rPr>
      </w:pPr>
    </w:p>
    <w:p>
      <w:pPr>
        <w:ind w:right="100" w:firstLine="648"/>
        <w:spacing w:after="0" w:line="278" w:lineRule="auto"/>
        <w:rPr>
          <w:sz w:val="20"/>
          <w:szCs w:val="20"/>
          <w:color w:val="auto"/>
        </w:rPr>
      </w:pPr>
      <w:r>
        <w:rPr>
          <w:rFonts w:ascii="Arial" w:cs="Arial" w:eastAsia="Arial" w:hAnsi="Arial"/>
          <w:sz w:val="18"/>
          <w:szCs w:val="18"/>
          <w:color w:val="auto"/>
        </w:rPr>
        <w:t>In connection with the Reorganization and IPO, SSG became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and Class C units held by partners of the Partnership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diagram below illustrates our organizational structure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147320</wp:posOffset>
            </wp:positionV>
            <wp:extent cx="5863590" cy="2940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6359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sum to total due to rounding.</w:t>
      </w:r>
    </w:p>
    <w:p>
      <w:pPr>
        <w:spacing w:after="0" w:line="225"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partners of the Partnership other than StepStone Group Inc. are: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General Partner, which holds a 100% general partner interest and no economic interests;</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2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certain members of management and employees who own Class B2 units;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certain employee owners who own Class C units.</w:t>
      </w:r>
    </w:p>
    <w:p>
      <w:pPr>
        <w:spacing w:after="0" w:line="9" w:lineRule="exact"/>
        <w:rPr>
          <w:rFonts w:ascii="Arial" w:cs="Arial" w:eastAsia="Arial" w:hAnsi="Arial"/>
          <w:sz w:val="18"/>
          <w:szCs w:val="18"/>
          <w:color w:val="auto"/>
        </w:rPr>
      </w:pPr>
    </w:p>
    <w:p>
      <w:pPr>
        <w:ind w:left="660" w:right="40" w:hanging="652"/>
        <w:spacing w:after="0" w:line="250"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40" w:hanging="652"/>
        <w:spacing w:after="0" w:line="255"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255" w:lineRule="auto"/>
        <w:rPr>
          <w:sz w:val="20"/>
          <w:szCs w:val="20"/>
          <w:color w:val="auto"/>
        </w:rPr>
      </w:pPr>
      <w:r>
        <w:rPr>
          <w:rFonts w:ascii="Arial" w:cs="Arial" w:eastAsia="Arial" w:hAnsi="Arial"/>
          <w:sz w:val="19"/>
          <w:szCs w:val="19"/>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March 31, 2022 the Sunset Holders collectively maintained direct or indirect beneficial ownership of approximately 31.3% of the Class A common stock (determined assuming all outstanding Class B units have been exchanged for Class A common stock) and approximately 55.9% of the aggregate voting power of our outstanding Class A common stock and Class B common stock.</w:t>
      </w:r>
    </w:p>
    <w:p>
      <w:pPr>
        <w:spacing w:after="0" w:line="184"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Ownership of Our Businesses</w:t>
      </w:r>
    </w:p>
    <w:p>
      <w:pPr>
        <w:spacing w:after="0" w:line="222"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Certain of our consolidated subsidiaries are not wholly-owned by us. To the extent these subsidiaries are not wholly-owned, substantially all of the other owners are current StepStone professionals working for the related businesses. We believe this ownership structure has benefited us by aligning our interests with the interests of our employees. We use, and expect to continue to use, a combination of our equity ownership, governance rights and other contractual arrangements to control operations of these businesses. SSG consolidates all entities that it controls due to a majority voting interest or because it is the primary beneficiary of a variable interest entity. See note 4 to our consolidated financial statements included elsewhere in this annual report for information on variable interest entities. The diagram below summarizes the ownership structure of the Partnership’s consolidated operations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117475</wp:posOffset>
            </wp:positionV>
            <wp:extent cx="5863590" cy="3042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359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operate as one business, a fully-integrated private markets solutions provider. Our chief operating decision maker, which consisted of our co-chief executive officers together, through December 31, 2021, and consists of the chief executive officer beginning January 1, 2022, utilizes a consolidated approach to assess performance and allocate resources. As such, we operate in one business segment.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Key Financial Measures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Our key financial measures are discussed below. Additional information regarding our significant accounting policies can be found in note 2 to our consolidated financial statements included in Part II, Item 8 of this annual report.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 xml:space="preserve">Management and advisory fees, net, consist of fees received from managing SMAs and focused commingled funds, advisory, data </w:t>
      </w:r>
      <w:r>
        <w:rPr>
          <w:rFonts w:ascii="Arial" w:cs="Arial" w:eastAsia="Arial" w:hAnsi="Arial"/>
          <w:sz w:val="20"/>
          <w:szCs w:val="20"/>
          <w:color w:val="231F20"/>
        </w:rPr>
        <w:t xml:space="preserve">and administrative </w:t>
      </w:r>
      <w:r>
        <w:rPr>
          <w:rFonts w:ascii="Arial" w:cs="Arial" w:eastAsia="Arial" w:hAnsi="Arial"/>
          <w:sz w:val="20"/>
          <w:szCs w:val="20"/>
          <w:color w:val="000000"/>
        </w:rPr>
        <w:t>services, and portfolio analytics and reporting.</w:t>
      </w:r>
    </w:p>
    <w:p>
      <w:pPr>
        <w:spacing w:after="0" w:line="177" w:lineRule="exact"/>
        <w:rPr>
          <w:sz w:val="20"/>
          <w:szCs w:val="20"/>
          <w:color w:val="auto"/>
        </w:rPr>
      </w:pPr>
    </w:p>
    <w:p>
      <w:pPr>
        <w:ind w:left="660" w:right="320" w:hanging="328"/>
        <w:spacing w:after="0" w:line="328" w:lineRule="auto"/>
        <w:tabs>
          <w:tab w:leader="none" w:pos="655" w:val="left"/>
        </w:tabs>
        <w:numPr>
          <w:ilvl w:val="0"/>
          <w:numId w:val="44"/>
        </w:numPr>
        <w:rPr>
          <w:rFonts w:ascii="Arial" w:cs="Arial" w:eastAsia="Arial" w:hAnsi="Arial"/>
          <w:sz w:val="15"/>
          <w:szCs w:val="15"/>
          <w:color w:val="auto"/>
        </w:rPr>
      </w:pPr>
      <w:r>
        <w:rPr>
          <w:rFonts w:ascii="Arial" w:cs="Arial" w:eastAsia="Arial" w:hAnsi="Arial"/>
          <w:sz w:val="16"/>
          <w:szCs w:val="16"/>
          <w:color w:val="auto"/>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0.39% and 0.40% of average FEAUM in fiscal 2021 and 2022, respectively.</w:t>
      </w:r>
    </w:p>
    <w:p>
      <w:pPr>
        <w:spacing w:after="0" w:line="128" w:lineRule="exact"/>
        <w:rPr>
          <w:rFonts w:ascii="Arial" w:cs="Arial" w:eastAsia="Arial" w:hAnsi="Arial"/>
          <w:sz w:val="15"/>
          <w:szCs w:val="15"/>
          <w:color w:val="auto"/>
        </w:rPr>
      </w:pPr>
    </w:p>
    <w:p>
      <w:pPr>
        <w:ind w:left="660" w:hanging="328"/>
        <w:spacing w:after="0" w:line="278"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0.90% and 0.85% of average FEAUM in fiscal 2021 and 2022, respectively, and primarily reflected the timing of new funds and shifts in asset class mix.</w:t>
      </w:r>
    </w:p>
    <w:p>
      <w:pPr>
        <w:spacing w:after="0" w:line="164" w:lineRule="exact"/>
        <w:rPr>
          <w:rFonts w:ascii="Arial" w:cs="Arial" w:eastAsia="Arial" w:hAnsi="Arial"/>
          <w:sz w:val="18"/>
          <w:szCs w:val="18"/>
          <w:color w:val="auto"/>
        </w:rPr>
      </w:pPr>
    </w:p>
    <w:p>
      <w:pPr>
        <w:ind w:left="660" w:right="280" w:hanging="328"/>
        <w:spacing w:after="0" w:line="260" w:lineRule="auto"/>
        <w:tabs>
          <w:tab w:leader="none" w:pos="648"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weighted-average management fee rate across SMAs and focused commingled funds was approximately 0.52% and 0.52% of average FEAUM in fiscal 2021 and 2022, respectively.</w:t>
      </w:r>
    </w:p>
    <w:p>
      <w:pPr>
        <w:spacing w:after="0" w:line="176" w:lineRule="exact"/>
        <w:rPr>
          <w:rFonts w:ascii="Arial" w:cs="Arial" w:eastAsia="Arial" w:hAnsi="Arial"/>
          <w:sz w:val="20"/>
          <w:szCs w:val="20"/>
          <w:color w:val="auto"/>
        </w:rPr>
      </w:pPr>
    </w:p>
    <w:p>
      <w:pPr>
        <w:ind w:left="660" w:right="140" w:hanging="328"/>
        <w:spacing w:after="0" w:line="260"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9"/>
          <w:szCs w:val="19"/>
          <w:color w:val="auto"/>
        </w:rPr>
        <w:t>Fee revenues from advisory, SPAR, SPI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80" w:lineRule="exact"/>
        <w:rPr>
          <w:rFonts w:ascii="Arial" w:cs="Arial" w:eastAsia="Arial" w:hAnsi="Arial"/>
          <w:sz w:val="17"/>
          <w:szCs w:val="17"/>
          <w:color w:val="auto"/>
        </w:rPr>
      </w:pPr>
    </w:p>
    <w:p>
      <w:pPr>
        <w:ind w:left="660" w:right="20" w:hanging="328"/>
        <w:spacing w:after="0" w:line="246" w:lineRule="auto"/>
        <w:tabs>
          <w:tab w:leader="none" w:pos="648" w:val="left"/>
        </w:tabs>
        <w:numPr>
          <w:ilvl w:val="0"/>
          <w:numId w:val="44"/>
        </w:numPr>
        <w:rPr>
          <w:rFonts w:ascii="Arial" w:cs="Arial" w:eastAsia="Arial" w:hAnsi="Arial"/>
          <w:sz w:val="20"/>
          <w:szCs w:val="20"/>
          <w:color w:val="auto"/>
        </w:rPr>
      </w:pPr>
      <w:r>
        <w:rPr>
          <w:rFonts w:ascii="Arial" w:cs="Arial" w:eastAsia="Arial" w:hAnsi="Arial"/>
          <w:sz w:val="20"/>
          <w:szCs w:val="20"/>
          <w:color w:val="auto"/>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right="60" w:firstLine="648"/>
        <w:spacing w:after="0" w:line="256" w:lineRule="auto"/>
        <w:rPr>
          <w:sz w:val="20"/>
          <w:szCs w:val="20"/>
          <w:color w:val="auto"/>
        </w:rPr>
      </w:pPr>
      <w:r>
        <w:rPr>
          <w:rFonts w:ascii="Arial" w:cs="Arial" w:eastAsia="Arial" w:hAnsi="Arial"/>
          <w:sz w:val="19"/>
          <w:szCs w:val="19"/>
          <w:color w:val="auto"/>
        </w:rPr>
        <w:t>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In connection with the Greenspring acquisition, we did not acquire any direct economic interests in the carried interest allocations of certain legacy Greenspring funds. As a result, carried interest allocations in respect of such legacy Greenspring funds have been reflected as legacy Greenspring carried interest allocations in the consolidated statements of income, with a corresponding amount reflected as legacy Greenspring performance fee-related compensation as these amounts are payable to certain employees. As of March 31, 2022, we had over $55 billion of performance fee-eligible capital (excluding certain legacy Greenspring funds) across approximately 155 programs.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we</w:t>
      </w:r>
      <w:r>
        <w:rPr>
          <w:rFonts w:ascii="Arial" w:cs="Arial" w:eastAsia="Arial" w:hAnsi="Arial"/>
          <w:sz w:val="19"/>
          <w:szCs w:val="19"/>
          <w:i w:val="1"/>
          <w:iCs w:val="1"/>
          <w:color w:val="auto"/>
        </w:rPr>
        <w:t xml:space="preserve"> </w:t>
      </w:r>
      <w:r>
        <w:rPr>
          <w:rFonts w:ascii="Arial" w:cs="Arial" w:eastAsia="Arial" w:hAnsi="Arial"/>
          <w:sz w:val="19"/>
          <w:szCs w:val="19"/>
          <w:color w:val="auto"/>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93"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to us from limited partners in the StepStone Funds in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20"/>
          <w:szCs w:val="20"/>
          <w:i w:val="1"/>
          <w:iCs w:val="1"/>
          <w:color w:val="auto"/>
        </w:rPr>
        <w:t>Revenue from Contracts</w:t>
      </w:r>
      <w:r>
        <w:rPr>
          <w:rFonts w:ascii="Arial" w:cs="Arial" w:eastAsia="Arial" w:hAnsi="Arial"/>
          <w:sz w:val="20"/>
          <w:szCs w:val="20"/>
          <w:color w:val="auto"/>
        </w:rPr>
        <w:t xml:space="preserve"> </w:t>
      </w:r>
      <w:r>
        <w:rPr>
          <w:rFonts w:ascii="Arial" w:cs="Arial" w:eastAsia="Arial" w:hAnsi="Arial"/>
          <w:sz w:val="20"/>
          <w:szCs w:val="20"/>
          <w:i w:val="1"/>
          <w:iCs w:val="1"/>
          <w:color w:val="auto"/>
        </w:rPr>
        <w:t>with Customers</w:t>
      </w:r>
      <w:r>
        <w:rPr>
          <w:rFonts w:ascii="Arial" w:cs="Arial" w:eastAsia="Arial" w:hAnsi="Arial"/>
          <w:sz w:val="20"/>
          <w:szCs w:val="20"/>
          <w:color w:val="auto"/>
        </w:rPr>
        <w:t>.</w:t>
      </w:r>
    </w:p>
    <w:p>
      <w:pPr>
        <w:spacing w:after="0" w:line="19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8"/>
          <w:szCs w:val="18"/>
          <w:i w:val="1"/>
          <w:iCs w:val="1"/>
          <w:color w:val="auto"/>
        </w:rPr>
        <w:t xml:space="preserve">Legacy Greenspring carried interest allocations </w:t>
      </w:r>
      <w:r>
        <w:rPr>
          <w:rFonts w:ascii="Arial" w:cs="Arial" w:eastAsia="Arial" w:hAnsi="Arial"/>
          <w:sz w:val="18"/>
          <w:szCs w:val="18"/>
          <w:color w:val="auto"/>
        </w:rPr>
        <w:t>include the allocation of carried interest to legacy Greenspring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investments and carried interest allocations under the equity method of accounting. We do not have any direct economic interests in the legacy Greenspring general partner entities and thus are not entitled to any carried interest allocation from certain legacy Greenspring funds. All of the carried interest allocations in respect of such legacy Greenspring funds are payable to employees who are considered affiliates of the Company and are therefore reflected as legacy Greenspring performance fee-related compensation in the consolidated statements of income. Accordingly, legacy Greenspring carried interest allocations are not deemed to be within the scope of ASC 606.</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consolidated balance sheets.</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March 31, 2022 and 2021, no material amounts for potential clawback obligations had been accrued.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27"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awarded to employees as a form of long-term incentive compensation. Performance fee-related compensation is generally tied to the investment performance of the StepStone Funds. Approximately 50% of carried 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i w:val="1"/>
          <w:iCs w:val="1"/>
          <w:color w:val="auto"/>
        </w:rPr>
        <w:t xml:space="preserve">Legacy Greenspring performance fee-related compensation </w:t>
      </w:r>
      <w:r>
        <w:rPr>
          <w:rFonts w:ascii="Arial" w:cs="Arial" w:eastAsia="Arial" w:hAnsi="Arial"/>
          <w:sz w:val="18"/>
          <w:szCs w:val="18"/>
          <w:color w:val="auto"/>
        </w:rPr>
        <w:t>represents the legacy Greenspring carried interest allocations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entirely payable to certain employees. Legacy Greenspring carried interest-related compensation is accounted for as compensation expense in 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780" w:firstLine="648"/>
        <w:spacing w:after="0" w:line="385"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includes occupancy, travel and related costs, insurance, legal and other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of intangible assets, system-related costs, and other general costs associated with operating our business.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i w:val="1"/>
          <w:iCs w:val="1"/>
          <w:color w:val="auto"/>
        </w:rPr>
        <w:t xml:space="preserve">Investment income </w:t>
      </w:r>
      <w:r>
        <w:rPr>
          <w:rFonts w:ascii="Arial" w:cs="Arial" w:eastAsia="Arial" w:hAnsi="Arial"/>
          <w:sz w:val="20"/>
          <w:szCs w:val="20"/>
          <w:color w:val="auto"/>
        </w:rPr>
        <w:t>primarily represents our share of earnings from the investments we make in our SMAs and focused commingled</w:t>
      </w:r>
      <w:r>
        <w:rPr>
          <w:rFonts w:ascii="Arial" w:cs="Arial" w:eastAsia="Arial" w:hAnsi="Arial"/>
          <w:sz w:val="20"/>
          <w:szCs w:val="20"/>
          <w:i w:val="1"/>
          <w:iCs w:val="1"/>
          <w:color w:val="auto"/>
        </w:rPr>
        <w:t xml:space="preserve"> </w:t>
      </w:r>
      <w:r>
        <w:rPr>
          <w:rFonts w:ascii="Arial" w:cs="Arial" w:eastAsia="Arial" w:hAnsi="Arial"/>
          <w:sz w:val="20"/>
          <w:szCs w:val="20"/>
          <w:color w:val="auto"/>
        </w:rPr>
        <w:t>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7"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i w:val="1"/>
          <w:iCs w:val="1"/>
          <w:color w:val="auto"/>
        </w:rPr>
        <w:t xml:space="preserve">Legacy Greenspring investment income </w:t>
      </w:r>
      <w:r>
        <w:rPr>
          <w:rFonts w:ascii="Arial" w:cs="Arial" w:eastAsia="Arial" w:hAnsi="Arial"/>
          <w:sz w:val="19"/>
          <w:szCs w:val="19"/>
          <w:color w:val="auto"/>
        </w:rPr>
        <w:t>represents our share of earnings from the investments we make in certain legacy Greenspring</w:t>
      </w:r>
      <w:r>
        <w:rPr>
          <w:rFonts w:ascii="Arial" w:cs="Arial" w:eastAsia="Arial" w:hAnsi="Arial"/>
          <w:sz w:val="19"/>
          <w:szCs w:val="19"/>
          <w:i w:val="1"/>
          <w:iCs w:val="1"/>
          <w:color w:val="auto"/>
        </w:rPr>
        <w:t xml:space="preserve"> </w:t>
      </w:r>
      <w:r>
        <w:rPr>
          <w:rFonts w:ascii="Arial" w:cs="Arial" w:eastAsia="Arial" w:hAnsi="Arial"/>
          <w:sz w:val="19"/>
          <w:szCs w:val="19"/>
          <w:color w:val="auto"/>
        </w:rPr>
        <w:t>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consists of income earned on cash and cash equivalents, restricted cash, marketable securities and certificates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deposit.</w:t>
      </w:r>
    </w:p>
    <w:p>
      <w:pPr>
        <w:spacing w:after="0" w:line="200"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i w:val="1"/>
          <w:iCs w:val="1"/>
          <w:color w:val="auto"/>
        </w:rPr>
        <w:t xml:space="preserve">Interest expense </w:t>
      </w:r>
      <w:r>
        <w:rPr>
          <w:rFonts w:ascii="Arial" w:cs="Arial" w:eastAsia="Arial" w:hAnsi="Arial"/>
          <w:sz w:val="20"/>
          <w:szCs w:val="20"/>
          <w:color w:val="auto"/>
        </w:rPr>
        <w:t>primarily consists of the interest expense on the Revolver and our previously outstanding term loan, as well as the</w:t>
      </w:r>
      <w:r>
        <w:rPr>
          <w:rFonts w:ascii="Arial" w:cs="Arial" w:eastAsia="Arial" w:hAnsi="Arial"/>
          <w:sz w:val="20"/>
          <w:szCs w:val="20"/>
          <w:i w:val="1"/>
          <w:iCs w:val="1"/>
          <w:color w:val="auto"/>
        </w:rPr>
        <w:t xml:space="preserve"> </w:t>
      </w:r>
      <w:r>
        <w:rPr>
          <w:rFonts w:ascii="Arial" w:cs="Arial" w:eastAsia="Arial" w:hAnsi="Arial"/>
          <w:sz w:val="20"/>
          <w:szCs w:val="20"/>
          <w:color w:val="auto"/>
        </w:rPr>
        <w:t>related amortization of deferred financing costs and amortization of original issue discount. The year ended March 31, 2021 includes a $3.5 million charge related to the write-off of unamortized debt issuance costs and discount in connection with the full repayment of our previously outstanding term loan in connection with the IPO in September 2020.</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transaction gains and losses and non-operating activities.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We are a corporation for U.S. federal income tax purposes and therefore are subject to U.S. federal and state income taxes on our share of taxable income generated by the Partnership. Prior to the Reorganization and IPO, we operated as a partnership for U.S. federal income tax purposes and therefore were generally not subject to U.S. federal and state income taxes.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consolidated statements of income to clearly distinguish between our interests and the economic interests of third parties and employees in those entities. Net income (loss) attributable to SSG, as reported in the consolidated statements of income, is presented net of the portion of net income (loss) attributable to holders of non-controlling interests.</w:t>
      </w:r>
    </w:p>
    <w:p>
      <w:pPr>
        <w:spacing w:after="0" w:line="165"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91" w:lineRule="exact"/>
        <w:rPr>
          <w:sz w:val="20"/>
          <w:szCs w:val="20"/>
          <w:color w:val="auto"/>
        </w:rPr>
      </w:pPr>
    </w:p>
    <w:p>
      <w:pPr>
        <w:ind w:right="8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legacy Greenspring entities </w:t>
      </w:r>
      <w:r>
        <w:rPr>
          <w:rFonts w:ascii="Arial" w:cs="Arial" w:eastAsia="Arial" w:hAnsi="Arial"/>
          <w:sz w:val="18"/>
          <w:szCs w:val="18"/>
          <w:color w:val="auto"/>
        </w:rPr>
        <w:t>represent the economic interests in the legacy Greenspring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We did not acquire any direct economic interests in the legacy Greenspring general partner entities. As a result, all of the net income related to the legacy Greenspring general partner entities is allocated to non-controlling interests in legacy Greenspring entities.</w:t>
      </w:r>
    </w:p>
    <w:p>
      <w:pPr>
        <w:spacing w:after="0" w:line="152" w:lineRule="exact"/>
        <w:rPr>
          <w:sz w:val="20"/>
          <w:szCs w:val="20"/>
          <w:color w:val="auto"/>
        </w:rPr>
      </w:pPr>
    </w:p>
    <w:p>
      <w:pPr>
        <w:ind w:right="40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and Class C</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Key Operating Metrics</w:t>
      </w:r>
    </w:p>
    <w:p>
      <w:pPr>
        <w:spacing w:after="0" w:line="222"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100" w:firstLine="648"/>
        <w:spacing w:after="0" w:line="246" w:lineRule="auto"/>
        <w:rPr>
          <w:sz w:val="20"/>
          <w:szCs w:val="20"/>
          <w:color w:val="auto"/>
        </w:rPr>
      </w:pPr>
      <w:r>
        <w:rPr>
          <w:rFonts w:ascii="Arial" w:cs="Arial" w:eastAsia="Arial" w:hAnsi="Arial"/>
          <w:sz w:val="20"/>
          <w:szCs w:val="20"/>
          <w:color w:val="auto"/>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91"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Our AUM is calculated as the sum of (i)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March 31, 2022 reflects final data for the prior period (December 31, 2021), adjusted for net new client account activity through March 31, 2022. NAV data for underlying investments is as of December 31, 2021, as reported by underlying managers up to 115 days following December 31, 2021. When NAV data is not available by 115 days following December 31, 2021, such NAVs are adjusted for cash activity following the last available reported NAV.</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60" w:firstLine="648"/>
        <w:spacing w:after="0" w:line="259" w:lineRule="auto"/>
        <w:rPr>
          <w:sz w:val="20"/>
          <w:szCs w:val="20"/>
          <w:color w:val="auto"/>
        </w:rPr>
      </w:pPr>
      <w:r>
        <w:rPr>
          <w:rFonts w:ascii="Arial" w:cs="Arial" w:eastAsia="Arial" w:hAnsi="Arial"/>
          <w:sz w:val="19"/>
          <w:szCs w:val="19"/>
          <w:color w:val="auto"/>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78" w:lineRule="exact"/>
        <w:rPr>
          <w:sz w:val="20"/>
          <w:szCs w:val="20"/>
          <w:color w:val="auto"/>
        </w:rPr>
      </w:pPr>
    </w:p>
    <w:p>
      <w:pPr>
        <w:ind w:right="180" w:firstLine="648"/>
        <w:spacing w:after="0" w:line="274" w:lineRule="auto"/>
        <w:rPr>
          <w:sz w:val="20"/>
          <w:szCs w:val="20"/>
          <w:color w:val="auto"/>
        </w:rPr>
      </w:pPr>
      <w:r>
        <w:rPr>
          <w:rFonts w:ascii="Arial" w:cs="Arial" w:eastAsia="Arial" w:hAnsi="Arial"/>
          <w:sz w:val="18"/>
          <w:szCs w:val="18"/>
          <w:color w:val="auto"/>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March 31, 2022 reflects final data for the prior period (December 31, 2021), adjusted for net new client account activity through March 31, 2022. NAV data for underlying investments is as of December 31, 2021, as reported by underlying managers up to 115 days following December 31, 2021. When NAV data is not available by 115 days following December 31, 2021, such NAVs are adjusted for cash activity following the last available reported NAV.</w:t>
      </w:r>
    </w:p>
    <w:p>
      <w:pPr>
        <w:spacing w:after="0" w:line="168"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Beginning in the quarter ended March 31, 2021, we modified our AUA computation to include, with respect to our advisory clients, the portion of their portfolio assets for which we do not directly provide recommendations, monitoring and/or reporting services. Prior period amounts have not been recast for this change because comparable historical data does not exist. The change resulted in an increase to AUA of approximately $70 billion for the quarter ended March 31, 2021.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auto"/>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65"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auto"/>
        </w:rPr>
        <w:t>Our calculation of FEAUM may differ from the calculations of other asset managers and, as a result, may not be comparable to similar measures presented by other asset managers.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but will generate management fee revenue once this capital is invested or activated.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right="180" w:firstLine="648"/>
        <w:spacing w:after="0" w:line="316"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(d) amortization of intangibles and (e) certain other items that we believe are not indicative of our core operating performance, including charges associated with acquisitions and corporate transactions, contract terminations and employee severance. ANI does not reflect legacy Greenspring carried interest allocation revenues, legacy Greenspring carried interest-related compensation and legacy Greenspring investment income as none of the economics are attributable to us. ANI is income before taxes fully taxed at our blended statutory rate. We believe ANI and adjusted revenues are useful to investors because they enable investors to evaluate the performance of our business across reporting periods.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Fee-related earnings (“FRE”)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for awards granted prior to and in connection with our IPO,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ANI per share measures our per-share earnings assuming all Class B units and Class C units in the Partnership are exchanged for Class A common stock in SSG, including the dilutive impact of outstanding equity-based awards. ANI per share is calculated as ANI divided by adjusted shares outstanding. We believe ANI per share is useful to investors because it enables them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2"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following is a discussion of our consolidated results of operations for the periods presented. The information is derived from our accompanying consolidated financial statements prepared in accordance with GAAP.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7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6740" w:type="dxa"/>
            <w:vAlign w:val="bottom"/>
          </w:tcPr>
          <w:p>
            <w:pPr>
              <w:ind w:left="20"/>
              <w:spacing w:after="0"/>
              <w:rPr>
                <w:sz w:val="20"/>
                <w:szCs w:val="20"/>
                <w:color w:val="auto"/>
              </w:rPr>
            </w:pPr>
            <w:r>
              <w:rPr>
                <w:rFonts w:ascii="Arial" w:cs="Arial" w:eastAsia="Arial" w:hAnsi="Arial"/>
                <w:sz w:val="14"/>
                <w:szCs w:val="14"/>
                <w:color w:val="auto"/>
              </w:rPr>
              <w:t>Management and advisory fees, net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380,257</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285,462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235,205</w:t>
            </w:r>
          </w:p>
        </w:tc>
      </w:tr>
      <w:tr>
        <w:trPr>
          <w:trHeight w:val="19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fees: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740" w:type="dxa"/>
            <w:vAlign w:val="bottom"/>
          </w:tcPr>
          <w:p>
            <w:pPr>
              <w:ind w:left="360"/>
              <w:spacing w:after="0"/>
              <w:rPr>
                <w:sz w:val="20"/>
                <w:szCs w:val="20"/>
                <w:color w:val="auto"/>
              </w:rPr>
            </w:pPr>
            <w:r>
              <w:rPr>
                <w:rFonts w:ascii="Arial" w:cs="Arial" w:eastAsia="Arial" w:hAnsi="Arial"/>
                <w:sz w:val="14"/>
                <w:szCs w:val="14"/>
                <w:color w:val="auto"/>
              </w:rPr>
              <w:t>Incentive fees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11,593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3,410</w:t>
            </w:r>
          </w:p>
        </w:tc>
      </w:tr>
      <w:tr>
        <w:trPr>
          <w:trHeight w:val="192"/>
        </w:trPr>
        <w:tc>
          <w:tcPr>
            <w:tcW w:w="6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Carried interest allocations: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740" w:type="dxa"/>
            <w:vAlign w:val="bottom"/>
          </w:tcPr>
          <w:p>
            <w:pPr>
              <w:ind w:left="680"/>
              <w:spacing w:after="0"/>
              <w:rPr>
                <w:sz w:val="20"/>
                <w:szCs w:val="20"/>
                <w:color w:val="auto"/>
              </w:rPr>
            </w:pPr>
            <w:r>
              <w:rPr>
                <w:rFonts w:ascii="Arial" w:cs="Arial" w:eastAsia="Arial" w:hAnsi="Arial"/>
                <w:sz w:val="14"/>
                <w:szCs w:val="14"/>
                <w:color w:val="auto"/>
              </w:rPr>
              <w:t>Realized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200,718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62,953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46,177</w:t>
            </w:r>
          </w:p>
        </w:tc>
      </w:tr>
      <w:tr>
        <w:trPr>
          <w:trHeight w:val="192"/>
        </w:trPr>
        <w:tc>
          <w:tcPr>
            <w:tcW w:w="67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Unrealized</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585,851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433,827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161,819</w:t>
            </w:r>
          </w:p>
        </w:tc>
      </w:tr>
      <w:tr>
        <w:trPr>
          <w:trHeight w:val="179"/>
        </w:trPr>
        <w:tc>
          <w:tcPr>
            <w:tcW w:w="6740" w:type="dxa"/>
            <w:vAlign w:val="bottom"/>
          </w:tcPr>
          <w:p>
            <w:pPr>
              <w:ind w:left="360"/>
              <w:spacing w:after="0"/>
              <w:rPr>
                <w:sz w:val="20"/>
                <w:szCs w:val="20"/>
                <w:color w:val="auto"/>
              </w:rPr>
            </w:pPr>
            <w:r>
              <w:rPr>
                <w:rFonts w:ascii="Arial" w:cs="Arial" w:eastAsia="Arial" w:hAnsi="Arial"/>
                <w:sz w:val="14"/>
                <w:szCs w:val="14"/>
                <w:color w:val="auto"/>
              </w:rPr>
              <w:t>Total carried interest allocations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786,569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496,780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207,996</w:t>
            </w:r>
          </w:p>
        </w:tc>
      </w:tr>
      <w:tr>
        <w:trPr>
          <w:trHeight w:val="192"/>
        </w:trPr>
        <w:tc>
          <w:tcPr>
            <w:tcW w:w="674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Legacy Greenspring carried interest allocations</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revenues</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1,365,525</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787,716</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446,611</w:t>
            </w:r>
          </w:p>
        </w:tc>
      </w:tr>
      <w:tr>
        <w:trPr>
          <w:trHeight w:val="17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6740" w:type="dxa"/>
            <w:vAlign w:val="bottom"/>
          </w:tcPr>
          <w:p>
            <w:pPr>
              <w:ind w:left="20"/>
              <w:spacing w:after="0"/>
              <w:rPr>
                <w:sz w:val="20"/>
                <w:szCs w:val="20"/>
                <w:color w:val="auto"/>
              </w:rPr>
            </w:pPr>
            <w:r>
              <w:rPr>
                <w:rFonts w:ascii="Arial" w:cs="Arial" w:eastAsia="Arial" w:hAnsi="Arial"/>
                <w:sz w:val="14"/>
                <w:szCs w:val="14"/>
                <w:color w:val="auto"/>
              </w:rPr>
              <w:t>Compensation and benefits: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6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Cash-based compensation</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197,482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130,730</w:t>
            </w:r>
          </w:p>
        </w:tc>
      </w:tr>
      <w:tr>
        <w:trPr>
          <w:trHeight w:val="186"/>
        </w:trPr>
        <w:tc>
          <w:tcPr>
            <w:tcW w:w="6740" w:type="dxa"/>
            <w:vAlign w:val="bottom"/>
          </w:tcPr>
          <w:p>
            <w:pPr>
              <w:ind w:left="360"/>
              <w:spacing w:after="0"/>
              <w:rPr>
                <w:sz w:val="20"/>
                <w:szCs w:val="20"/>
                <w:color w:val="auto"/>
              </w:rPr>
            </w:pPr>
            <w:r>
              <w:rPr>
                <w:rFonts w:ascii="Arial" w:cs="Arial" w:eastAsia="Arial" w:hAnsi="Arial"/>
                <w:sz w:val="14"/>
                <w:szCs w:val="14"/>
                <w:color w:val="auto"/>
              </w:rPr>
              <w:t>Equity-based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13,996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192"/>
        </w:trPr>
        <w:tc>
          <w:tcPr>
            <w:tcW w:w="6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Performance fee-related compensation:</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6740" w:type="dxa"/>
            <w:vAlign w:val="bottom"/>
          </w:tcPr>
          <w:p>
            <w:pPr>
              <w:ind w:left="680"/>
              <w:spacing w:after="0"/>
              <w:rPr>
                <w:sz w:val="20"/>
                <w:szCs w:val="20"/>
                <w:color w:val="auto"/>
              </w:rPr>
            </w:pPr>
            <w:r>
              <w:rPr>
                <w:rFonts w:ascii="Arial" w:cs="Arial" w:eastAsia="Arial" w:hAnsi="Arial"/>
                <w:sz w:val="14"/>
                <w:szCs w:val="14"/>
                <w:color w:val="auto"/>
              </w:rPr>
              <w:t>Realized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91,208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30,532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26,958</w:t>
            </w:r>
          </w:p>
        </w:tc>
      </w:tr>
      <w:tr>
        <w:trPr>
          <w:trHeight w:val="192"/>
        </w:trPr>
        <w:tc>
          <w:tcPr>
            <w:tcW w:w="67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Unrealized</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312,903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215,508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82,701</w:t>
            </w:r>
          </w:p>
        </w:tc>
      </w:tr>
      <w:tr>
        <w:trPr>
          <w:trHeight w:val="179"/>
        </w:trPr>
        <w:tc>
          <w:tcPr>
            <w:tcW w:w="6740" w:type="dxa"/>
            <w:vAlign w:val="bottom"/>
          </w:tcPr>
          <w:p>
            <w:pPr>
              <w:ind w:left="360"/>
              <w:spacing w:after="0"/>
              <w:rPr>
                <w:sz w:val="20"/>
                <w:szCs w:val="20"/>
                <w:color w:val="auto"/>
              </w:rPr>
            </w:pPr>
            <w:r>
              <w:rPr>
                <w:rFonts w:ascii="Arial" w:cs="Arial" w:eastAsia="Arial" w:hAnsi="Arial"/>
                <w:sz w:val="14"/>
                <w:szCs w:val="14"/>
                <w:color w:val="auto"/>
              </w:rPr>
              <w:t>Total performance fee-related compensation</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404,111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246,040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109,659</w:t>
            </w:r>
          </w:p>
        </w:tc>
      </w:tr>
      <w:tr>
        <w:trPr>
          <w:trHeight w:val="192"/>
        </w:trPr>
        <w:tc>
          <w:tcPr>
            <w:tcW w:w="6740" w:type="dxa"/>
            <w:vAlign w:val="bottom"/>
            <w:shd w:val="clear" w:color="auto" w:fill="CCEEFF"/>
          </w:tcPr>
          <w:p>
            <w:pPr>
              <w:ind w:left="360"/>
              <w:spacing w:after="0" w:line="193" w:lineRule="exact"/>
              <w:rPr>
                <w:sz w:val="20"/>
                <w:szCs w:val="20"/>
                <w:color w:val="auto"/>
              </w:rPr>
            </w:pPr>
            <w:r>
              <w:rPr>
                <w:rFonts w:ascii="Arial" w:cs="Arial" w:eastAsia="Arial" w:hAnsi="Arial"/>
                <w:sz w:val="14"/>
                <w:szCs w:val="14"/>
                <w:color w:val="auto"/>
              </w:rPr>
              <w:t>Legacy Greenspring performance fee-related compensation</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740" w:type="dxa"/>
            <w:vAlign w:val="bottom"/>
          </w:tcPr>
          <w:p>
            <w:pPr>
              <w:ind w:left="20"/>
              <w:spacing w:after="0"/>
              <w:rPr>
                <w:sz w:val="20"/>
                <w:szCs w:val="20"/>
                <w:color w:val="auto"/>
              </w:rPr>
            </w:pPr>
            <w:r>
              <w:rPr>
                <w:rFonts w:ascii="Arial" w:cs="Arial" w:eastAsia="Arial" w:hAnsi="Arial"/>
                <w:sz w:val="14"/>
                <w:szCs w:val="14"/>
                <w:color w:val="auto"/>
              </w:rPr>
              <w:t>Total compensation and benefits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802,695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411,062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242,304</w:t>
            </w:r>
          </w:p>
        </w:tc>
      </w:tr>
      <w:tr>
        <w:trPr>
          <w:trHeight w:val="19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110,468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48,485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52,363</w:t>
            </w:r>
          </w:p>
        </w:tc>
      </w:tr>
      <w:tr>
        <w:trPr>
          <w:trHeight w:val="17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expenses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913,163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459,547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294,667</w:t>
            </w:r>
          </w:p>
        </w:tc>
      </w:tr>
      <w:tr>
        <w:trPr>
          <w:trHeight w:val="17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674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26,160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6,926</w:t>
            </w:r>
          </w:p>
        </w:tc>
      </w:tr>
      <w:tr>
        <w:trPr>
          <w:trHeight w:val="192"/>
        </w:trPr>
        <w:tc>
          <w:tcPr>
            <w:tcW w:w="674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Legacy Greenspring investment income</w:t>
            </w:r>
            <w:r>
              <w:rPr>
                <w:rFonts w:ascii="Arial" w:cs="Arial" w:eastAsia="Arial" w:hAnsi="Arial"/>
                <w:sz w:val="18"/>
                <w:szCs w:val="18"/>
                <w:color w:val="auto"/>
                <w:vertAlign w:val="superscript"/>
              </w:rPr>
              <w:t>(1)</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7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1,436</w:t>
            </w:r>
          </w:p>
        </w:tc>
      </w:tr>
      <w:tr>
        <w:trPr>
          <w:trHeight w:val="19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(10,211)</w:t>
            </w:r>
          </w:p>
        </w:tc>
      </w:tr>
      <w:tr>
        <w:trPr>
          <w:trHeight w:val="18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(loss)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w:t>
            </w:r>
          </w:p>
        </w:tc>
      </w:tr>
      <w:tr>
        <w:trPr>
          <w:trHeight w:val="186"/>
        </w:trPr>
        <w:tc>
          <w:tcPr>
            <w:tcW w:w="6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other income (expense)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(3,204)</w:t>
            </w:r>
          </w:p>
        </w:tc>
      </w:tr>
      <w:tr>
        <w:trPr>
          <w:trHeight w:val="179"/>
        </w:trPr>
        <w:tc>
          <w:tcPr>
            <w:tcW w:w="6740" w:type="dxa"/>
            <w:vAlign w:val="bottom"/>
          </w:tcPr>
          <w:p>
            <w:pPr>
              <w:ind w:left="20"/>
              <w:spacing w:after="0"/>
              <w:rPr>
                <w:sz w:val="20"/>
                <w:szCs w:val="20"/>
                <w:color w:val="auto"/>
              </w:rPr>
            </w:pPr>
            <w:r>
              <w:rPr>
                <w:rFonts w:ascii="Arial" w:cs="Arial" w:eastAsia="Arial" w:hAnsi="Arial"/>
                <w:sz w:val="14"/>
                <w:szCs w:val="14"/>
                <w:color w:val="auto"/>
              </w:rPr>
              <w:t>Income before income tax</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512,581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337,849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148,740</w:t>
            </w:r>
          </w:p>
        </w:tc>
      </w:tr>
      <w:tr>
        <w:trPr>
          <w:trHeight w:val="19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28,300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23,256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3,955</w:t>
            </w:r>
          </w:p>
        </w:tc>
      </w:tr>
      <w:tr>
        <w:trPr>
          <w:trHeight w:val="179"/>
        </w:trPr>
        <w:tc>
          <w:tcPr>
            <w:tcW w:w="6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484,281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314,593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144,785</w:t>
            </w:r>
          </w:p>
        </w:tc>
      </w:tr>
      <w:tr>
        <w:trPr>
          <w:trHeight w:val="192"/>
        </w:trPr>
        <w:tc>
          <w:tcPr>
            <w:tcW w:w="6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Net income attributable to non-controlling interests in subsidiaries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12,869</w:t>
            </w:r>
          </w:p>
        </w:tc>
      </w:tr>
      <w:tr>
        <w:trPr>
          <w:trHeight w:val="189"/>
        </w:trPr>
        <w:tc>
          <w:tcPr>
            <w:tcW w:w="6740" w:type="dxa"/>
            <w:vAlign w:val="bottom"/>
          </w:tcPr>
          <w:p>
            <w:pPr>
              <w:ind w:left="360"/>
              <w:spacing w:after="0" w:line="189" w:lineRule="exact"/>
              <w:rPr>
                <w:sz w:val="20"/>
                <w:szCs w:val="20"/>
                <w:color w:val="auto"/>
              </w:rPr>
            </w:pPr>
            <w:r>
              <w:rPr>
                <w:rFonts w:ascii="Arial" w:cs="Arial" w:eastAsia="Arial" w:hAnsi="Arial"/>
                <w:sz w:val="14"/>
                <w:szCs w:val="14"/>
                <w:color w:val="auto"/>
              </w:rPr>
              <w:t>Less: Net income attributable to non-controlling interests in legacy Greenspring entities</w:t>
            </w:r>
            <w:r>
              <w:rPr>
                <w:rFonts w:ascii="Arial" w:cs="Arial" w:eastAsia="Arial" w:hAnsi="Arial"/>
                <w:sz w:val="18"/>
                <w:szCs w:val="18"/>
                <w:color w:val="auto"/>
                <w:vertAlign w:val="superscript"/>
              </w:rPr>
              <w:t>(1)</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32,586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Net income attributable to non-controlling interests in the Partnership</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231,202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228,783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131,916</w:t>
            </w:r>
          </w:p>
        </w:tc>
      </w:tr>
      <w:tr>
        <w:trPr>
          <w:trHeight w:val="186"/>
        </w:trPr>
        <w:tc>
          <w:tcPr>
            <w:tcW w:w="6740" w:type="dxa"/>
            <w:vAlign w:val="bottom"/>
          </w:tcPr>
          <w:p>
            <w:pPr>
              <w:ind w:left="20"/>
              <w:spacing w:after="0"/>
              <w:rPr>
                <w:sz w:val="20"/>
                <w:szCs w:val="20"/>
                <w:color w:val="auto"/>
              </w:rPr>
            </w:pPr>
            <w:r>
              <w:rPr>
                <w:rFonts w:ascii="Arial" w:cs="Arial" w:eastAsia="Arial" w:hAnsi="Arial"/>
                <w:sz w:val="14"/>
                <w:szCs w:val="14"/>
                <w:color w:val="auto"/>
              </w:rPr>
              <w:t>Net income attributable to StepStone Group Inc.</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193,885</w:t>
            </w:r>
          </w:p>
        </w:tc>
        <w:tc>
          <w:tcPr>
            <w:tcW w:w="100" w:type="dxa"/>
            <w:vAlign w:val="bottom"/>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62,634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1" w:lineRule="exact"/>
        <w:rPr>
          <w:sz w:val="20"/>
          <w:szCs w:val="20"/>
          <w:color w:val="auto"/>
        </w:rPr>
      </w:pPr>
    </w:p>
    <w:p>
      <w:pPr>
        <w:ind w:left="660" w:right="100" w:hanging="652"/>
        <w:spacing w:after="0" w:line="255" w:lineRule="auto"/>
        <w:tabs>
          <w:tab w:leader="none" w:pos="652"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we did not acquire any direct economic interests. See notes 3, 5 and 15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2022 Compared to Year Ended March 31, 2021</w:t>
      </w:r>
    </w:p>
    <w:p>
      <w:pPr>
        <w:spacing w:after="0" w:line="216"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Total revenues increased $577.8 million, or 73%, to $1,365.5 million for fiscal 2022 as compared to fiscal 2021, due to higher carried interest allocations, net management and advisory fees, incentive fees and the inclusion of legacy Greenspring carried interest allocations in the current year, in each case, as described below.</w:t>
      </w:r>
    </w:p>
    <w:p>
      <w:pPr>
        <w:spacing w:after="0" w:line="186"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Net management and advisory fees increased $94.8 million, or 33%, to $380.3 million for fiscal 2022 as compared to fiscal 2021. The increase was driven by new client activity and a 39% growth in average FEAUM (or 25% excluding the impact of Greenspring) across the platform, as well as retroactive fees of $7.7 million from the final closing for StepStone Tactical Growth Fund III and additional closings of StepStone’s private equity co-investment fund. The prior year period included $9.0 million of retroactive fees from the final closing of StepStone Real Estate Partners IV (“SREP IV”). For new investors, fees relating to periods prior to the closing date are considered retroactive.</w:t>
      </w:r>
    </w:p>
    <w:p>
      <w:pPr>
        <w:spacing w:after="0" w:line="196" w:lineRule="exact"/>
        <w:rPr>
          <w:sz w:val="20"/>
          <w:szCs w:val="20"/>
          <w:color w:val="auto"/>
        </w:rPr>
      </w:pPr>
    </w:p>
    <w:p>
      <w:pPr>
        <w:ind w:right="760" w:firstLine="648"/>
        <w:spacing w:after="0" w:line="260" w:lineRule="auto"/>
        <w:rPr>
          <w:sz w:val="20"/>
          <w:szCs w:val="20"/>
          <w:color w:val="auto"/>
        </w:rPr>
      </w:pPr>
      <w:r>
        <w:rPr>
          <w:rFonts w:ascii="Arial" w:cs="Arial" w:eastAsia="Arial" w:hAnsi="Arial"/>
          <w:sz w:val="20"/>
          <w:szCs w:val="20"/>
          <w:color w:val="auto"/>
        </w:rPr>
        <w:t>Incentive fees increased $6.1 million, or 112%, to $11.6 million for fiscal 2022 as compared to fiscal 2021, reflecting higher realization activity and recognition of deferred incentive fees in the current year.</w:t>
      </w:r>
    </w:p>
    <w:p>
      <w:pPr>
        <w:spacing w:after="0" w:line="177" w:lineRule="exact"/>
        <w:rPr>
          <w:sz w:val="20"/>
          <w:szCs w:val="20"/>
          <w:color w:val="auto"/>
        </w:rPr>
      </w:pPr>
    </w:p>
    <w:p>
      <w:pPr>
        <w:ind w:right="220" w:firstLine="648"/>
        <w:spacing w:after="0" w:line="243" w:lineRule="auto"/>
        <w:rPr>
          <w:sz w:val="20"/>
          <w:szCs w:val="20"/>
          <w:color w:val="auto"/>
        </w:rPr>
      </w:pPr>
      <w:r>
        <w:rPr>
          <w:rFonts w:ascii="Arial" w:cs="Arial" w:eastAsia="Arial" w:hAnsi="Arial"/>
          <w:sz w:val="20"/>
          <w:szCs w:val="20"/>
          <w:color w:val="auto"/>
        </w:rPr>
        <w:t>Realized carried interest allocation revenues increased $137.8 million, or 219%, to $200.7 million for fiscal 2022, reflecting higher realization activity within our private equity funds. Unrealized carried interest allocation revenues include the reversal of realized carried interest allocation revenues. Excluding the reversal of $200.7 million, unrealized carried interest allocation revenues increased $289.8 million, or 58%, to $786.6 million for fiscal 2022 compared to fiscal 2021. The increase in unrealized carried interest allocations for fiscal 2022 primarily reflected a larger increase in the cumulative allocation of gains associated with the underlying portfolios within our private equity funds.</w:t>
      </w:r>
    </w:p>
    <w:p>
      <w:pPr>
        <w:spacing w:after="0" w:line="196" w:lineRule="exact"/>
        <w:rPr>
          <w:sz w:val="20"/>
          <w:szCs w:val="20"/>
          <w:color w:val="auto"/>
        </w:rPr>
      </w:pPr>
    </w:p>
    <w:p>
      <w:pPr>
        <w:ind w:right="400" w:firstLine="648"/>
        <w:spacing w:after="0" w:line="250" w:lineRule="auto"/>
        <w:rPr>
          <w:sz w:val="20"/>
          <w:szCs w:val="20"/>
          <w:color w:val="auto"/>
        </w:rPr>
      </w:pPr>
      <w:r>
        <w:rPr>
          <w:rFonts w:ascii="Arial" w:cs="Arial" w:eastAsia="Arial" w:hAnsi="Arial"/>
          <w:sz w:val="20"/>
          <w:szCs w:val="20"/>
          <w:color w:val="auto"/>
        </w:rPr>
        <w:t>Legacy Greenspring carried interest allocation revenues of $187.1 million for fiscal 2022 reflect gross realized carried interest allocations of $92.2 million and unrealized carried interest allocations, net of the reversal of realized carried interest allocations, of $94.9 million for the period from September 20, 2021 to March 31, 2022.</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Total revenues increased $341.1 million, or 76%, to $787.7 million for fiscal 2021 as compared to fiscal 2020, due to higher carried interest allocation, net management and advisory fees and incentive fees.</w:t>
      </w:r>
    </w:p>
    <w:p>
      <w:pPr>
        <w:spacing w:after="0" w:line="177"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auto"/>
        </w:rPr>
        <w:t>Net management and advisory fees increased $50.3 million, or 21%, to $285.5 million for fiscal 2021 as compared to fiscal 2020. This increase was driven by new client activity and a 23% growth in average FEAUM across the platform, including retroactive fees of $9.0 million from SREP IV, which had its final close in September 2020. The increases were partially offset by a $1.5 million decline in revenues associated with liquidating portfolios for which StepStone serves as the replacement manager. For new investors, fees relating to periods prior to the closing date are considered retroactive.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Incentive fees increased $2.1 million, or 61%, to $5.5 million for fiscal 2021 as compared to fiscal 2020, reflecting higher realization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activity.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Realized carried interest allocation revenues increased $16.8 million, or 36%, to $63.0 million for fiscal 2021, reflecting higher realization activity within our private equity funds. Unrealized carried interest allocation revenues include the reversal of realized carried interest allocation revenues. Excluding the reversal of $63.0 million, unrealized carried interest allocation revenues increased $288.8 million, or 139%, to $496.8 million for fiscal 2021 compared to fiscal 2020. The increase in unrealized carried interest allocation for fiscal 2021 was primarily attributable to a larger increase in the cumulative allocation of gains associated with the underlying portfolios within our private equity funds primarily driven by the continued recovery in global financial markets despite the ongoing economic impacts of COVID-19.</w:t>
      </w:r>
    </w:p>
    <w:p>
      <w:pPr>
        <w:spacing w:after="0" w:line="16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For fiscal 2021, our investments in StepStone Funds and accrued carried interest allocations initially experienced a $128.5 million decline during the first three months, primarily reflecting the unrealized depreciation in the fair value of certain underlying fund investments driven by the impact of COVID-19, and subsequently saw a significant increase of $625.3 million, primarily reflecting the unrealized appreciation in the fair value of certain underlying fund investments primarily driven by the continued recovery in global financial markets.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2022 Compared to Year Ended March 31, 2021</w:t>
      </w:r>
    </w:p>
    <w:p>
      <w:pPr>
        <w:spacing w:after="0" w:line="2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Total expenses increased $453.6 million, or 99%, to $913.2 million for fiscal 2022 as compared to fiscal 2021, reflecting increases in performance fee-related compensation, general, administrative and other expenses, cash-based compensation, equity-based compensation, and the inclusion of legacy Greenspring performance fee-related compensation in the current year.</w:t>
      </w:r>
    </w:p>
    <w:p>
      <w:pPr>
        <w:spacing w:after="0" w:line="170"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Cash-based compensation increased $40.4 million, or 26%, to $197.5 million for fiscal 2022 as compared to fiscal 2021, due to increased staffing and compensation levels. Our average full-time headcount increased 24% (or 12% excluding the impact of Greenspring) in the current year period as compared to the prior year period.</w:t>
      </w:r>
    </w:p>
    <w:p>
      <w:pPr>
        <w:spacing w:after="0" w:line="18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Equity-based compensation increased $6.1 million, or 77%, to $14.0 million for fiscal 2022 as compared to fiscal 2021. The increase was attributable to the grant of restricted stock units (“RSUs”) made to certain employees and directors in connection with our IPO in September 2020. As such grants were not outstanding for the period prior to the IPO, this resulted in lower expense in the prior year period. The increase was also attributable to additional grants of RSUs made to certain employees and directors in the current year period.</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8"/>
          <w:szCs w:val="18"/>
          <w:color w:val="auto"/>
        </w:rPr>
        <w:t>Performance fee-related compensation expense increased $158.1 million, or 64%, to $404.1 million for fiscal 2022 as compared to fiscal 2021, primarily reflecting the increase in carried interest allocation revenue. Realized performance fee-related compensation increased $60.7 million, or 199%, to $91.2 million for fiscal 2022 as compared to fiscal 2021, primarily reflecting higher realization activity.</w:t>
      </w:r>
    </w:p>
    <w:p>
      <w:pPr>
        <w:spacing w:after="0" w:line="152"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Legacy Greenspring performance fee-related compensation expense of $187.1 million for fiscal 2022 reflects gross realized performance fee-related compensation expense of $92.2 million and unrealized performance fee-related compensation expense, net of the reversal of realized performance fee-related compensation expense, of $94.9 million for the period from September 20, 2021 to March 31, 2022.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General, administrative and other expenses increased $62.0 million, or 128%, to $110.5 million for fiscal 2022 as compared to fiscal 2021. The overall increase primarily reflected increases of $21.2 million in amortization expense for intangibles, $13.9 million in transaction costs, $8.0 million in loss on change in fair value for contingent consideration obligation, $4.8 million in professional fees, $3.6 million of travel and associated costs for investment evaluation and client service, $2.9 million in insurance costs, $2.6 million in information and technology expenses, $1.8 million in occupancy costs, $1.6 million in recruiting costs and other general operating expenses. We anticipate travel and other expenses will continue to increase to pre-pandemic levels as the COVID-19 situation improves, and that costs associated with being a public company will continue to be reflected in our expenses going forward.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jc w:val="both"/>
        <w:ind w:right="320" w:firstLine="648"/>
        <w:spacing w:after="0" w:line="250" w:lineRule="auto"/>
        <w:rPr>
          <w:sz w:val="20"/>
          <w:szCs w:val="20"/>
          <w:color w:val="auto"/>
        </w:rPr>
      </w:pPr>
      <w:r>
        <w:rPr>
          <w:rFonts w:ascii="Arial" w:cs="Arial" w:eastAsia="Arial" w:hAnsi="Arial"/>
          <w:sz w:val="20"/>
          <w:szCs w:val="20"/>
          <w:color w:val="auto"/>
        </w:rPr>
        <w:t>Total expenses increased $164.9 million, or 56%, to $459.5 million for fiscal 2021 as compared to fiscal 2020, due to increases in performance fee-related compensation, cash-based compensation and equity-based compensation, partially offset by decreases in general, administrative and other expenses.</w:t>
      </w:r>
    </w:p>
    <w:p>
      <w:pPr>
        <w:spacing w:after="0" w:line="186" w:lineRule="exact"/>
        <w:rPr>
          <w:sz w:val="20"/>
          <w:szCs w:val="20"/>
          <w:color w:val="auto"/>
        </w:rPr>
      </w:pPr>
    </w:p>
    <w:p>
      <w:pPr>
        <w:ind w:right="360" w:firstLine="648"/>
        <w:spacing w:after="0" w:line="250" w:lineRule="auto"/>
        <w:rPr>
          <w:sz w:val="20"/>
          <w:szCs w:val="20"/>
          <w:color w:val="auto"/>
        </w:rPr>
      </w:pPr>
      <w:r>
        <w:rPr>
          <w:rFonts w:ascii="Arial" w:cs="Arial" w:eastAsia="Arial" w:hAnsi="Arial"/>
          <w:sz w:val="20"/>
          <w:szCs w:val="20"/>
          <w:color w:val="auto"/>
        </w:rPr>
        <w:t>Cash-based compensation increased $26.4 million, or 20%, to $157.1 million for fiscal 2021 as compared to fiscal 2020, due to increased staffing and compensation levels. Our average full-time headcount increased 16% in the current year period as compared to the prior year period.</w:t>
      </w:r>
    </w:p>
    <w:p>
      <w:pPr>
        <w:spacing w:after="0" w:line="186" w:lineRule="exact"/>
        <w:rPr>
          <w:sz w:val="20"/>
          <w:szCs w:val="20"/>
          <w:color w:val="auto"/>
        </w:rPr>
      </w:pPr>
    </w:p>
    <w:p>
      <w:pPr>
        <w:ind w:right="60" w:firstLine="648"/>
        <w:spacing w:after="0" w:line="316" w:lineRule="auto"/>
        <w:rPr>
          <w:sz w:val="20"/>
          <w:szCs w:val="20"/>
          <w:color w:val="auto"/>
        </w:rPr>
      </w:pPr>
      <w:r>
        <w:rPr>
          <w:rFonts w:ascii="Arial" w:cs="Arial" w:eastAsia="Arial" w:hAnsi="Arial"/>
          <w:sz w:val="18"/>
          <w:szCs w:val="18"/>
          <w:color w:val="auto"/>
        </w:rPr>
        <w:t>Equity-based compensation increased $6.0 million, or 312%, to $7.9 million for fiscal 2021 as compared to fiscal 2020. The increase was primarily attributable to RSU grants made to certain employees and directors in connection with our IPO in September 2020.</w:t>
      </w:r>
    </w:p>
    <w:p>
      <w:pPr>
        <w:spacing w:after="0" w:line="130" w:lineRule="exact"/>
        <w:rPr>
          <w:sz w:val="20"/>
          <w:szCs w:val="20"/>
          <w:color w:val="auto"/>
        </w:rPr>
      </w:pPr>
    </w:p>
    <w:p>
      <w:pPr>
        <w:jc w:val="both"/>
        <w:ind w:right="100" w:firstLine="648"/>
        <w:spacing w:after="0" w:line="291" w:lineRule="auto"/>
        <w:rPr>
          <w:sz w:val="20"/>
          <w:szCs w:val="20"/>
          <w:color w:val="auto"/>
        </w:rPr>
      </w:pPr>
      <w:r>
        <w:rPr>
          <w:rFonts w:ascii="Arial" w:cs="Arial" w:eastAsia="Arial" w:hAnsi="Arial"/>
          <w:sz w:val="18"/>
          <w:szCs w:val="18"/>
          <w:color w:val="auto"/>
        </w:rPr>
        <w:t>Performance fee-related compensation expense increased $136.4 million, or 124%, to $246.0 million for fiscal 2021 as compared to fiscal 2020, primarily reflecting the increase in carried interest allocation revenue. Realized performance fee-related compensation increased $3.6 million, or 13%, to $30.5 million for fiscal 2021 as compared to fiscal 2020, primarily reflecting higher realization activity.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administrative and other expenses decreased $3.9 million, or 7%, to $48.5 million for fiscal 2021 as compared to fiscal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2020. The decrease primarily reflected declines of $7.0 million in travel and associated costs for investment evaluation and client service,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million in marketing expenses, and $1.7 million in amortization expense for intangibles, and other general operating expenses, partially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offset by an increase of $2.8 million in insurance costs, $2.3 million in legal and professional fees, and $2.0 million in information and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technology expenses. We anticipate travel and other expenses will return to prior levels as the COVID-19 situation improves, and that the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full-year impact of costs associated with being a public company will be reflected in our expenses going forward.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2022 Compared to Year Ended March 31, 2021</w:t>
      </w:r>
    </w:p>
    <w:p>
      <w:pPr>
        <w:spacing w:after="0" w:line="21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Investment income increased $9.8 million, or 59%, to $26.2 million for fiscal 2022 as compared to fiscal 2021, primarily reflecting overall changes in the valuations of the underlying investments in the StepStone Funds.</w:t>
      </w:r>
    </w:p>
    <w:p>
      <w:pPr>
        <w:spacing w:after="0" w:line="177"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Legacy Greenspring investment income of $32.6 million for fiscal 2022 reflects gross realized investment income of $7.8 million and unrealized investment income, net of the reversal of realized investment income, of $24.8 million for the period from September 20, 2021 to March 31, 2022.</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 income decreased $0.1 million, or 18%, to $0.3 million for fiscal 2022 as compared to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20" w:firstLine="648"/>
        <w:spacing w:after="0" w:line="291" w:lineRule="auto"/>
        <w:rPr>
          <w:sz w:val="20"/>
          <w:szCs w:val="20"/>
          <w:color w:val="auto"/>
        </w:rPr>
      </w:pPr>
      <w:r>
        <w:rPr>
          <w:rFonts w:ascii="Arial" w:cs="Arial" w:eastAsia="Arial" w:hAnsi="Arial"/>
          <w:sz w:val="18"/>
          <w:szCs w:val="18"/>
          <w:color w:val="auto"/>
        </w:rPr>
        <w:t>Interest expense decreased $6.2 million, or 85%, to $1.1 million for fiscal 2022 as compared to fiscal 2021. The decrease was primarily due to the full repayment of our previously outstanding senior secured term loan (“Term Loan B”) in connection with the IPO in September 2020, partially offset by interest on average outstanding balances under the Revolver during the current period.</w:t>
      </w:r>
    </w:p>
    <w:p>
      <w:pPr>
        <w:spacing w:after="0" w:line="152"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Other income (loss) increased $2.0 million, or 922%, to $2.2 million for fiscal 2022 as compared to fiscal 2021, primarily reflecting gains related to adjustments in connection with the Tax Receivable Agreements, offset by net foreign currency transaction losses and losses related to the write-off of certain property and equipment.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Investment income increased $9.5 million, or 137%, to $16.4 million for fiscal 2021 as compared to fiscal 2020, primarily reflecting overall changes in the valuations of the underlying investments in the StepStone Funds.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 income decreased $1.0 million, or 71%, to $0.4 million for fiscal 2021 as compared to fiscal 2020.</w:t>
      </w:r>
    </w:p>
    <w:p>
      <w:pPr>
        <w:spacing w:after="0" w:line="216" w:lineRule="exact"/>
        <w:rPr>
          <w:sz w:val="20"/>
          <w:szCs w:val="20"/>
          <w:color w:val="auto"/>
        </w:rPr>
      </w:pPr>
    </w:p>
    <w:p>
      <w:pPr>
        <w:ind w:right="280" w:firstLine="648"/>
        <w:spacing w:after="0" w:line="269" w:lineRule="auto"/>
        <w:rPr>
          <w:sz w:val="20"/>
          <w:szCs w:val="20"/>
          <w:color w:val="auto"/>
        </w:rPr>
      </w:pPr>
      <w:r>
        <w:rPr>
          <w:rFonts w:ascii="Arial" w:cs="Arial" w:eastAsia="Arial" w:hAnsi="Arial"/>
          <w:sz w:val="19"/>
          <w:szCs w:val="19"/>
          <w:color w:val="auto"/>
        </w:rPr>
        <w:t>Interest expense decreased $2.9 million, or 28%, to $7.4 million for fiscal 2021 as compared to fiscal 2020. The decrease was primarily due to the full repayment of our Term Loan B in connection with the IPO in September 2020, partially offset by the write-off of $3.5 million in unamortized debt issuance costs and discount with the full repayment of our Term Loan B.</w:t>
      </w:r>
    </w:p>
    <w:p>
      <w:pPr>
        <w:spacing w:after="0" w:line="17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Other income (loss) increased $1.6 million to income of $0.2 million for fiscal 2021 as compared to fiscal 2020, primarily reflecting favorable foreign currency translation.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Income tax expense primarily reflects U.S. federal and state income taxes on our share of taxable income generated by the Partnership, as well as local and foreign income taxes of certain of the Partnership’s subsidiaries. Prior to the Reorganization and IPO, income tax expense consisted of local income taxes and foreign income taxes for subsidiaries that have operations outside of the United States, as the Partnership is treated as a flow-through entity and is not subject to U.S. federal and state income taxes.</w:t>
      </w:r>
    </w:p>
    <w:p>
      <w:pPr>
        <w:spacing w:after="0" w:line="161"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Our effective income tax rate was 5.5%, 6.9%, and 2.6% for fiscal 2022, 2021 and 2020, respectively. Our overall effective tax rate in each of the periods described above is less than the statutory rate primarily because a portion of income is allocated to non-controlling interests, as the tax liability on such income is borne by the holders of such non-controlling interests. Additionally, for the period prior to the Reorganization and IPO, we operated as a partnership for U.S. federal income tax purposes and were not subject to U.S. federal and state income taxes.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2022 Compared to Year Ended March 31, 2021</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Income tax expense increased $5.0 million, or 22%, to $28.3 million for fiscal 2022 as compared to fiscal 2021. The increase was primarily due to the additional U.S. federal and state income taxes recognized on our share of taxable income generated by the Partnership as a result of our increased ownership in the Partnership, partially offset by the release of a valuation allowance during the current year as a result of the Greenspring acquisition. Additionally, for the period prior to the Reorganization and IPO, we operated as a partnership for U.S. federal income tax purposes and were not subject to U.S. federal and state income taxes.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Income tax expense increased $19.3 million, or 488%, to $23.3 million for fiscal 2021 as compared to fiscal 2020. The increase was primarily related to U.S. federal and state income taxes recognized on our share of taxable income generated by the Partnership for fiscal 2021 and a general increase in taxes paid in non-U.S. subsidiaries. For the period prior to the Reorganization and IPO, we were not subject to U.S. federal and state income taxes.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$3.4 million, or 15%, to $26.6 million for fiscal 2022 as compared to fiscal 2021. The increase was primarily attributable to an increase in income generated by our consolidated subsidiaries not wholly-owned by us.</w:t>
      </w:r>
    </w:p>
    <w:p>
      <w:pPr>
        <w:spacing w:after="0" w:line="186"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$10.3 million, or 80%, to $23.2 million for fiscal 2021 as compared to fiscal 2020. The increase was primarily attributable to an increase in income generated by our consolidated subsidiaries not wholly-owned by us.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Legacy Greenspring Entities</w:t>
      </w:r>
    </w:p>
    <w:p>
      <w:pPr>
        <w:spacing w:after="0" w:line="222"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Net income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attributable to non-controlling interests in legacy Greenspring entities was $32.6 million for fiscal 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the Partnership</w:t>
      </w:r>
    </w:p>
    <w:p>
      <w:pPr>
        <w:spacing w:after="0" w:line="22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Net income attributable to non-controlling interests in the Partnership represents the portion of net income or loss attributable to the interests held by the Class B and Class C unitholders of the Partnership. Net income attributable to non-controlling interests in the Partnership was $231.2 million, $228.8 million and $131.9 million for fiscal 2022, 2021 and 2020, respectively. Prior to the Reorganization and IPO, all of our income or loss relates to the Partnership and has been presented as non-controlling interests in the Partnership.</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Operating Metrics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AUM was $67 billion as of March 31, 2020, $86 billion as of March 31, 2021 and $134 billion as of March 31, 2022. </w:t>
      </w:r>
      <w:r>
        <w:rPr>
          <w:rFonts w:ascii="Arial" w:cs="Arial" w:eastAsia="Arial" w:hAnsi="Arial"/>
          <w:sz w:val="20"/>
          <w:szCs w:val="20"/>
          <w:color w:val="231F20"/>
        </w:rPr>
        <w:t>The acquisition</w:t>
      </w:r>
      <w:r>
        <w:rPr>
          <w:rFonts w:ascii="Arial" w:cs="Arial" w:eastAsia="Arial" w:hAnsi="Arial"/>
          <w:sz w:val="20"/>
          <w:szCs w:val="20"/>
          <w:color w:val="auto"/>
        </w:rPr>
        <w:t xml:space="preserve"> </w:t>
      </w:r>
      <w:r>
        <w:rPr>
          <w:rFonts w:ascii="Arial" w:cs="Arial" w:eastAsia="Arial" w:hAnsi="Arial"/>
          <w:sz w:val="20"/>
          <w:szCs w:val="20"/>
          <w:color w:val="231F20"/>
        </w:rPr>
        <w:t>of Greenspring added $22 billion of AUM as of September 20, 2021.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Assets related to our advisory accounts were $229 billion as of March 31, 2020, $340 billion as of March 31, 2021 and $436 billion as of March 31, 2022. As described under “Key Operating Metrics—Assets Under Advisement,” we modified our calculation of AUA beginning in the quarter ended March 31, 2021 to include, with respect to our advisory clients, the portion of their portfolio assets for which we do not directly provide recommendations, monitoring and/or reporting services. This change increased AUA by approximately $70 billion for the quarter ended March 31, 2021. Prior period amounts have not been recast for this change because such historical data does not exist.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2022</w:t>
      </w:r>
    </w:p>
    <w:p>
      <w:pPr>
        <w:spacing w:after="0" w:line="216"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FEAUM increased $23 billion, or 45%, to approximately $75 billion as of March 31, 2022 as compared to approximately $52 billion as of March 31, 2021. The increase was primarily attributable to a $14 billion increase in focused commingled funds due to the Greenspring acquisition, which added approximately $11 billion of FEAUM, and $9 billion from SMAs.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FEAUM increased $11 billion, or 26%, to approximately $52 billion as of March 31, 2021 as compared to approximately $41 billion as of March 31, 2020. Of the increase, approximately $9 billion was from SMAs and approximately $1 billion was from focused commingled funds.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692"/>
              <w:spacing w:after="0"/>
              <w:rPr>
                <w:sz w:val="20"/>
                <w:szCs w:val="20"/>
                <w:color w:val="auto"/>
              </w:rPr>
            </w:pPr>
            <w:r>
              <w:rPr>
                <w:rFonts w:ascii="Arial" w:cs="Arial" w:eastAsia="Arial" w:hAnsi="Arial"/>
                <w:sz w:val="16"/>
                <w:szCs w:val="16"/>
                <w:b w:val="1"/>
                <w:bCs w:val="1"/>
                <w:color w:val="auto"/>
                <w:w w:val="93"/>
              </w:rPr>
              <w:t>Year Ended March 31, 2022</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85"/>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52,008</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16,203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line="230" w:lineRule="exact"/>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11,407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Market value, FX and other</w:t>
            </w:r>
            <w:r>
              <w:rPr>
                <w:rFonts w:ascii="Arial" w:cs="Arial" w:eastAsia="Arial" w:hAnsi="Arial"/>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49,586</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75,173</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0"/>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692"/>
              <w:spacing w:after="0"/>
              <w:rPr>
                <w:sz w:val="20"/>
                <w:szCs w:val="20"/>
                <w:color w:val="auto"/>
              </w:rPr>
            </w:pPr>
            <w:r>
              <w:rPr>
                <w:rFonts w:ascii="Arial" w:cs="Arial" w:eastAsia="Arial" w:hAnsi="Arial"/>
                <w:sz w:val="16"/>
                <w:szCs w:val="16"/>
                <w:b w:val="1"/>
                <w:bCs w:val="1"/>
                <w:color w:val="auto"/>
                <w:w w:val="93"/>
              </w:rPr>
              <w:t>Year Ended March 31, 2021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85"/>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41,193</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Market value, FX and other</w:t>
            </w:r>
            <w:r>
              <w:rPr>
                <w:rFonts w:ascii="Arial" w:cs="Arial" w:eastAsia="Arial" w:hAnsi="Arial"/>
                <w:sz w:val="23"/>
                <w:szCs w:val="23"/>
                <w:color w:val="auto"/>
                <w:vertAlign w:val="superscript"/>
              </w:rPr>
              <w:t>(4)</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300" w:hanging="652"/>
        <w:spacing w:after="0" w:line="250"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81" w:lineRule="auto"/>
        <w:tabs>
          <w:tab w:leader="none" w:pos="654"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spacing w:after="0" w:line="1" w:lineRule="exact"/>
        <w:rPr>
          <w:rFonts w:ascii="Arial" w:cs="Arial" w:eastAsia="Arial" w:hAnsi="Arial"/>
          <w:sz w:val="16"/>
          <w:szCs w:val="16"/>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approximately $11.4 billion of focused commingled funds added as a result of the Greenspring acquisition.</w:t>
      </w:r>
    </w:p>
    <w:p>
      <w:pPr>
        <w:spacing w:after="0" w:line="9" w:lineRule="exact"/>
        <w:rPr>
          <w:rFonts w:ascii="Arial" w:cs="Arial" w:eastAsia="Arial" w:hAnsi="Arial"/>
          <w:sz w:val="18"/>
          <w:szCs w:val="18"/>
          <w:color w:val="auto"/>
        </w:rPr>
      </w:pPr>
    </w:p>
    <w:p>
      <w:pPr>
        <w:ind w:left="660" w:right="200" w:hanging="652"/>
        <w:spacing w:after="0" w:line="260"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 of March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FEAUM</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060" w:type="dxa"/>
            <w:vAlign w:val="bottom"/>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40,396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24,533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19,929</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Private debt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6,328</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r>
      <w:tr>
        <w:trPr>
          <w:trHeight w:val="223"/>
        </w:trPr>
        <w:tc>
          <w:tcPr>
            <w:tcW w:w="6060" w:type="dxa"/>
            <w:vAlign w:val="bottom"/>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41,193</w:t>
            </w:r>
          </w:p>
        </w:tc>
      </w:tr>
      <w:tr>
        <w:trPr>
          <w:trHeight w:val="21"/>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Balance as of March 31, 2022 includes approximately $11.4 billion of focused commingled funds added as a result of the Greenspring acquisition.</w:t>
      </w:r>
    </w:p>
    <w:p>
      <w:pPr>
        <w:spacing w:after="0" w:line="270"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As of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10"/>
        </w:trPr>
        <w:tc>
          <w:tcPr>
            <w:tcW w:w="764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620" w:type="dxa"/>
            <w:vAlign w:val="bottom"/>
          </w:tcPr>
          <w:p>
            <w:pPr>
              <w:jc w:val="right"/>
              <w:spacing w:after="0"/>
              <w:rPr>
                <w:sz w:val="20"/>
                <w:szCs w:val="20"/>
                <w:color w:val="auto"/>
              </w:rPr>
            </w:pPr>
            <w:r>
              <w:rPr>
                <w:rFonts w:ascii="Arial" w:cs="Arial" w:eastAsia="Arial" w:hAnsi="Arial"/>
                <w:sz w:val="18"/>
                <w:szCs w:val="18"/>
                <w:color w:val="auto"/>
              </w:rPr>
              <w:t>0.64 %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0.62 %</w:t>
            </w:r>
          </w:p>
        </w:tc>
      </w:tr>
      <w:tr>
        <w:trPr>
          <w:trHeight w:val="229"/>
        </w:trPr>
        <w:tc>
          <w:tcPr>
            <w:tcW w:w="8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Real estate, infrastructure and private debt asset classes</w:t>
            </w:r>
            <w:r>
              <w:rPr>
                <w:rFonts w:ascii="Arial" w:cs="Arial" w:eastAsia="Arial" w:hAnsi="Arial"/>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r>
      <w:tr>
        <w:trPr>
          <w:trHeight w:val="223"/>
        </w:trPr>
        <w:tc>
          <w:tcPr>
            <w:tcW w:w="7640" w:type="dxa"/>
            <w:vAlign w:val="bottom"/>
          </w:tcPr>
          <w:p>
            <w:pPr>
              <w:ind w:left="4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8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0.52 %</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80" w:hanging="652"/>
        <w:spacing w:after="0" w:line="250"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 and is inclusive of any retroactive fees for such period.</w:t>
      </w: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shifts in asset class mix.</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300" w:firstLine="648"/>
        <w:spacing w:after="0" w:line="246" w:lineRule="auto"/>
        <w:rPr>
          <w:sz w:val="20"/>
          <w:szCs w:val="20"/>
          <w:color w:val="auto"/>
        </w:rPr>
      </w:pPr>
      <w:r>
        <w:rPr>
          <w:rFonts w:ascii="Arial" w:cs="Arial" w:eastAsia="Arial" w:hAnsi="Arial"/>
          <w:sz w:val="20"/>
          <w:szCs w:val="20"/>
          <w:color w:val="auto"/>
        </w:rPr>
        <w:t>As of March 31, 2022, we had $17.0 billion of undeployed fee-earning capital, which will generate management fee revenue once this capital is invested or activated.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FRE and ANI:</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w w:val="93"/>
              </w:rPr>
              <w:t>Year Ended 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advisory fees,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235,205</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Cash-based compensation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130,730</w:t>
            </w: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Fee-related earnings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61,559</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carried interest allocations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46,177</w:t>
            </w: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Incentive fees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incentive fees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Realized investment income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Write-off of unamortized deferred financing costs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performance fee-related compensation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26,958</w:t>
            </w: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10,211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attributable to non-controlling interests in subsidiaries: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line="230" w:lineRule="exact"/>
              <w:rPr>
                <w:sz w:val="20"/>
                <w:szCs w:val="20"/>
                <w:color w:val="auto"/>
              </w:rPr>
            </w:pPr>
            <w:r>
              <w:rPr>
                <w:rFonts w:ascii="Arial" w:cs="Arial" w:eastAsia="Arial" w:hAnsi="Arial"/>
                <w:sz w:val="18"/>
                <w:szCs w:val="18"/>
                <w:color w:val="auto"/>
              </w:rPr>
              <w:t>Fee-related earnings attributable to non-controlling interests in subsidiaries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12,781</w:t>
            </w: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2"/>
              </w:rPr>
              <w:t>Performance-related earnings/other income (loss) attributable to non-controlling interests in</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700"/>
              <w:spacing w:after="0" w:line="230" w:lineRule="exact"/>
              <w:rPr>
                <w:sz w:val="20"/>
                <w:szCs w:val="20"/>
                <w:color w:val="auto"/>
              </w:rPr>
            </w:pPr>
            <w:r>
              <w:rPr>
                <w:rFonts w:ascii="Arial" w:cs="Arial" w:eastAsia="Arial" w:hAnsi="Arial"/>
                <w:sz w:val="18"/>
                <w:szCs w:val="18"/>
                <w:color w:val="auto"/>
              </w:rPr>
              <w:t>subsidiaries</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Pre-tax adjusted net income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223,095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66,858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Less: Income taxes</w:t>
            </w:r>
            <w:r>
              <w:rPr>
                <w:rFonts w:ascii="Arial" w:cs="Arial" w:eastAsia="Arial" w:hAnsi="Arial"/>
                <w:sz w:val="23"/>
                <w:szCs w:val="23"/>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172,943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subsequent to the IPO.</w:t>
      </w:r>
    </w:p>
    <w:p>
      <w:pPr>
        <w:spacing w:after="0" w:line="9" w:lineRule="exact"/>
        <w:rPr>
          <w:rFonts w:ascii="Arial" w:cs="Arial" w:eastAsia="Arial" w:hAnsi="Arial"/>
          <w:sz w:val="18"/>
          <w:szCs w:val="18"/>
          <w:color w:val="auto"/>
        </w:rPr>
      </w:pPr>
    </w:p>
    <w:p>
      <w:pPr>
        <w:ind w:left="660" w:right="80" w:hanging="652"/>
        <w:spacing w:after="0" w:line="250" w:lineRule="auto"/>
        <w:tabs>
          <w:tab w:leader="none" w:pos="6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compensation paid to certain equity holders as part of an acquisition earn-out ($1.4 million in fiscal 2020), transaction costs ($14.2 million in fiscal 2022, $0.4 million in fiscal 2021, and $1.2 million in fiscal 2020), severance costs ($1.6 million in fiscal 2022, $4.2 million in fiscal 2021, and $1.0 million in fiscal 2020), loss on change in fair value for contingent consideration obligation ($9.6 million in fiscal 2022 and $1.6 million in fiscal 2021), compensation paid to certain employees as part of an acquisition earn-out ($0.8 million in fiscal 2022) and other non-core operating income and expenses.</w:t>
      </w:r>
    </w:p>
    <w:p>
      <w:pPr>
        <w:spacing w:after="0" w:line="1" w:lineRule="exact"/>
        <w:rPr>
          <w:rFonts w:ascii="Arial" w:cs="Arial" w:eastAsia="Arial" w:hAnsi="Arial"/>
          <w:sz w:val="18"/>
          <w:szCs w:val="18"/>
          <w:color w:val="auto"/>
        </w:rPr>
      </w:pPr>
    </w:p>
    <w:p>
      <w:pPr>
        <w:ind w:left="660" w:right="80" w:hanging="652"/>
        <w:spacing w:after="0" w:line="250" w:lineRule="auto"/>
        <w:tabs>
          <w:tab w:leader="none" w:pos="6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other income (loss) net of amounts for Tax Receivable Agreements adjustments recognized as other income (loss) ($3.6 million for fiscal 2022).</w:t>
      </w:r>
    </w:p>
    <w:p>
      <w:pPr>
        <w:ind w:left="640" w:hanging="63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the portion of fee-related earnings of our subsidiaries attributable to non-controlling interests.</w:t>
      </w:r>
    </w:p>
    <w:p>
      <w:pPr>
        <w:spacing w:after="0" w:line="9" w:lineRule="exact"/>
        <w:rPr>
          <w:rFonts w:ascii="Arial" w:cs="Arial" w:eastAsia="Arial" w:hAnsi="Arial"/>
          <w:sz w:val="18"/>
          <w:szCs w:val="18"/>
          <w:color w:val="auto"/>
        </w:rPr>
      </w:pPr>
    </w:p>
    <w:p>
      <w:pPr>
        <w:ind w:left="660" w:right="340" w:hanging="652"/>
        <w:spacing w:after="0" w:line="290" w:lineRule="auto"/>
        <w:tabs>
          <w:tab w:leader="none" w:pos="654"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Reflects components of pre-tax adjusted net income of our subsidiaries attributable to non-controlling interests other than fee-related earnings, including incentive fees and related compensation, realized investment income, net interest expense and other income (loss).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180" w:hanging="652"/>
        <w:spacing w:after="0" w:line="285" w:lineRule="auto"/>
        <w:tabs>
          <w:tab w:leader="none" w:pos="654"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22.5%, 22.6% and 25.0% applied to pre-tax adjusted net income for fiscal 2022, 2021 and 2020, respectively. The 22.5% rate for fiscal 2022 is based on a federal statutory rate of 21.0% and a combined state, local and foreign rate net of federal benefits of 1.5%. The 22.6% rate for fiscal 2021 is based on a federal statutory rate of 21.0% and a combined state, local and foreign rate net of federal benefits of 1.6%. As we were not subject to U.S. federal and state income taxes prior to the Reorganization and IPO, a blended statutory rate of 25.0% has been applied to fiscal 2020 for comparability purposes. The decline in the blended statutory rate for fiscal</w:t>
      </w:r>
    </w:p>
    <w:p>
      <w:pPr>
        <w:spacing w:after="0" w:line="1"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2022 compared to fiscal 2021 was due to updates in our state apportionment based on our most recently filed tax returns and is our best estimate of our blended statutory tax rate moving forward. The decline in the blended statutory rate for fiscal 2021 compared to fiscal 2020 was due to updates in our state apportionment.</w:t>
      </w:r>
    </w:p>
    <w:p>
      <w:pPr>
        <w:spacing w:after="0" w:line="18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b w:val="1"/>
          <w:bCs w:val="1"/>
          <w:color w:val="auto"/>
        </w:rPr>
        <w:t>Adjusted Revenues and Adjusted Net Income</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i w:val="1"/>
          <w:iCs w:val="1"/>
          <w:color w:val="auto"/>
        </w:rPr>
        <w:t>Year Ended March 31, 2022 Compared to Year Ended March 31, 2021</w:t>
      </w:r>
    </w:p>
    <w:p>
      <w:pPr>
        <w:spacing w:after="0" w:line="216" w:lineRule="exact"/>
        <w:rPr>
          <w:sz w:val="20"/>
          <w:szCs w:val="20"/>
          <w:color w:val="auto"/>
        </w:rPr>
      </w:pPr>
    </w:p>
    <w:p>
      <w:pPr>
        <w:ind w:right="540" w:firstLine="648"/>
        <w:spacing w:after="0" w:line="250" w:lineRule="auto"/>
        <w:rPr>
          <w:sz w:val="20"/>
          <w:szCs w:val="20"/>
          <w:color w:val="auto"/>
        </w:rPr>
      </w:pPr>
      <w:r>
        <w:rPr>
          <w:rFonts w:ascii="Arial" w:cs="Arial" w:eastAsia="Arial" w:hAnsi="Arial"/>
          <w:sz w:val="20"/>
          <w:szCs w:val="20"/>
          <w:color w:val="auto"/>
        </w:rPr>
        <w:t>Adjusted revenues increased $235.4 million, or 66%, to $594.0 million for fiscal 2022 as compared to fiscal 2021, primarily reflecting increases in net management and advisory fees, realized carried interest allocation revenues and incentive fees (including the deferred portion).</w:t>
      </w:r>
    </w:p>
    <w:p>
      <w:pPr>
        <w:spacing w:after="0" w:line="186"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ANI increased $87.5 million, or 103%, to $172.9 million for fiscal 2022 as compared to fiscal 2021, primarily due to increases in FRE as discussed below, as well as higher net realized performance fee-related earnings (incentive fees, including the deferred portion, plus realized carried interest allocation revenues, less realized performance fee-related compensation). These increases were partially offset by a higher allocation of income to non-controlling interests.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Adjusted revenues increased $73.0 million, or 26%, to $358.6 million for fiscal 2021 as compared to fiscal 2020, primarily reflecting increases in net management and advisory fees, realized carried interest allocation revenues and incentive fees (including the deferred portion).</w:t>
      </w:r>
    </w:p>
    <w:p>
      <w:pPr>
        <w:spacing w:after="0" w:line="172" w:lineRule="exact"/>
        <w:rPr>
          <w:sz w:val="20"/>
          <w:szCs w:val="20"/>
          <w:color w:val="auto"/>
        </w:rPr>
      </w:pPr>
    </w:p>
    <w:p>
      <w:pPr>
        <w:ind w:right="140" w:firstLine="648"/>
        <w:spacing w:after="0" w:line="227" w:lineRule="auto"/>
        <w:rPr>
          <w:sz w:val="20"/>
          <w:szCs w:val="20"/>
          <w:color w:val="auto"/>
        </w:rPr>
      </w:pPr>
      <w:r>
        <w:rPr>
          <w:rFonts w:ascii="Arial" w:cs="Arial" w:eastAsia="Arial" w:hAnsi="Arial"/>
          <w:sz w:val="20"/>
          <w:szCs w:val="20"/>
          <w:color w:val="auto"/>
        </w:rPr>
        <w:t>ANI increased $35.3 million, or 70%, to $85.4 million for fiscal 2021 as compared to fiscal 2020, primarily due to increases in FRE as discussed below, as well as higher net realized performance fee-related earnings. These increases were partially offset by a higher allocation of income to non-controlling interests.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The following table shows a reconciliation of diluted weighted-average shares of Class A common stock outstanding to adjusted shares outstanding used in the computation of ANI per share for fiscal 2022, 2021 and 2020. As Class A common stock did not exist prior to the Reorganization and IPO, the number of adjusted shares outstanding used in the computation of ANI per share for all prior year periods presented reflect the number of adjusted shares for the period from the IPO date to September 30, 2020 for comparability purposes.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Year Ended March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172,943</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line="230" w:lineRule="exact"/>
              <w:rPr>
                <w:sz w:val="20"/>
                <w:szCs w:val="20"/>
                <w:color w:val="auto"/>
              </w:rPr>
            </w:pPr>
            <w:r>
              <w:rPr>
                <w:rFonts w:ascii="Arial" w:cs="Arial" w:eastAsia="Arial" w:hAnsi="Arial"/>
                <w:sz w:val="18"/>
                <w:szCs w:val="18"/>
                <w:color w:val="auto"/>
                <w:w w:val="96"/>
              </w:rPr>
              <w:t>Weighted-average shares of Class A common stock outstanding – Basic</w:t>
            </w:r>
            <w:r>
              <w:rPr>
                <w:rFonts w:ascii="Arial" w:cs="Arial" w:eastAsia="Arial" w:hAnsi="Arial"/>
                <w:sz w:val="23"/>
                <w:szCs w:val="23"/>
                <w:color w:val="auto"/>
                <w:w w:val="96"/>
                <w:vertAlign w:val="superscript"/>
              </w:rPr>
              <w:t>(1)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49,833,760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29,657,805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29,237,500</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of RSUs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0" w:type="dxa"/>
            <w:vAlign w:val="bottom"/>
          </w:tcPr>
          <w:p>
            <w:pPr>
              <w:spacing w:after="0"/>
              <w:rPr>
                <w:sz w:val="1"/>
                <w:szCs w:val="1"/>
                <w:color w:val="auto"/>
              </w:rPr>
            </w:pPr>
          </w:p>
        </w:tc>
      </w:tr>
      <w:tr>
        <w:trPr>
          <w:trHeight w:val="229"/>
        </w:trPr>
        <w:tc>
          <w:tcPr>
            <w:tcW w:w="5780" w:type="dxa"/>
            <w:vAlign w:val="bottom"/>
          </w:tcPr>
          <w:p>
            <w:pPr>
              <w:ind w:left="460"/>
              <w:spacing w:after="0"/>
              <w:rPr>
                <w:sz w:val="20"/>
                <w:szCs w:val="20"/>
                <w:color w:val="auto"/>
              </w:rPr>
            </w:pPr>
            <w:r>
              <w:rPr>
                <w:rFonts w:ascii="Arial" w:cs="Arial" w:eastAsia="Arial" w:hAnsi="Arial"/>
                <w:sz w:val="18"/>
                <w:szCs w:val="18"/>
                <w:color w:val="auto"/>
              </w:rPr>
              <w:t>Assumed vesting and exchange of Class B2 units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2,476,681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2,465,420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2,411,318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Exchange of Class B units in the Partnership</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52,028,095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65,158,526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0" w:type="dxa"/>
            <w:vAlign w:val="bottom"/>
          </w:tcPr>
          <w:p>
            <w:pPr>
              <w:spacing w:after="0"/>
              <w:rPr>
                <w:sz w:val="1"/>
                <w:szCs w:val="1"/>
                <w:color w:val="auto"/>
              </w:rPr>
            </w:pPr>
          </w:p>
        </w:tc>
      </w:tr>
      <w:tr>
        <w:trPr>
          <w:trHeight w:val="229"/>
        </w:trPr>
        <w:tc>
          <w:tcPr>
            <w:tcW w:w="5780" w:type="dxa"/>
            <w:vAlign w:val="bottom"/>
          </w:tcPr>
          <w:p>
            <w:pPr>
              <w:ind w:left="460"/>
              <w:spacing w:after="0" w:line="230" w:lineRule="exact"/>
              <w:rPr>
                <w:sz w:val="20"/>
                <w:szCs w:val="20"/>
                <w:color w:val="auto"/>
              </w:rPr>
            </w:pPr>
            <w:r>
              <w:rPr>
                <w:rFonts w:ascii="Arial" w:cs="Arial" w:eastAsia="Arial" w:hAnsi="Arial"/>
                <w:sz w:val="18"/>
                <w:szCs w:val="18"/>
                <w:color w:val="auto"/>
              </w:rPr>
              <w:t>Exchange of Class C units in the Partnership</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1,563,316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shares</w:t>
            </w:r>
            <w:r>
              <w:rPr>
                <w:rFonts w:ascii="Arial" w:cs="Arial" w:eastAsia="Arial" w:hAnsi="Arial"/>
                <w:sz w:val="23"/>
                <w:szCs w:val="23"/>
                <w:color w:val="auto"/>
                <w:vertAlign w:val="superscript"/>
              </w:rPr>
              <w:t>(3)</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107,191,661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98,433,330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97,972,996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78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Assumes the full exchange of Class B units in the Partnership for Class A common stock of SSG pursuant to the Class B Exchange Agreement.</w:t>
      </w:r>
    </w:p>
    <w:p>
      <w:pPr>
        <w:spacing w:after="0" w:line="32" w:lineRule="exact"/>
        <w:rPr>
          <w:rFonts w:ascii="Arial" w:cs="Arial" w:eastAsia="Arial" w:hAnsi="Arial"/>
          <w:sz w:val="16"/>
          <w:szCs w:val="16"/>
          <w:color w:val="auto"/>
        </w:rPr>
      </w:pPr>
    </w:p>
    <w:p>
      <w:pPr>
        <w:ind w:left="640" w:hanging="632"/>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Assumes the full exchange of Class C units in the Partnership for Class A common stock of SSG pursuant to the Class C Exchange Agreement.</w:t>
      </w:r>
    </w:p>
    <w:p>
      <w:pPr>
        <w:spacing w:after="0" w:line="32" w:lineRule="exact"/>
        <w:rPr>
          <w:rFonts w:ascii="Arial" w:cs="Arial" w:eastAsia="Arial" w:hAnsi="Arial"/>
          <w:sz w:val="16"/>
          <w:szCs w:val="16"/>
          <w:color w:val="auto"/>
        </w:rPr>
      </w:pPr>
    </w:p>
    <w:p>
      <w:pPr>
        <w:ind w:left="660" w:right="60" w:hanging="652"/>
        <w:spacing w:after="0" w:line="255" w:lineRule="auto"/>
        <w:tabs>
          <w:tab w:leader="none" w:pos="6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Class A common stock did not exist prior to the Reorganization and IPO in September 2020. As a result, the computation of ANI per share for the period prior to the Reorganization and IPO assumes the same number of adjusted shares outstanding as reported for the period after the IPO through September 30, 2020.</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Fee-Related Earnings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i w:val="1"/>
          <w:iCs w:val="1"/>
          <w:color w:val="auto"/>
        </w:rPr>
        <w:t>Year Ended March 31, 2022 Compared to Year Ended March 31, 2021</w:t>
      </w:r>
    </w:p>
    <w:p>
      <w:pPr>
        <w:spacing w:after="0" w:line="216" w:lineRule="exact"/>
        <w:rPr>
          <w:sz w:val="20"/>
          <w:szCs w:val="20"/>
          <w:color w:val="auto"/>
        </w:rPr>
      </w:pPr>
    </w:p>
    <w:p>
      <w:pPr>
        <w:jc w:val="both"/>
        <w:ind w:right="260" w:firstLine="648"/>
        <w:spacing w:after="0" w:line="250" w:lineRule="auto"/>
        <w:rPr>
          <w:sz w:val="20"/>
          <w:szCs w:val="20"/>
          <w:color w:val="auto"/>
        </w:rPr>
      </w:pPr>
      <w:r>
        <w:rPr>
          <w:rFonts w:ascii="Arial" w:cs="Arial" w:eastAsia="Arial" w:hAnsi="Arial"/>
          <w:sz w:val="20"/>
          <w:szCs w:val="20"/>
          <w:color w:val="auto"/>
        </w:rPr>
        <w:t>FRE increased $32.8 million, or 37%, to $122.2 million for fiscal 2022 as compared to fiscal 2021, primarily reflecting higher net management and advisory fees, partially offset by higher cash-based compensation, general, administrative and other expenses and equity-based compensation.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Year Ended March 31, 2021 Compared to Year Ended March 31, 2020</w:t>
      </w:r>
    </w:p>
    <w:p>
      <w:pPr>
        <w:spacing w:after="0" w:line="216" w:lineRule="exact"/>
        <w:rPr>
          <w:sz w:val="20"/>
          <w:szCs w:val="20"/>
          <w:color w:val="auto"/>
        </w:rPr>
      </w:pPr>
    </w:p>
    <w:p>
      <w:pPr>
        <w:jc w:val="both"/>
        <w:ind w:right="360" w:firstLine="648"/>
        <w:spacing w:after="0" w:line="385" w:lineRule="auto"/>
        <w:rPr>
          <w:sz w:val="20"/>
          <w:szCs w:val="20"/>
          <w:color w:val="auto"/>
        </w:rPr>
      </w:pPr>
      <w:r>
        <w:rPr>
          <w:rFonts w:ascii="Arial" w:cs="Arial" w:eastAsia="Arial" w:hAnsi="Arial"/>
          <w:sz w:val="16"/>
          <w:szCs w:val="16"/>
          <w:color w:val="auto"/>
        </w:rPr>
        <w:t>FRE increased $27.9 million, or 45%, to $89.5 million for fiscal 2021 as compared to fiscal 2020, primarily reflecting higher net management and advisory fees and lower general, administrative and other expenses, partially offset by higher cash-based compensation.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Reconciliation of GAAP to 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revenues to adjusted 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446,611</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Unrealized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(161,819)</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incentive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Legacy Greenspring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revenues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285,591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before income tax to ANI and FRE.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2020</w:t>
            </w:r>
          </w:p>
        </w:tc>
      </w:tr>
      <w:tr>
        <w:trPr>
          <w:trHeight w:val="22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148,740</w:t>
            </w:r>
          </w:p>
        </w:tc>
      </w:tr>
      <w:tr>
        <w:trPr>
          <w:trHeight w:val="229"/>
        </w:trPr>
        <w:tc>
          <w:tcPr>
            <w:tcW w:w="7320" w:type="dxa"/>
            <w:vAlign w:val="bottom"/>
          </w:tcPr>
          <w:p>
            <w:pPr>
              <w:ind w:left="360"/>
              <w:spacing w:after="0" w:line="230" w:lineRule="exact"/>
              <w:rPr>
                <w:sz w:val="20"/>
                <w:szCs w:val="20"/>
                <w:color w:val="auto"/>
              </w:rPr>
            </w:pPr>
            <w:r>
              <w:rPr>
                <w:rFonts w:ascii="Arial" w:cs="Arial" w:eastAsia="Arial" w:hAnsi="Arial"/>
                <w:sz w:val="18"/>
                <w:szCs w:val="18"/>
                <w:color w:val="auto"/>
              </w:rPr>
              <w:t>Net income attributable to non-controlling interests in subsidiaries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(12,052)</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 in legacy Greenspring entities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Unrealized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(161,819)</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performance fee-related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82,701</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Unrealized investment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(2,873)</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incentive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7320" w:type="dxa"/>
            <w:vAlign w:val="bottom"/>
          </w:tcPr>
          <w:p>
            <w:pPr>
              <w:ind w:left="360"/>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1,915</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Write-off of unamortized deferred financing costs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Receivable Agreements adjustments through earnings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adjusted 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66,858</w:t>
            </w:r>
          </w:p>
        </w:tc>
      </w:tr>
      <w:tr>
        <w:trPr>
          <w:trHeight w:val="229"/>
        </w:trPr>
        <w:tc>
          <w:tcPr>
            <w:tcW w:w="73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50,143</w:t>
            </w:r>
          </w:p>
        </w:tc>
      </w:tr>
      <w:tr>
        <w:trPr>
          <w:trHeight w:val="229"/>
        </w:trPr>
        <w:tc>
          <w:tcPr>
            <w:tcW w:w="7320" w:type="dxa"/>
            <w:vAlign w:val="bottom"/>
          </w:tcPr>
          <w:p>
            <w:pPr>
              <w:ind w:left="3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16,715</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carried interest allocations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(46,177)</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Realized performance fee-related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26,958</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investment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Incentive fees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(3,410)</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incentive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w:t>
            </w:r>
          </w:p>
        </w:tc>
      </w:tr>
      <w:tr>
        <w:trPr>
          <w:trHeight w:val="229"/>
        </w:trPr>
        <w:tc>
          <w:tcPr>
            <w:tcW w:w="7320" w:type="dxa"/>
            <w:vAlign w:val="bottom"/>
          </w:tcPr>
          <w:p>
            <w:pPr>
              <w:ind w:left="36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1,355</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Write-off of unamortized deferred financing costs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Net income attributable to non-controlling interests in subsidiaries</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Fee-related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the portion of pre-tax adjusted net income of our subsidiaries attributable to non-controlling interests.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equity-based compensation for awards granted prior to and in connection with the IPO.</w:t>
      </w:r>
    </w:p>
    <w:p>
      <w:pPr>
        <w:spacing w:after="0" w:line="9" w:lineRule="exact"/>
        <w:rPr>
          <w:rFonts w:ascii="Arial" w:cs="Arial" w:eastAsia="Arial" w:hAnsi="Arial"/>
          <w:sz w:val="18"/>
          <w:szCs w:val="18"/>
          <w:color w:val="auto"/>
        </w:rPr>
      </w:pPr>
    </w:p>
    <w:p>
      <w:pPr>
        <w:ind w:left="660" w:right="80" w:hanging="652"/>
        <w:spacing w:after="0" w:line="253" w:lineRule="auto"/>
        <w:tabs>
          <w:tab w:leader="none" w:pos="6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compensation paid to certain equity holders as part of an acquisition earn-out ($1.4 million in fiscal 2020), transaction costs ($14.2 million in fiscal 2022, $0.4 million in fiscal 2021, and $1.2 million in fiscal 2020), severance costs ($1.6 million in fiscal 2022, $4.2 million in fiscal 2021, and $1.0 million in fiscal 2020), loss on change in fair value for contingent consideration obligation ($9.6 million in fiscal 2022 and $1.6 million in fiscal 2021), compensation paid to certain employees as part of an acquisition earn-out ($0.8 million in fiscal 2022) and other non-core operating income and expenses.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180" w:hanging="652"/>
        <w:spacing w:after="0" w:line="285" w:lineRule="auto"/>
        <w:tabs>
          <w:tab w:leader="none" w:pos="654"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corporate income taxes at a blended statutory rate of 22.5%, 22.6% and 25.0% applied to pre-tax adjusted net income for fiscal 2022, 2021 and 2020, respectively. The 22.5% rate for fiscal 2022 is based on a federal statutory rate of 21.0% and a combined state, local and foreign rate net of federal benefits of 1.5%. The 22.6% rate for fiscal 2021 is based on a federal statutory rate of 21.0% and a combined state, local and foreign rate net of federal benefits of 1.6%. As we were not subject to U.S. federal and state income taxes prior to the Reorganization and IPO, a blended statutory rate of 25.0% has been applied to fiscal 2020 for comparability purposes. The decline in the blended statutory rate for fiscal</w:t>
      </w:r>
    </w:p>
    <w:p>
      <w:pPr>
        <w:spacing w:after="0" w:line="1" w:lineRule="exact"/>
        <w:rPr>
          <w:rFonts w:ascii="Arial" w:cs="Arial" w:eastAsia="Arial" w:hAnsi="Arial"/>
          <w:sz w:val="16"/>
          <w:szCs w:val="16"/>
          <w:color w:val="auto"/>
        </w:rPr>
      </w:pPr>
    </w:p>
    <w:p>
      <w:pPr>
        <w:ind w:left="660"/>
        <w:spacing w:after="0" w:line="250" w:lineRule="auto"/>
        <w:rPr>
          <w:rFonts w:ascii="Arial" w:cs="Arial" w:eastAsia="Arial" w:hAnsi="Arial"/>
          <w:sz w:val="16"/>
          <w:szCs w:val="16"/>
          <w:color w:val="auto"/>
        </w:rPr>
      </w:pPr>
      <w:r>
        <w:rPr>
          <w:rFonts w:ascii="Arial" w:cs="Arial" w:eastAsia="Arial" w:hAnsi="Arial"/>
          <w:sz w:val="18"/>
          <w:szCs w:val="18"/>
          <w:color w:val="auto"/>
        </w:rPr>
        <w:t>2022 compared to fiscal 2021 was due to updates in our state apportionment based on our most recently filed tax returns and is our best estimate of our blended statutory tax rate moving forward. The decline in the blended statutory rate for fiscal 2021 compared to fiscal 2020 was due to updates in our state apportionment.</w:t>
      </w:r>
    </w:p>
    <w:p>
      <w:pPr>
        <w:spacing w:after="0" w:line="1" w:lineRule="exact"/>
        <w:rPr>
          <w:rFonts w:ascii="Arial" w:cs="Arial" w:eastAsia="Arial" w:hAnsi="Arial"/>
          <w:sz w:val="16"/>
          <w:szCs w:val="16"/>
          <w:color w:val="auto"/>
        </w:rPr>
      </w:pPr>
    </w:p>
    <w:p>
      <w:pPr>
        <w:ind w:left="660" w:right="160" w:hanging="652"/>
        <w:spacing w:after="0" w:line="260" w:lineRule="auto"/>
        <w:tabs>
          <w:tab w:leader="none" w:pos="6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Reflects other income (loss) net of amounts for Tax Receivable Agreements adjustments recognized as other income (loss) ($3.6 million in fiscal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Investment Performance</w:t>
      </w:r>
    </w:p>
    <w:p>
      <w:pPr>
        <w:spacing w:after="0" w:line="222"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The following tables present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December 31, 2021 and have not been adjusted to reflect acquisitions or disposals of investments subsequent to that date.</w:t>
      </w:r>
    </w:p>
    <w:p>
      <w:pPr>
        <w:spacing w:after="0" w:line="191"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7"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15"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(as defined below)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15"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54"/>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5" w:lineRule="exact"/>
        <w:rPr>
          <w:rFonts w:ascii="Arial" w:cs="Arial" w:eastAsia="Arial" w:hAnsi="Arial"/>
          <w:sz w:val="20"/>
          <w:szCs w:val="20"/>
          <w:color w:val="auto"/>
        </w:rPr>
      </w:pPr>
    </w:p>
    <w:p>
      <w:pPr>
        <w:ind w:left="660" w:right="340" w:hanging="328"/>
        <w:spacing w:after="0" w:line="316"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tables:</w:t>
      </w:r>
    </w:p>
    <w:p>
      <w:pPr>
        <w:spacing w:after="0" w:line="216" w:lineRule="exact"/>
        <w:rPr>
          <w:sz w:val="20"/>
          <w:szCs w:val="20"/>
          <w:color w:val="auto"/>
        </w:rPr>
      </w:pPr>
    </w:p>
    <w:p>
      <w:pPr>
        <w:ind w:left="660" w:right="1000" w:hanging="328"/>
        <w:spacing w:after="0" w:line="260" w:lineRule="auto"/>
        <w:tabs>
          <w:tab w:leader="none" w:pos="648"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176"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55"/>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December 31,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40" w:hanging="328"/>
        <w:spacing w:after="0" w:line="291" w:lineRule="auto"/>
        <w:tabs>
          <w:tab w:leader="none" w:pos="648"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“Multiple of Invested Capital” refers to (a) the sum of Realized Distributions from underlying investments to the fund plus the fund’s NAV, divided by (b) Cumulative Invested Capital. Multiple of Invested Capital is presented net of management fees, carried interest and expenses charged by underlying fund managers, but gross of StepStone’s management fees, performance fees and expenses;</w:t>
      </w:r>
    </w:p>
    <w:p>
      <w:pPr>
        <w:spacing w:after="0" w:line="151" w:lineRule="exact"/>
        <w:rPr>
          <w:rFonts w:ascii="Arial" w:cs="Arial" w:eastAsia="Arial" w:hAnsi="Arial"/>
          <w:sz w:val="18"/>
          <w:szCs w:val="18"/>
          <w:color w:val="231F20"/>
        </w:rPr>
      </w:pPr>
    </w:p>
    <w:p>
      <w:pPr>
        <w:jc w:val="both"/>
        <w:ind w:left="660" w:right="260" w:hanging="328"/>
        <w:spacing w:after="0" w:line="385" w:lineRule="auto"/>
        <w:tabs>
          <w:tab w:leader="none" w:pos="648" w:val="left"/>
        </w:tabs>
        <w:numPr>
          <w:ilvl w:val="0"/>
          <w:numId w:val="56"/>
        </w:numPr>
        <w:rPr>
          <w:rFonts w:ascii="Arial" w:cs="Arial" w:eastAsia="Arial" w:hAnsi="Arial"/>
          <w:sz w:val="16"/>
          <w:szCs w:val="16"/>
          <w:color w:val="auto"/>
        </w:rPr>
      </w:pPr>
      <w:r>
        <w:rPr>
          <w:rFonts w:ascii="Arial" w:cs="Arial" w:eastAsia="Arial" w:hAnsi="Arial"/>
          <w:sz w:val="16"/>
          <w:szCs w:val="16"/>
          <w:color w:val="auto"/>
        </w:rPr>
        <w:t>“IRR” refers to the annualized internal rate of return for all investments within the relevant investment strategy on an inception-to-date basis as of December 31, 2021 (except as noted otherwise below), based on contributions, distributions and unrealized value;</w:t>
      </w:r>
    </w:p>
    <w:p>
      <w:pPr>
        <w:spacing w:after="0" w:line="84" w:lineRule="exact"/>
        <w:rPr>
          <w:rFonts w:ascii="Arial" w:cs="Arial" w:eastAsia="Arial" w:hAnsi="Arial"/>
          <w:sz w:val="16"/>
          <w:szCs w:val="16"/>
          <w:color w:val="auto"/>
        </w:rPr>
      </w:pPr>
    </w:p>
    <w:p>
      <w:pPr>
        <w:ind w:left="660" w:right="300" w:hanging="328"/>
        <w:spacing w:after="0" w:line="260" w:lineRule="auto"/>
        <w:tabs>
          <w:tab w:leader="none" w:pos="648" w:val="left"/>
        </w:tabs>
        <w:numPr>
          <w:ilvl w:val="0"/>
          <w:numId w:val="56"/>
        </w:numPr>
        <w:rPr>
          <w:rFonts w:ascii="Arial" w:cs="Arial" w:eastAsia="Arial" w:hAnsi="Arial"/>
          <w:sz w:val="20"/>
          <w:szCs w:val="20"/>
          <w:color w:val="231F20"/>
        </w:rPr>
      </w:pPr>
      <w:r>
        <w:rPr>
          <w:rFonts w:ascii="Arial" w:cs="Arial" w:eastAsia="Arial" w:hAnsi="Arial"/>
          <w:sz w:val="20"/>
          <w:szCs w:val="20"/>
          <w:color w:val="231F20"/>
        </w:rPr>
        <w:t>“Gross IRR” refers to IRR net of management fees, performance fees and expenses charged by the underlying fund managers, but gross of StepStone’s management fees, performance fees and expenses;</w:t>
      </w:r>
    </w:p>
    <w:p>
      <w:pPr>
        <w:spacing w:after="0" w:line="176" w:lineRule="exact"/>
        <w:rPr>
          <w:rFonts w:ascii="Arial" w:cs="Arial" w:eastAsia="Arial" w:hAnsi="Arial"/>
          <w:sz w:val="20"/>
          <w:szCs w:val="20"/>
          <w:color w:val="231F20"/>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w:t>
      </w:r>
    </w:p>
    <w:p>
      <w:pPr>
        <w:spacing w:after="0" w:line="215" w:lineRule="exact"/>
        <w:rPr>
          <w:rFonts w:ascii="Arial" w:cs="Arial" w:eastAsia="Arial" w:hAnsi="Arial"/>
          <w:sz w:val="20"/>
          <w:szCs w:val="20"/>
          <w:color w:val="auto"/>
        </w:rPr>
      </w:pPr>
    </w:p>
    <w:p>
      <w:pPr>
        <w:ind w:left="660" w:right="100" w:hanging="328"/>
        <w:spacing w:after="0" w:line="274" w:lineRule="auto"/>
        <w:tabs>
          <w:tab w:leader="none" w:pos="648"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 xml:space="preserve">“MSCI ACWI Direct Alpha” refers to the MSCI All Country World Index, calculated on a Public Market Equivalent Plus basis, the benchmark index used for comparison below. The MSCI All Country World Index is a free float-adjusted market capitalization-weighted index of over 2,900 world stocks that is designed to measure the equity market performance of developed and emerging markets. We believe the MSCI All Country World Index is commonly used by private markets investors to evaluate performance. The Direct Alpha calculation methodology allows private markets investment performance to be evaluated against a public index by compounding capital invested, capital distributed and net asset values to a single point in time in the benchmark’s life, removing fluctuations of the public index and leaving only the non-market return above/below the index; </w:t>
      </w:r>
      <w:r>
        <w:rPr>
          <w:rFonts w:ascii="Arial" w:cs="Arial" w:eastAsia="Arial" w:hAnsi="Arial"/>
          <w:sz w:val="18"/>
          <w:szCs w:val="18"/>
          <w:color w:val="000000"/>
        </w:rPr>
        <w:t>and</w:t>
      </w:r>
    </w:p>
    <w:p>
      <w:pPr>
        <w:spacing w:after="0" w:line="168" w:lineRule="exact"/>
        <w:rPr>
          <w:rFonts w:ascii="Arial" w:cs="Arial" w:eastAsia="Arial" w:hAnsi="Arial"/>
          <w:sz w:val="18"/>
          <w:szCs w:val="18"/>
          <w:color w:val="231F20"/>
        </w:rPr>
      </w:pPr>
    </w:p>
    <w:p>
      <w:pPr>
        <w:ind w:left="660" w:right="320" w:hanging="328"/>
        <w:spacing w:after="0" w:line="260" w:lineRule="auto"/>
        <w:tabs>
          <w:tab w:leader="none" w:pos="648" w:val="left"/>
        </w:tabs>
        <w:numPr>
          <w:ilvl w:val="0"/>
          <w:numId w:val="56"/>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70"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231F20"/>
        </w:rPr>
        <w:t>StepStone Performance Summary by Investment Strategy</w:t>
      </w:r>
      <w:r>
        <w:rPr>
          <w:rFonts w:ascii="Arial" w:cs="Arial" w:eastAsia="Arial" w:hAnsi="Arial"/>
          <w:sz w:val="25"/>
          <w:szCs w:val="25"/>
          <w:color w:val="231F20"/>
          <w:vertAlign w:val="superscript"/>
        </w:rPr>
        <w:t>(1),(2)</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billions except percentages</w:t>
      </w:r>
    </w:p>
    <w:p>
      <w:pPr>
        <w:ind w:left="20"/>
        <w:spacing w:after="0"/>
        <w:rPr>
          <w:sz w:val="20"/>
          <w:szCs w:val="20"/>
          <w:color w:val="auto"/>
        </w:rPr>
      </w:pPr>
      <w:r>
        <w:rPr>
          <w:rFonts w:ascii="Arial" w:cs="Arial" w:eastAsia="Arial" w:hAnsi="Arial"/>
          <w:sz w:val="16"/>
          <w:szCs w:val="16"/>
          <w:color w:val="auto"/>
        </w:rPr>
        <w:t>and multiples)</w:t>
      </w:r>
    </w:p>
    <w:tbl>
      <w:tblPr>
        <w:tblLayout w:type="fixed"/>
        <w:tblInd w:w="0" w:type="dxa"/>
        <w:tblCellMar>
          <w:top w:w="0" w:type="dxa"/>
          <w:left w:w="0" w:type="dxa"/>
          <w:bottom w:w="0" w:type="dxa"/>
          <w:right w:w="0" w:type="dxa"/>
        </w:tblCellMar>
      </w:tblPr>
      <w:tr>
        <w:trPr>
          <w:trHeight w:val="180"/>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95"/>
              </w:rPr>
              <w:t>Committed</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right="39"/>
              <w:spacing w:after="0" w:line="180" w:lineRule="exact"/>
              <w:rPr>
                <w:sz w:val="20"/>
                <w:szCs w:val="20"/>
                <w:color w:val="auto"/>
              </w:rPr>
            </w:pPr>
            <w:r>
              <w:rPr>
                <w:rFonts w:ascii="Arial" w:cs="Arial" w:eastAsia="Arial" w:hAnsi="Arial"/>
                <w:sz w:val="16"/>
                <w:szCs w:val="16"/>
                <w:color w:val="auto"/>
                <w:w w:val="94"/>
              </w:rPr>
              <w:t>Cumulative</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Realized</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19"/>
              <w:spacing w:after="0" w:line="180" w:lineRule="exact"/>
              <w:rPr>
                <w:sz w:val="20"/>
                <w:szCs w:val="20"/>
                <w:color w:val="auto"/>
              </w:rPr>
            </w:pPr>
            <w:r>
              <w:rPr>
                <w:rFonts w:ascii="Arial" w:cs="Arial" w:eastAsia="Arial" w:hAnsi="Arial"/>
                <w:sz w:val="16"/>
                <w:szCs w:val="16"/>
                <w:color w:val="auto"/>
                <w:w w:val="98"/>
              </w:rPr>
              <w:t>Multiple of</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Gross IRR versus</w:t>
            </w: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center"/>
              <w:ind w:right="59"/>
              <w:spacing w:after="0" w:line="158" w:lineRule="exact"/>
              <w:rPr>
                <w:sz w:val="20"/>
                <w:szCs w:val="20"/>
                <w:color w:val="auto"/>
              </w:rPr>
            </w:pPr>
            <w:r>
              <w:rPr>
                <w:rFonts w:ascii="Arial" w:cs="Arial" w:eastAsia="Arial" w:hAnsi="Arial"/>
                <w:sz w:val="16"/>
                <w:szCs w:val="16"/>
                <w:color w:val="auto"/>
                <w:w w:val="89"/>
              </w:rPr>
              <w:t>Invested</w:t>
            </w:r>
          </w:p>
        </w:tc>
        <w:tc>
          <w:tcPr>
            <w:tcW w:w="12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center"/>
              <w:ind w:right="19"/>
              <w:spacing w:after="0" w:line="158" w:lineRule="exact"/>
              <w:rPr>
                <w:sz w:val="20"/>
                <w:szCs w:val="20"/>
                <w:color w:val="auto"/>
              </w:rPr>
            </w:pPr>
            <w:r>
              <w:rPr>
                <w:rFonts w:ascii="Arial" w:cs="Arial" w:eastAsia="Arial" w:hAnsi="Arial"/>
                <w:sz w:val="16"/>
                <w:szCs w:val="16"/>
                <w:color w:val="auto"/>
                <w:w w:val="92"/>
              </w:rPr>
              <w:t>Invested</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vMerge w:val="restart"/>
            <w:shd w:val="clear" w:color="auto" w:fill="CCEEFF"/>
          </w:tcPr>
          <w:p>
            <w:pPr>
              <w:spacing w:after="0" w:line="175" w:lineRule="exact"/>
              <w:rPr>
                <w:sz w:val="20"/>
                <w:szCs w:val="20"/>
                <w:color w:val="auto"/>
              </w:rPr>
            </w:pPr>
            <w:r>
              <w:rPr>
                <w:rFonts w:ascii="Arial" w:cs="Arial" w:eastAsia="Arial" w:hAnsi="Arial"/>
                <w:sz w:val="16"/>
                <w:szCs w:val="16"/>
                <w:color w:val="auto"/>
                <w:w w:val="87"/>
              </w:rPr>
              <w:t>Strategy</w:t>
            </w:r>
          </w:p>
        </w:tc>
        <w:tc>
          <w:tcPr>
            <w:tcW w:w="120" w:type="dxa"/>
            <w:vAlign w:val="bottom"/>
            <w:tcBorders>
              <w:bottom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0"/>
              </w:rPr>
              <w:t>(3)</w:t>
            </w:r>
          </w:p>
        </w:tc>
        <w:tc>
          <w:tcPr>
            <w:tcW w:w="144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vMerge w:val="restart"/>
            <w:shd w:val="clear" w:color="auto" w:fill="CCEEFF"/>
          </w:tcPr>
          <w:p>
            <w:pPr>
              <w:jc w:val="right"/>
              <w:ind w:right="219"/>
              <w:spacing w:after="0" w:line="175" w:lineRule="exact"/>
              <w:rPr>
                <w:sz w:val="20"/>
                <w:szCs w:val="20"/>
                <w:color w:val="auto"/>
              </w:rPr>
            </w:pPr>
            <w:r>
              <w:rPr>
                <w:rFonts w:ascii="Arial" w:cs="Arial" w:eastAsia="Arial" w:hAnsi="Arial"/>
                <w:sz w:val="16"/>
                <w:szCs w:val="16"/>
                <w:color w:val="auto"/>
              </w:rPr>
              <w:t>Capital</w:t>
            </w:r>
          </w:p>
        </w:tc>
        <w:tc>
          <w:tcPr>
            <w:tcW w:w="12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vMerge w:val="restart"/>
            <w:shd w:val="clear" w:color="auto" w:fill="CCEEFF"/>
          </w:tcPr>
          <w:p>
            <w:pPr>
              <w:jc w:val="center"/>
              <w:ind w:right="59"/>
              <w:spacing w:after="0" w:line="175" w:lineRule="exact"/>
              <w:rPr>
                <w:sz w:val="20"/>
                <w:szCs w:val="20"/>
                <w:color w:val="auto"/>
              </w:rPr>
            </w:pPr>
            <w:r>
              <w:rPr>
                <w:rFonts w:ascii="Arial" w:cs="Arial" w:eastAsia="Arial" w:hAnsi="Arial"/>
                <w:sz w:val="16"/>
                <w:szCs w:val="16"/>
                <w:color w:val="auto"/>
                <w:w w:val="92"/>
              </w:rPr>
              <w:t>Capital</w:t>
            </w:r>
          </w:p>
        </w:tc>
        <w:tc>
          <w:tcPr>
            <w:tcW w:w="1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vMerge w:val="restart"/>
            <w:shd w:val="clear" w:color="auto" w:fill="CCEEFF"/>
          </w:tcPr>
          <w:p>
            <w:pPr>
              <w:jc w:val="right"/>
              <w:ind w:right="59"/>
              <w:spacing w:after="0" w:line="175" w:lineRule="exact"/>
              <w:rPr>
                <w:sz w:val="20"/>
                <w:szCs w:val="20"/>
                <w:color w:val="auto"/>
              </w:rPr>
            </w:pPr>
            <w:r>
              <w:rPr>
                <w:rFonts w:ascii="Arial" w:cs="Arial" w:eastAsia="Arial" w:hAnsi="Arial"/>
                <w:sz w:val="16"/>
                <w:szCs w:val="16"/>
                <w:color w:val="auto"/>
                <w:w w:val="97"/>
              </w:rPr>
              <w:t>Distributions</w:t>
            </w:r>
          </w:p>
        </w:tc>
        <w:tc>
          <w:tcPr>
            <w:tcW w:w="18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vMerge w:val="restart"/>
            <w:shd w:val="clear" w:color="auto" w:fill="CCEEFF"/>
          </w:tcPr>
          <w:p>
            <w:pPr>
              <w:jc w:val="right"/>
              <w:ind w:right="179"/>
              <w:spacing w:after="0" w:line="175" w:lineRule="exact"/>
              <w:rPr>
                <w:sz w:val="20"/>
                <w:szCs w:val="20"/>
                <w:color w:val="auto"/>
              </w:rPr>
            </w:pPr>
            <w:r>
              <w:rPr>
                <w:rFonts w:ascii="Arial" w:cs="Arial" w:eastAsia="Arial" w:hAnsi="Arial"/>
                <w:sz w:val="16"/>
                <w:szCs w:val="16"/>
                <w:color w:val="auto"/>
              </w:rPr>
              <w:t>NAV</w:t>
            </w:r>
          </w:p>
        </w:tc>
        <w:tc>
          <w:tcPr>
            <w:tcW w:w="18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vMerge w:val="restart"/>
            <w:shd w:val="clear" w:color="auto" w:fill="CCEEFF"/>
          </w:tcPr>
          <w:p>
            <w:pPr>
              <w:jc w:val="right"/>
              <w:ind w:right="199"/>
              <w:spacing w:after="0" w:line="175" w:lineRule="exact"/>
              <w:rPr>
                <w:sz w:val="20"/>
                <w:szCs w:val="20"/>
                <w:color w:val="auto"/>
              </w:rPr>
            </w:pPr>
            <w:r>
              <w:rPr>
                <w:rFonts w:ascii="Arial" w:cs="Arial" w:eastAsia="Arial" w:hAnsi="Arial"/>
                <w:sz w:val="16"/>
                <w:szCs w:val="16"/>
                <w:color w:val="auto"/>
              </w:rPr>
              <w:t>Total</w:t>
            </w:r>
          </w:p>
        </w:tc>
        <w:tc>
          <w:tcPr>
            <w:tcW w:w="900" w:type="dxa"/>
            <w:vAlign w:val="bottom"/>
            <w:tcBorders>
              <w:bottom w:val="single" w:sz="8" w:color="CCEEFF"/>
            </w:tcBorders>
            <w:vMerge w:val="restart"/>
            <w:shd w:val="clear" w:color="auto" w:fill="CCEEFF"/>
          </w:tcPr>
          <w:p>
            <w:pPr>
              <w:jc w:val="center"/>
              <w:ind w:right="19"/>
              <w:spacing w:after="0" w:line="175" w:lineRule="exact"/>
              <w:rPr>
                <w:sz w:val="20"/>
                <w:szCs w:val="20"/>
                <w:color w:val="auto"/>
              </w:rPr>
            </w:pPr>
            <w:r>
              <w:rPr>
                <w:rFonts w:ascii="Arial" w:cs="Arial" w:eastAsia="Arial" w:hAnsi="Arial"/>
                <w:sz w:val="16"/>
                <w:szCs w:val="16"/>
                <w:color w:val="auto"/>
                <w:w w:val="96"/>
              </w:rPr>
              <w:t>Capital</w:t>
            </w:r>
          </w:p>
        </w:tc>
        <w:tc>
          <w:tcPr>
            <w:tcW w:w="980" w:type="dxa"/>
            <w:vAlign w:val="bottom"/>
            <w:tcBorders>
              <w:bottom w:val="single" w:sz="8" w:color="CCEEFF"/>
            </w:tcBorders>
            <w:gridSpan w:val="2"/>
            <w:vMerge w:val="restart"/>
            <w:shd w:val="clear" w:color="auto" w:fill="CCEEFF"/>
          </w:tcPr>
          <w:p>
            <w:pPr>
              <w:jc w:val="right"/>
              <w:ind w:right="139"/>
              <w:spacing w:after="0" w:line="175" w:lineRule="exact"/>
              <w:rPr>
                <w:sz w:val="20"/>
                <w:szCs w:val="20"/>
                <w:color w:val="auto"/>
              </w:rPr>
            </w:pPr>
            <w:r>
              <w:rPr>
                <w:rFonts w:ascii="Arial" w:cs="Arial" w:eastAsia="Arial" w:hAnsi="Arial"/>
                <w:sz w:val="16"/>
                <w:szCs w:val="16"/>
                <w:color w:val="auto"/>
                <w:w w:val="99"/>
              </w:rPr>
              <w:t>Gross IRR</w:t>
            </w:r>
          </w:p>
        </w:tc>
        <w:tc>
          <w:tcPr>
            <w:tcW w:w="76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5"/>
                <w:szCs w:val="15"/>
                <w:color w:val="auto"/>
              </w:rPr>
              <w:t>Net IRR</w:t>
            </w:r>
            <w:r>
              <w:rPr>
                <w:rFonts w:ascii="Arial" w:cs="Arial" w:eastAsia="Arial" w:hAnsi="Arial"/>
                <w:sz w:val="20"/>
                <w:szCs w:val="20"/>
                <w:color w:val="auto"/>
                <w:vertAlign w:val="superscript"/>
              </w:rPr>
              <w:t>(4)</w:t>
            </w:r>
          </w:p>
        </w:tc>
        <w:tc>
          <w:tcPr>
            <w:tcW w:w="200" w:type="dxa"/>
            <w:vAlign w:val="bottom"/>
            <w:tcBorders>
              <w:bottom w:val="single" w:sz="8" w:color="CCEEFF"/>
            </w:tcBorders>
            <w:shd w:val="clear" w:color="auto" w:fill="CCEEFF"/>
          </w:tcPr>
          <w:p>
            <w:pPr>
              <w:spacing w:after="0"/>
              <w:rPr>
                <w:sz w:val="9"/>
                <w:szCs w:val="9"/>
                <w:color w:val="auto"/>
              </w:rPr>
            </w:pPr>
          </w:p>
        </w:tc>
        <w:tc>
          <w:tcPr>
            <w:tcW w:w="1100" w:type="dxa"/>
            <w:vAlign w:val="bottom"/>
            <w:tcBorders>
              <w:bottom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5"/>
                <w:szCs w:val="15"/>
                <w:color w:val="auto"/>
              </w:rPr>
              <w:t>Benchmark</w:t>
            </w:r>
            <w:r>
              <w:rPr>
                <w:rFonts w:ascii="Arial" w:cs="Arial" w:eastAsia="Arial" w:hAnsi="Arial"/>
                <w:sz w:val="20"/>
                <w:szCs w:val="20"/>
                <w:color w:val="auto"/>
                <w:vertAlign w:val="superscript"/>
              </w:rPr>
              <w:t>(5)</w:t>
            </w:r>
          </w:p>
        </w:tc>
        <w:tc>
          <w:tcPr>
            <w:tcW w:w="1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vMerge w:val="continue"/>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gridSpan w:val="2"/>
            <w:vMerge w:val="continue"/>
            <w:shd w:val="clear" w:color="auto" w:fill="CCEEFF"/>
          </w:tcPr>
          <w:p>
            <w:pPr>
              <w:spacing w:after="0"/>
              <w:rPr>
                <w:sz w:val="7"/>
                <w:szCs w:val="7"/>
                <w:color w:val="auto"/>
              </w:rPr>
            </w:pPr>
          </w:p>
        </w:tc>
        <w:tc>
          <w:tcPr>
            <w:tcW w:w="760" w:type="dxa"/>
            <w:vAlign w:val="bottom"/>
            <w:tcBorders>
              <w:bottom w:val="single" w:sz="8" w:color="CCEEFF"/>
            </w:tcBorders>
            <w:vMerge w:val="continue"/>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gridSpan w:val="3"/>
          </w:tcPr>
          <w:p>
            <w:pPr>
              <w:spacing w:after="0"/>
              <w:rPr>
                <w:sz w:val="20"/>
                <w:szCs w:val="20"/>
                <w:color w:val="auto"/>
              </w:rPr>
            </w:pPr>
            <w:r>
              <w:rPr>
                <w:rFonts w:ascii="Arial" w:cs="Arial" w:eastAsia="Arial" w:hAnsi="Arial"/>
                <w:sz w:val="16"/>
                <w:szCs w:val="16"/>
                <w:color w:val="auto"/>
              </w:rPr>
              <w:t>Primaries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220.1</w:t>
            </w:r>
          </w:p>
        </w:tc>
        <w:tc>
          <w:tcPr>
            <w:tcW w:w="90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1.5x</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Secondaries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9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1.6x</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Co-investments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1.7x</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278.5</w:t>
            </w:r>
          </w:p>
        </w:tc>
        <w:tc>
          <w:tcPr>
            <w:tcW w:w="90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1.5x</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14.8 %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14.2 %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3.1 %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w:t>
      </w:r>
    </w:p>
    <w:p>
      <w:pPr>
        <w:spacing w:after="0" w:line="27" w:lineRule="exact"/>
        <w:rPr>
          <w:sz w:val="20"/>
          <w:szCs w:val="20"/>
          <w:color w:val="auto"/>
        </w:rPr>
      </w:pPr>
    </w:p>
    <w:p>
      <w:pPr>
        <w:ind w:left="660" w:right="80" w:hanging="652"/>
        <w:spacing w:after="0" w:line="281" w:lineRule="auto"/>
        <w:tabs>
          <w:tab w:leader="none" w:pos="654" w:val="left"/>
        </w:tabs>
        <w:numPr>
          <w:ilvl w:val="0"/>
          <w:numId w:val="57"/>
        </w:numPr>
        <w:rPr>
          <w:rFonts w:ascii="Arial" w:cs="Arial" w:eastAsia="Arial" w:hAnsi="Arial"/>
          <w:sz w:val="16"/>
          <w:szCs w:val="16"/>
          <w:color w:val="231F20"/>
        </w:rPr>
      </w:pPr>
      <w:r>
        <w:rPr>
          <w:rFonts w:ascii="Arial" w:cs="Arial" w:eastAsia="Arial" w:hAnsi="Arial"/>
          <w:sz w:val="16"/>
          <w:szCs w:val="16"/>
          <w:color w:val="auto"/>
        </w:rPr>
        <w:t>Performance data shown in the table above is on an inception-to-date basis as of December 31, 2021. Overall performance includes all investments StepStone recommends and subsequently tracks, including advisory co-investments and infrastructure investments made prior to January 1, 2015, the performance summary of Courtland, for which the track record dates back to September 1994. Overall performance excludes</w:t>
      </w:r>
    </w:p>
    <w:p>
      <w:pPr>
        <w:spacing w:after="0" w:line="1" w:lineRule="exact"/>
        <w:rPr>
          <w:rFonts w:ascii="Arial" w:cs="Arial" w:eastAsia="Arial" w:hAnsi="Arial"/>
          <w:sz w:val="16"/>
          <w:szCs w:val="16"/>
          <w:color w:val="231F20"/>
        </w:rPr>
      </w:pPr>
    </w:p>
    <w:p>
      <w:pPr>
        <w:ind w:left="660" w:right="140"/>
        <w:spacing w:after="0" w:line="253" w:lineRule="auto"/>
        <w:rPr>
          <w:rFonts w:ascii="Arial" w:cs="Arial" w:eastAsia="Arial" w:hAnsi="Arial"/>
          <w:sz w:val="16"/>
          <w:szCs w:val="16"/>
          <w:color w:val="231F20"/>
        </w:rPr>
      </w:pPr>
      <w:r>
        <w:rPr>
          <w:rFonts w:ascii="Arial" w:cs="Arial" w:eastAsia="Arial" w:hAnsi="Arial"/>
          <w:sz w:val="18"/>
          <w:szCs w:val="18"/>
          <w:color w:val="auto"/>
        </w:rPr>
        <w:t>(i) client-direct investments, (ii) investments for which StepStone does not provide monitoring and reporting services to the client that made the investment, (iii) syndicated loan portfolio totaling $0.6 billion, (iv) investments made by legacy private equity acquired businesses, and (v) Greenspring investments until data integration is completed. USD returns for StepStone recommended investments are calculated on a Constant Currency-Adjusted USD reporting basis converting non-USD investment cash flows and NAVs to USD using the foreign currency exchange rate corresponding to each client’s first cash flow date.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40" w:hanging="652"/>
        <w:spacing w:after="0" w:line="254" w:lineRule="auto"/>
        <w:tabs>
          <w:tab w:leader="none" w:pos="6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2" w:lineRule="exact"/>
        <w:rPr>
          <w:rFonts w:ascii="Arial" w:cs="Arial" w:eastAsia="Arial" w:hAnsi="Arial"/>
          <w:sz w:val="18"/>
          <w:szCs w:val="18"/>
          <w:color w:val="auto"/>
        </w:rPr>
      </w:pPr>
    </w:p>
    <w:p>
      <w:pPr>
        <w:ind w:left="640" w:hanging="632"/>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Inception date reflects date of the first investment: September 1994 for primaries, May 2009 for secondaries and April 2008 for co-investments.</w:t>
      </w:r>
    </w:p>
    <w:p>
      <w:pPr>
        <w:spacing w:after="0" w:line="32" w:lineRule="exact"/>
        <w:rPr>
          <w:rFonts w:ascii="Arial" w:cs="Arial" w:eastAsia="Arial" w:hAnsi="Arial"/>
          <w:sz w:val="16"/>
          <w:szCs w:val="16"/>
          <w:color w:val="auto"/>
        </w:rPr>
      </w:pPr>
    </w:p>
    <w:p>
      <w:pPr>
        <w:ind w:left="660" w:right="140" w:hanging="652"/>
        <w:spacing w:after="0" w:line="281" w:lineRule="auto"/>
        <w:tabs>
          <w:tab w:leader="none" w:pos="654"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Net IRRs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1" w:lineRule="exact"/>
        <w:rPr>
          <w:rFonts w:ascii="Arial" w:cs="Arial" w:eastAsia="Arial" w:hAnsi="Arial"/>
          <w:sz w:val="16"/>
          <w:szCs w:val="16"/>
          <w:color w:val="auto"/>
        </w:rPr>
      </w:pPr>
    </w:p>
    <w:p>
      <w:pPr>
        <w:ind w:left="1300" w:right="300" w:hanging="644"/>
        <w:spacing w:after="0" w:line="250" w:lineRule="auto"/>
        <w:tabs>
          <w:tab w:leader="none" w:pos="1287"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fees, 5 basis points of capital commitments for fund expenses, and 1 basis point of capital commitments drawn down in the first cash flow quarter for organizational costs.</w:t>
      </w:r>
    </w:p>
    <w:p>
      <w:pPr>
        <w:ind w:left="1300" w:right="40" w:hanging="644"/>
        <w:spacing w:after="0" w:line="281" w:lineRule="auto"/>
        <w:tabs>
          <w:tab w:leader="none" w:pos="1296" w:val="left"/>
        </w:tabs>
        <w:numPr>
          <w:ilvl w:val="1"/>
          <w:numId w:val="58"/>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2" w:lineRule="exact"/>
        <w:rPr>
          <w:rFonts w:ascii="Arial" w:cs="Arial" w:eastAsia="Arial" w:hAnsi="Arial"/>
          <w:sz w:val="16"/>
          <w:szCs w:val="16"/>
          <w:color w:val="auto"/>
        </w:rPr>
      </w:pPr>
    </w:p>
    <w:p>
      <w:pPr>
        <w:ind w:left="1300" w:right="60" w:hanging="644"/>
        <w:spacing w:after="0" w:line="281" w:lineRule="auto"/>
        <w:tabs>
          <w:tab w:leader="none" w:pos="1292" w:val="left"/>
        </w:tabs>
        <w:numPr>
          <w:ilvl w:val="1"/>
          <w:numId w:val="58"/>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fees, 5 basis points of capital commitments for fund expenses, and 1 basis point of capital commitments drawn down in the first cash flow quarter for organizational costs. Co-investments also include 10.0% of paid and unrealized carry (15.0% of paid and unrealized carry for Real Estate), with an 8% preferred return hurdle.</w:t>
      </w:r>
    </w:p>
    <w:p>
      <w:pPr>
        <w:spacing w:after="0" w:line="1" w:lineRule="exact"/>
        <w:rPr>
          <w:rFonts w:ascii="Arial" w:cs="Arial" w:eastAsia="Arial" w:hAnsi="Arial"/>
          <w:sz w:val="16"/>
          <w:szCs w:val="16"/>
          <w:color w:val="auto"/>
        </w:rPr>
      </w:pPr>
    </w:p>
    <w:p>
      <w:pPr>
        <w:jc w:val="both"/>
        <w:ind w:left="1300" w:right="120" w:hanging="644"/>
        <w:spacing w:after="0" w:line="250" w:lineRule="auto"/>
        <w:tabs>
          <w:tab w:leader="none" w:pos="1284"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Investment returns reflect NAV data for underlying investments as of December 31, 2021, as reported by underlying managers up to 115 days following December 31, 2021. For investment returns where NAV data is not available by 115 days following December 31, 2021, such NAVs are adjusted for cash activity following the last available reported NAV.</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Reflects outperformance of investments as compared to the MSCI ACWI Total Return using the Direct Alpha public market equivalent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StepStone Performance Summary by Asset Class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940" w:type="dxa"/>
            <w:vAlign w:val="bottom"/>
            <w:shd w:val="clear" w:color="auto" w:fill="CCEEFF"/>
          </w:tcPr>
          <w:p>
            <w:pPr>
              <w:jc w:val="center"/>
              <w:ind w:left="228"/>
              <w:spacing w:after="0" w:line="135"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68"/>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IRR</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(1,3)</w:t>
            </w:r>
          </w:p>
        </w:tc>
        <w:tc>
          <w:tcPr>
            <w:tcW w:w="940" w:type="dxa"/>
            <w:vAlign w:val="bottom"/>
            <w:shd w:val="clear" w:color="auto" w:fill="CCEEFF"/>
          </w:tcPr>
          <w:p>
            <w:pPr>
              <w:jc w:val="center"/>
              <w:ind w:left="228"/>
              <w:spacing w:after="0" w:line="189" w:lineRule="exact"/>
              <w:rPr>
                <w:sz w:val="20"/>
                <w:szCs w:val="20"/>
                <w:color w:val="auto"/>
              </w:rPr>
            </w:pPr>
            <w:r>
              <w:rPr>
                <w:rFonts w:ascii="Arial" w:cs="Arial" w:eastAsia="Arial" w:hAnsi="Arial"/>
                <w:sz w:val="14"/>
                <w:szCs w:val="14"/>
                <w:b w:val="1"/>
                <w:bCs w:val="1"/>
                <w:color w:val="auto"/>
                <w:w w:val="92"/>
              </w:rPr>
              <w:t>IRR</w:t>
            </w:r>
            <w:r>
              <w:rPr>
                <w:rFonts w:ascii="Arial" w:cs="Arial" w:eastAsia="Arial" w:hAnsi="Arial"/>
                <w:sz w:val="18"/>
                <w:szCs w:val="18"/>
                <w:b w:val="1"/>
                <w:bCs w:val="1"/>
                <w:color w:val="auto"/>
                <w:w w:val="92"/>
                <w:vertAlign w:val="superscript"/>
              </w:rPr>
              <w:t>(2)</w:t>
            </w:r>
          </w:p>
        </w:tc>
        <w:tc>
          <w:tcPr>
            <w:tcW w:w="7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(2)</w:t>
            </w: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(3,4)</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(2)</w:t>
            </w: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14"/>
                <w:szCs w:val="14"/>
                <w:b w:val="1"/>
                <w:bCs w:val="1"/>
                <w:color w:val="auto"/>
                <w:w w:val="99"/>
              </w:rPr>
              <w:t>TVM</w:t>
            </w:r>
            <w:r>
              <w:rPr>
                <w:rFonts w:ascii="Arial" w:cs="Arial" w:eastAsia="Arial" w:hAnsi="Arial"/>
                <w:sz w:val="18"/>
                <w:szCs w:val="18"/>
                <w:b w:val="1"/>
                <w:bCs w:val="1"/>
                <w:color w:val="auto"/>
                <w:w w:val="99"/>
                <w:vertAlign w:val="superscript"/>
              </w:rPr>
              <w:t>(2)</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(3,5)</w:t>
            </w:r>
          </w:p>
        </w:tc>
        <w:tc>
          <w:tcPr>
            <w:tcW w:w="620" w:type="dxa"/>
            <w:vAlign w:val="bottom"/>
            <w:gridSpan w:val="2"/>
            <w:shd w:val="clear" w:color="auto" w:fill="CCEEFF"/>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IRR</w:t>
            </w:r>
            <w:r>
              <w:rPr>
                <w:rFonts w:ascii="Arial" w:cs="Arial" w:eastAsia="Arial" w:hAnsi="Arial"/>
                <w:sz w:val="18"/>
                <w:szCs w:val="18"/>
                <w:b w:val="1"/>
                <w:bCs w:val="1"/>
                <w:color w:val="auto"/>
                <w:w w:val="97"/>
                <w:vertAlign w:val="superscript"/>
              </w:rPr>
              <w:t>(2)</w:t>
            </w:r>
          </w:p>
        </w:tc>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(3,7)</w:t>
            </w: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40" w:type="dxa"/>
            <w:vAlign w:val="bottom"/>
            <w:tcBorders>
              <w:top w:val="single" w:sz="8" w:color="auto"/>
              <w:bottom w:val="single" w:sz="8" w:color="auto"/>
            </w:tcBorders>
          </w:tcPr>
          <w:p>
            <w:pPr>
              <w:jc w:val="center"/>
              <w:ind w:left="228"/>
              <w:spacing w:after="0"/>
              <w:rPr>
                <w:sz w:val="20"/>
                <w:szCs w:val="20"/>
                <w:color w:val="auto"/>
              </w:rPr>
            </w:pPr>
            <w:r>
              <w:rPr>
                <w:rFonts w:ascii="Arial" w:cs="Arial" w:eastAsia="Arial" w:hAnsi="Arial"/>
                <w:sz w:val="14"/>
                <w:szCs w:val="14"/>
                <w:color w:val="auto"/>
                <w:w w:val="90"/>
              </w:rPr>
              <w:t>19.7%</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1.7x</w:t>
            </w:r>
          </w:p>
        </w:tc>
        <w:tc>
          <w:tcPr>
            <w:tcW w:w="80" w:type="dxa"/>
            <w:vAlign w:val="bottom"/>
            <w:tcBorders>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9.0%</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8"/>
              </w:rPr>
              <w:t>1.5x</w:t>
            </w:r>
          </w:p>
        </w:tc>
        <w:tc>
          <w:tcPr>
            <w:tcW w:w="100" w:type="dxa"/>
            <w:vAlign w:val="bottom"/>
            <w:tcBorders>
              <w:bottom w:val="single" w:sz="8" w:color="CCEEFF"/>
            </w:tcBorders>
          </w:tcPr>
          <w:p>
            <w:pPr>
              <w:spacing w:after="0"/>
              <w:rPr>
                <w:sz w:val="15"/>
                <w:szCs w:val="15"/>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w w:val="95"/>
              </w:rPr>
              <w:t>11.6%</w:t>
            </w:r>
          </w:p>
        </w:tc>
        <w:tc>
          <w:tcPr>
            <w:tcW w:w="100" w:type="dxa"/>
            <w:vAlign w:val="bottom"/>
            <w:tcBorders>
              <w:bottom w:val="single" w:sz="8" w:color="CCEEFF"/>
            </w:tcBorders>
          </w:tcPr>
          <w:p>
            <w:pPr>
              <w:spacing w:after="0"/>
              <w:rPr>
                <w:sz w:val="15"/>
                <w:szCs w:val="15"/>
                <w:color w:val="auto"/>
              </w:rPr>
            </w:pPr>
          </w:p>
        </w:tc>
        <w:tc>
          <w:tcPr>
            <w:tcW w:w="18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Direct lending (Gross)</w:t>
            </w:r>
            <w:r>
              <w:rPr>
                <w:rFonts w:ascii="Arial" w:cs="Arial" w:eastAsia="Arial" w:hAnsi="Arial"/>
                <w:sz w:val="18"/>
                <w:szCs w:val="18"/>
                <w:color w:val="auto"/>
                <w:vertAlign w:val="superscript"/>
              </w:rPr>
              <w:t>(8)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7.5%</w:t>
            </w:r>
          </w:p>
        </w:tc>
        <w:tc>
          <w:tcPr>
            <w:tcW w:w="0" w:type="dxa"/>
            <w:vAlign w:val="bottom"/>
          </w:tcPr>
          <w:p>
            <w:pPr>
              <w:spacing w:after="0"/>
              <w:rPr>
                <w:sz w:val="1"/>
                <w:szCs w:val="1"/>
                <w:color w:val="auto"/>
              </w:rPr>
            </w:pPr>
          </w:p>
        </w:tc>
      </w:tr>
      <w:tr>
        <w:trPr>
          <w:trHeight w:val="129"/>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40" w:type="dxa"/>
            <w:vAlign w:val="bottom"/>
            <w:vMerge w:val="restart"/>
            <w:shd w:val="clear" w:color="auto" w:fill="CCEEFF"/>
          </w:tcPr>
          <w:p>
            <w:pPr>
              <w:jc w:val="center"/>
              <w:ind w:left="228"/>
              <w:spacing w:after="0"/>
              <w:rPr>
                <w:sz w:val="20"/>
                <w:szCs w:val="20"/>
                <w:color w:val="auto"/>
              </w:rPr>
            </w:pPr>
            <w:r>
              <w:rPr>
                <w:rFonts w:ascii="Arial" w:cs="Arial" w:eastAsia="Arial" w:hAnsi="Arial"/>
                <w:sz w:val="14"/>
                <w:szCs w:val="14"/>
                <w:color w:val="auto"/>
                <w:w w:val="90"/>
              </w:rPr>
              <w:t>21.5%</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1.6x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10.4%</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68"/>
              <w:spacing w:after="0"/>
              <w:rPr>
                <w:sz w:val="20"/>
                <w:szCs w:val="20"/>
                <w:color w:val="auto"/>
              </w:rPr>
            </w:pPr>
            <w:r>
              <w:rPr>
                <w:rFonts w:ascii="Arial" w:cs="Arial" w:eastAsia="Arial" w:hAnsi="Arial"/>
                <w:sz w:val="14"/>
                <w:szCs w:val="14"/>
                <w:color w:val="auto"/>
                <w:w w:val="95"/>
              </w:rPr>
              <w:t>14.1%</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 (Gross)</w:t>
            </w:r>
            <w:r>
              <w:rPr>
                <w:rFonts w:ascii="Arial" w:cs="Arial" w:eastAsia="Arial" w:hAnsi="Arial"/>
                <w:sz w:val="18"/>
                <w:szCs w:val="18"/>
                <w:color w:val="auto"/>
                <w:vertAlign w:val="superscript"/>
              </w:rPr>
              <w:t>(8)</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10.7%</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w w:val="90"/>
              </w:rPr>
              <w:t>25.1%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1.9x</w:t>
            </w:r>
          </w:p>
        </w:tc>
        <w:tc>
          <w:tcPr>
            <w:tcW w:w="1840" w:type="dxa"/>
            <w:vAlign w:val="bottom"/>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6.4%</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1.2x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(6)</w:t>
            </w:r>
          </w:p>
        </w:tc>
        <w:tc>
          <w:tcPr>
            <w:tcW w:w="520" w:type="dxa"/>
            <w:vAlign w:val="bottom"/>
            <w:vMerge w:val="restart"/>
          </w:tcPr>
          <w:p>
            <w:pPr>
              <w:jc w:val="center"/>
              <w:ind w:right="68"/>
              <w:spacing w:after="0"/>
              <w:rPr>
                <w:sz w:val="20"/>
                <w:szCs w:val="20"/>
                <w:color w:val="auto"/>
              </w:rPr>
            </w:pPr>
            <w:r>
              <w:rPr>
                <w:rFonts w:ascii="Arial" w:cs="Arial" w:eastAsia="Arial" w:hAnsi="Arial"/>
                <w:sz w:val="14"/>
                <w:szCs w:val="14"/>
                <w:color w:val="auto"/>
                <w:w w:val="93"/>
              </w:rPr>
              <w:t>8.8%</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Other (Gross)</w:t>
            </w:r>
            <w:r>
              <w:rPr>
                <w:rFonts w:ascii="Arial" w:cs="Arial" w:eastAsia="Arial" w:hAnsi="Arial"/>
                <w:sz w:val="18"/>
                <w:szCs w:val="18"/>
                <w:color w:val="auto"/>
                <w:vertAlign w:val="superscript"/>
              </w:rPr>
              <w:t>(8,9)</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9.8%</w:t>
            </w:r>
          </w:p>
        </w:tc>
        <w:tc>
          <w:tcPr>
            <w:tcW w:w="0" w:type="dxa"/>
            <w:vAlign w:val="bottom"/>
          </w:tcPr>
          <w:p>
            <w:pPr>
              <w:spacing w:after="0"/>
              <w:rPr>
                <w:sz w:val="1"/>
                <w:szCs w:val="1"/>
                <w:color w:val="auto"/>
              </w:rPr>
            </w:pPr>
          </w:p>
        </w:tc>
      </w:tr>
      <w:tr>
        <w:trPr>
          <w:trHeight w:val="189"/>
        </w:trPr>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16.9%</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Private debt gross track</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record</w:t>
            </w:r>
            <w:r>
              <w:rPr>
                <w:rFonts w:ascii="Arial" w:cs="Arial" w:eastAsia="Arial" w:hAnsi="Arial"/>
                <w:sz w:val="18"/>
                <w:szCs w:val="18"/>
                <w:b w:val="1"/>
                <w:bCs w:val="1"/>
                <w:color w:val="auto"/>
                <w:vertAlign w:val="superscript"/>
              </w:rPr>
              <w:t>(8)</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Private debt net track</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7.9%</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w:t>
            </w: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160" w:hanging="652"/>
        <w:spacing w:after="0" w:line="265" w:lineRule="auto"/>
        <w:tabs>
          <w:tab w:leader="none" w:pos="654"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Private Equity includes 1,330 investments totaling $126.1 billion of capital commitments and excludes (i) two advisory co-investments and 156 client-directed investments, totaling $100.0 million and $19.6 billion, respectively, of capital commitments, (ii) investments for which StepStone does not provide monitoring and reporting services to the client that made the investment, and (iii) Greenspring investments until the data integration is completed. Investment returns are calculated on a constant currency adjusted reporting basis converting non-USD investment cash flows and NAVs to USD using the foreign currency exchange rate corresponding to each client’s first cash flow date.</w:t>
      </w:r>
    </w:p>
    <w:p>
      <w:pPr>
        <w:ind w:left="660" w:right="420" w:hanging="652"/>
        <w:spacing w:after="0" w:line="255" w:lineRule="auto"/>
        <w:tabs>
          <w:tab w:leader="none" w:pos="654"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IRR and Net TVM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300" w:right="300" w:hanging="644"/>
        <w:spacing w:after="0" w:line="258" w:lineRule="auto"/>
        <w:tabs>
          <w:tab w:leader="none" w:pos="12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fees, 5 basis points of capital commitments for fund expenses, and 1 basis point of capital commitments drawn down in the first cash flow quarter for organizational costs.</w:t>
      </w:r>
    </w:p>
    <w:p>
      <w:pPr>
        <w:spacing w:after="0" w:line="1" w:lineRule="exact"/>
        <w:rPr>
          <w:rFonts w:ascii="Arial" w:cs="Arial" w:eastAsia="Arial" w:hAnsi="Arial"/>
          <w:sz w:val="18"/>
          <w:szCs w:val="18"/>
          <w:color w:val="auto"/>
        </w:rPr>
      </w:pPr>
    </w:p>
    <w:p>
      <w:pPr>
        <w:ind w:left="1300" w:right="40" w:hanging="644"/>
        <w:spacing w:after="0" w:line="281" w:lineRule="auto"/>
        <w:tabs>
          <w:tab w:leader="none" w:pos="1296"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2" w:lineRule="exact"/>
        <w:rPr>
          <w:rFonts w:ascii="Arial" w:cs="Arial" w:eastAsia="Arial" w:hAnsi="Arial"/>
          <w:sz w:val="16"/>
          <w:szCs w:val="16"/>
          <w:color w:val="auto"/>
        </w:rPr>
      </w:pPr>
    </w:p>
    <w:p>
      <w:pPr>
        <w:ind w:left="1300" w:right="60" w:hanging="644"/>
        <w:spacing w:after="0" w:line="281" w:lineRule="auto"/>
        <w:tabs>
          <w:tab w:leader="none" w:pos="1292"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fees, 5 basis points of capital commitments for fund expenses, and 1 basis point of capital commitments drawn down in the first cash flow quarter for organizational costs. Co-investments also include 10.0% of paid and unrealized carry (15.0% of paid and unrealized carry for Real Estate), with an 8% preferred return hurdle.</w:t>
      </w:r>
    </w:p>
    <w:p>
      <w:pPr>
        <w:spacing w:after="0" w:line="2"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Net IRR and Net TVM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December 31, 2021, as reported by underlying managers up to 115 days following December 31, 2021. For investment returns where NAV data is not available by 115 days following December 31, 2021, such NAVs are adjusted for cash activity following the last available reported NAV.</w:t>
      </w:r>
    </w:p>
    <w:p>
      <w:pPr>
        <w:spacing w:after="0" w:line="2" w:lineRule="exact"/>
        <w:rPr>
          <w:sz w:val="20"/>
          <w:szCs w:val="20"/>
          <w:color w:val="auto"/>
        </w:rPr>
      </w:pPr>
    </w:p>
    <w:p>
      <w:pPr>
        <w:ind w:left="660" w:right="40" w:hanging="652"/>
        <w:spacing w:after="0" w:line="250" w:lineRule="auto"/>
        <w:tabs>
          <w:tab w:leader="none" w:pos="6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Arial" w:cs="Arial" w:eastAsia="Arial" w:hAnsi="Arial"/>
          <w:sz w:val="18"/>
          <w:szCs w:val="18"/>
          <w:color w:val="auto"/>
        </w:rPr>
      </w:pPr>
    </w:p>
    <w:p>
      <w:pPr>
        <w:ind w:left="660" w:right="100" w:hanging="652"/>
        <w:spacing w:after="0" w:line="265" w:lineRule="auto"/>
        <w:tabs>
          <w:tab w:leader="none" w:pos="654"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Real Estate includes 432 investments totaling $63.5 billion of capital commitments and excludes (i) 54 client-directed investments, totaling $8.0 billion of capital commitments, (ii) eight secondary core/core+ investments, totaling $687.6 million, (iii) four advisory fund investments totaling $463.6 million, and (iv)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Includes the discretionary track record of Courtland Partners, Ltd., which StepStone acquired on April 1, 2018 (the “Courtland acquisition”).</w:t>
      </w:r>
    </w:p>
    <w:p>
      <w:pPr>
        <w:ind w:left="660" w:right="20" w:hanging="652"/>
        <w:spacing w:after="0" w:line="250" w:lineRule="auto"/>
        <w:tabs>
          <w:tab w:leader="none" w:pos="6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Infrastructure includes 182 investments totaling $36.3 billion of capital commitments and excludes (i) approximately 11 infrastructure investments made by the Partnership prior to the formation of the Infrastructure subsidiary in 2013 or made prior to the Courtland acquisition, and 16 client-directed investments, totaling $501.9 million and $1.2 billion, respectively,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2" w:lineRule="exact"/>
        <w:rPr>
          <w:rFonts w:ascii="Arial" w:cs="Arial" w:eastAsia="Arial" w:hAnsi="Arial"/>
          <w:sz w:val="18"/>
          <w:szCs w:val="18"/>
          <w:color w:val="auto"/>
        </w:rPr>
      </w:pPr>
    </w:p>
    <w:p>
      <w:pPr>
        <w:ind w:left="640" w:hanging="632"/>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asset management investments.</w:t>
      </w:r>
    </w:p>
    <w:p>
      <w:pPr>
        <w:spacing w:after="0" w:line="9" w:lineRule="exact"/>
        <w:rPr>
          <w:rFonts w:ascii="Arial" w:cs="Arial" w:eastAsia="Arial" w:hAnsi="Arial"/>
          <w:sz w:val="18"/>
          <w:szCs w:val="18"/>
          <w:color w:val="auto"/>
        </w:rPr>
      </w:pPr>
    </w:p>
    <w:p>
      <w:pPr>
        <w:ind w:left="660" w:hanging="652"/>
        <w:spacing w:after="0" w:line="265" w:lineRule="auto"/>
        <w:tabs>
          <w:tab w:leader="none" w:pos="654"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Private Debt includes 686 investments totaling $31.9 billion of capital commitments and excludes (i) 30 client-directed investments, totaling $2.4 billion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IRR is presented solely for illustrative purposes and does not represent actual returns received by any investor in any of the StepStone Funds represented above. StepStone fees and expenses are based on the following assumptions (management fees represent an annual rate): Private Debt fund investments include 65 basis points on the quarterly NAV for management fee. Net IRR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December 31, 2021, as reported by underlying managers up to 115 days following December 31, 2021. For investment returns where NAV data is not available by 115 days following December 31, 2021, such NAVs are adjusted for cash activity following the last available reported NAV.</w:t>
      </w:r>
    </w:p>
    <w:p>
      <w:pPr>
        <w:spacing w:after="0" w:line="1" w:lineRule="exact"/>
        <w:rPr>
          <w:rFonts w:ascii="Arial" w:cs="Arial" w:eastAsia="Arial" w:hAnsi="Arial"/>
          <w:sz w:val="17"/>
          <w:szCs w:val="17"/>
          <w:color w:val="auto"/>
        </w:rPr>
      </w:pPr>
    </w:p>
    <w:p>
      <w:pPr>
        <w:ind w:left="660" w:right="600" w:hanging="652"/>
        <w:spacing w:after="0" w:line="260" w:lineRule="auto"/>
        <w:tabs>
          <w:tab w:leader="none" w:pos="6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Subset performance is presented net of fees and expenses charged by the underlying fund manager only (performance results do not reflect StepStone fees and expenses).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right="180" w:hanging="652"/>
        <w:spacing w:after="0" w:line="277" w:lineRule="auto"/>
        <w:tabs>
          <w:tab w:leader="none" w:pos="6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includes mezzanine debt, infrastructure debt, collateralized loan obligations, private performing debt, senior/enhanced senior debt, fund of funds, leasing, regulatory capital, trade finance and intellectual property/royalty.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22" w:lineRule="exact"/>
        <w:rPr>
          <w:sz w:val="20"/>
          <w:szCs w:val="20"/>
          <w:color w:val="auto"/>
        </w:rPr>
      </w:pPr>
    </w:p>
    <w:p>
      <w:pPr>
        <w:ind w:right="240" w:firstLine="648"/>
        <w:spacing w:after="0" w:line="244" w:lineRule="auto"/>
        <w:rPr>
          <w:sz w:val="20"/>
          <w:szCs w:val="20"/>
          <w:color w:val="auto"/>
        </w:rPr>
      </w:pPr>
      <w:r>
        <w:rPr>
          <w:rFonts w:ascii="Arial" w:cs="Arial" w:eastAsia="Arial" w:hAnsi="Arial"/>
          <w:sz w:val="20"/>
          <w:szCs w:val="20"/>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and (d) funding capital commitments to our funds, and funding our growth initiatives, including capital expenditures and acquisitions to expand into new businesses.</w:t>
      </w:r>
    </w:p>
    <w:p>
      <w:pPr>
        <w:spacing w:after="0" w:line="194"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As of March 31, 2022, we had $117.4 million of cash, cash equivalents and restricted cash and $1,587.6 million of investments in StepStone Funds, including $1,480.5 million of accrued carried interest allocations, against $62.9 million in debt obligations, net of debt issuance costs, and $770.0 million in accrued carried interest-related compensation payable.</w:t>
      </w:r>
    </w:p>
    <w:p>
      <w:pPr>
        <w:spacing w:after="0" w:line="186"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3"/>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65,930</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35,809</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(52,170)</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activities provided $214.3 million, $149.3 million and $65.9 million of cash for fiscal 2022, 2021 and 2020,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For fiscal 2022, 2021 and 2020, respectively, these amounts primarily consisted of the following:</w:t>
      </w:r>
    </w:p>
    <w:p>
      <w:pPr>
        <w:spacing w:after="0" w:line="200" w:lineRule="exact"/>
        <w:rPr>
          <w:sz w:val="20"/>
          <w:szCs w:val="20"/>
          <w:color w:val="auto"/>
        </w:rPr>
      </w:pPr>
    </w:p>
    <w:p>
      <w:pPr>
        <w:ind w:left="980" w:right="60" w:hanging="324"/>
        <w:spacing w:after="0" w:line="250" w:lineRule="auto"/>
        <w:tabs>
          <w:tab w:leader="none" w:pos="968" w:val="left"/>
        </w:tabs>
        <w:numPr>
          <w:ilvl w:val="0"/>
          <w:numId w:val="63"/>
        </w:numPr>
        <w:rPr>
          <w:rFonts w:ascii="Arial" w:cs="Arial" w:eastAsia="Arial" w:hAnsi="Arial"/>
          <w:sz w:val="20"/>
          <w:szCs w:val="20"/>
          <w:color w:val="auto"/>
        </w:rPr>
      </w:pPr>
      <w:r>
        <w:rPr>
          <w:rFonts w:ascii="Arial" w:cs="Arial" w:eastAsia="Arial" w:hAnsi="Arial"/>
          <w:sz w:val="20"/>
          <w:szCs w:val="20"/>
          <w:color w:val="auto"/>
        </w:rPr>
        <w:t>net income, after adjustments for non-cash items (including unrealized carried interest allocations, unrealized performance fee-related compensation, unrealized investment income and acquisition-related contingent consideration), of $222.9 million, $120.0 million and $72.3 million; and</w:t>
      </w:r>
    </w:p>
    <w:p>
      <w:pPr>
        <w:spacing w:after="0" w:line="185" w:lineRule="exact"/>
        <w:rPr>
          <w:rFonts w:ascii="Arial" w:cs="Arial" w:eastAsia="Arial" w:hAnsi="Arial"/>
          <w:sz w:val="20"/>
          <w:szCs w:val="20"/>
          <w:color w:val="auto"/>
        </w:rPr>
      </w:pPr>
    </w:p>
    <w:p>
      <w:pPr>
        <w:ind w:left="960" w:hanging="304"/>
        <w:spacing w:after="0"/>
        <w:tabs>
          <w:tab w:leader="none" w:pos="9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net change in operating assets and liabilities of $(8.6) million, $29.3 million and $(6.4)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16"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Investing activities provided (used) $(210.2) million, $(11.2) million and $35.8 million of cash for fiscal 2022, 2021 and 2020, respectively, and primarily consisted of the following amounts:</w:t>
      </w:r>
    </w:p>
    <w:p>
      <w:pPr>
        <w:spacing w:after="0" w:line="177" w:lineRule="exact"/>
        <w:rPr>
          <w:sz w:val="20"/>
          <w:szCs w:val="20"/>
          <w:color w:val="auto"/>
        </w:rPr>
      </w:pPr>
    </w:p>
    <w:p>
      <w:pPr>
        <w:ind w:left="960" w:hanging="304"/>
        <w:spacing w:after="0"/>
        <w:tabs>
          <w:tab w:leader="none" w:pos="9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net contributions to investments of $15.1 million, $9.9 million and $7.0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net contributions to investments in legacy Greenspring entities of $11.6 million, $0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purchases of fixed assets of $2.1 million, $1.3 million and $0.8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net sales and maturities of marketable securities of $0 million, $0 million and $43.7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cash payments for acquisitions, net of cash acquired, of $181.5 million, $0 million and $0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Financing activities used $70.4 million, $45.3 million and $52.2 million for fiscal 2022, 2021 and 2020, respectively, and primarily consisted of the following:</w:t>
      </w:r>
    </w:p>
    <w:p>
      <w:pPr>
        <w:spacing w:after="0" w:line="177" w:lineRule="exact"/>
        <w:rPr>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sale of non-controlling interests of $0 million, $3.3 million and $110.8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proceeds from capital contributions from non-controlling interests $0.1 million, $2.8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proceeds from IPO, net of underwriting discounts of $0 million, $337.8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net borrowings on revolving credit facility of $65.0 million, $0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payment of deferred financing costs of $2.4 million, $0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purchase of non-controlling interests of $3.0 million, $131.3 million and $107.2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payment of deferred offering costs of $1.7 million, $10.1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payments on prior term loan of $0 million, $147.0 million and $1.5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distributions to non-controlling interests of $107.5 million, $97.7 million and $52.9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proceeds from capital contributions to legacy Greenspring entities of $15.1 million, $0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distributions to non-controlling interests in legacy Greenspring entities of $11.3 million, $0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dividends paid to common stockholders of $23.9 million, $2.0 million and $0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payments to related parties under the Tax Receivable Agreements of $0.8 million, $0 million and $0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Revolving Credit Facility</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September 2021, we entered into the Credit Agreement in connection with the Greenspring acquisition. The Credit Agreement was arranged by JPMorgan Chase Bank, N.A., as administrative agent, and provides for a $225.0 million multicurrency Revolver with a five-year maturity. As of March 31, 2022, we had $62.9 million outstanding on the Revolver, net of debt issuance costs.</w:t>
      </w:r>
    </w:p>
    <w:p>
      <w:pPr>
        <w:spacing w:after="0" w:line="1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9"/>
          <w:szCs w:val="19"/>
          <w:color w:val="auto"/>
        </w:rPr>
        <w:t>Borrowings under the Revolver bear interest at a variable rate per annum. We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interest rate in effect for the Revolver as of March 31, 2022 was 2.50%.</w:t>
      </w:r>
    </w:p>
    <w:p>
      <w:pPr>
        <w:spacing w:after="0" w:line="184"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52"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beginning with the quarter ending December 31, 2021. As of March 31, 2022, we were in compliance with the total net leverage ratio and minimum fee-earning assets under management covenants.</w:t>
      </w:r>
    </w:p>
    <w:p>
      <w:pPr>
        <w:spacing w:after="0" w:line="165"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We can use available funding capacity under the Revolver to satisfy letters of credit in amounts up to $10.0 million. Amounts used to satisfy the letters of credit reduce the available capacity under the Revolver. As of March 31, 2022, we had outstanding letters of credit totaling $2.9 million.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Equity Transactions in Connection with and Prior to the Reorganization and IPO</w:t>
      </w:r>
    </w:p>
    <w:p>
      <w:pPr>
        <w:spacing w:after="0" w:line="216"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In August 2019, we completed a series of transactions resulting in the unitization of our equity and the combination of certain classes of our equity to facilitate the sale of newly issued equity interests in us to certain institutional investors (the “2019 Transaction”). We received approximately $110.8 million in net proceeds from the sale of equity to institutional investors and used all of the proceeds to repurchase an equal number of equity interests from certain of our existing equity holders. In addition, we repurchased additional Class D partnership interests from a former employee for $2.3 million, which will be paid to the former employee at such time as carried interest allocations are realized by us. In connection with the 2019 Transaction, the previously existing Class A1, Class B, Class C and Class D partnership units were canceled and combined with and into the existing Class A partnership interests of the Company as a single class with equal value (without substantive changes to economic rights associated therewith), with each partner participating ratably in all distributions, including carried interest.</w:t>
      </w:r>
    </w:p>
    <w:p>
      <w:pPr>
        <w:spacing w:after="0" w:line="194"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0"/>
          <w:szCs w:val="20"/>
          <w:color w:val="auto"/>
        </w:rPr>
        <w:t>In June 2020, StepStone Group Real Assets LP (“SRA”) completed a transaction to repurchase partnership interests in SRA from a former partner for approximately $3.3 million, and subsequently sold an equal number of partnership interests to certain employees of SRA for approximately $3.3 million, resulting in no net proceeds to SRA.</w:t>
      </w:r>
    </w:p>
    <w:p>
      <w:pPr>
        <w:spacing w:after="0" w:line="186"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In connection with the consummation of the IPO, we issued new partnership interests to certain StepStone professionals in SRA in exchange for their partnership interests in SRA, which increased our interest in SRA to approximately 49% and decreased the interest of the StepStone professionals in SRA to approximately 51%.</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Equity Transactions Subsequent to the IPO</w:t>
      </w:r>
    </w:p>
    <w:p>
      <w:pPr>
        <w:spacing w:after="0" w:line="216"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In March 2021, we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we issued 9,200,000 shares of Class A common stock to the selling stockholders in exchange for 9,200,000 Class B units. A corresponding number of shares of Class B common stock were automatically redeemed at par value and canceled in connection with such exchange and a corresponding number of Class A units of the Partnership were issued to us. We did not receive any proceeds from the sale of shares by the selling stockholders.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In June 2021, we issued 1,898,438 shares of Class A common stock to certain limited partners of the Partnership in exchange for 1,898,438 Class B units. A corresponding number of shares of Class B common stock were automatically redeemed at par value and canceled in connection with such exchange and a corresponding number of Class A units of the Partnership were issued to us.</w:t>
      </w:r>
    </w:p>
    <w:p>
      <w:pPr>
        <w:spacing w:after="0" w:line="170" w:lineRule="exact"/>
        <w:rPr>
          <w:sz w:val="20"/>
          <w:szCs w:val="20"/>
          <w:color w:val="auto"/>
        </w:rPr>
      </w:pPr>
    </w:p>
    <w:p>
      <w:pPr>
        <w:ind w:right="140" w:firstLine="648"/>
        <w:spacing w:after="0" w:line="278" w:lineRule="auto"/>
        <w:rPr>
          <w:sz w:val="20"/>
          <w:szCs w:val="20"/>
          <w:color w:val="auto"/>
        </w:rPr>
      </w:pPr>
      <w:r>
        <w:rPr>
          <w:rFonts w:ascii="Arial" w:cs="Arial" w:eastAsia="Arial" w:hAnsi="Arial"/>
          <w:sz w:val="18"/>
          <w:szCs w:val="18"/>
          <w:color w:val="auto"/>
        </w:rPr>
        <w:t>In September 2021, we issued 12,686,756 shares of Class A common stock and 3,071,519 Class C units of the Partnership as partial consideration for the Greenspring acquisition. In connection with the transaction, we amended the limited partnership agreement to create a new Class C limited partnership interest and admit the new limited partners that received Class C units as consideration for the Greenspring acquisition. The Class C limited partners of the Partnership became parties to the Exchanges Tax Receivables Agreement to allow for the exchange of Class C units to shares of Class A common stock of the Company on a one for one basis.</w:t>
      </w:r>
    </w:p>
    <w:p>
      <w:pPr>
        <w:spacing w:after="0" w:line="16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8"/>
          <w:szCs w:val="18"/>
          <w:color w:val="auto"/>
        </w:rPr>
        <w:t>In September 2021, we issued 2,087,281 shares of Class A common stock to certain limited partners of the Partnership in exchange for 2,087,281 Class B units. A corresponding number of shares of Class B common stock were automatically redeemed at par value and canceled in connection with such exchange and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9"/>
          <w:szCs w:val="19"/>
          <w:color w:val="auto"/>
        </w:rPr>
        <w:t>In November 2021, we conducted an underwritten public offering of 4,500,000 shares of Class A common stock sold by selling stockholders at a public offering price of $51.83 per share. In connection with the offering, we issued 3,958,204 shares of Class A common stock to certain selling stockholders in exchange for 3,958,204 Class B units. A corresponding number of shares of Class B common stock were automatically redeemed at par value and canceled in connection with such exchange and a corresponding number of Class A units of the Partnership were issued to us. We also issued 142,695 shares of Class A common stock to certain selling stockholders in exchange for 142,695 Class C units and a corresponding number of Class A units of the Partnership were issued to us. We did not receive any proceeds from the sale of shares by the selling stockholders.</w:t>
      </w:r>
    </w:p>
    <w:p>
      <w:pPr>
        <w:spacing w:after="0" w:line="185"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In December 2021, we issued 935,235 shares of Class A common stock to certain limited partners of the Partnership in exchange for 935,235 Class B units. A corresponding number of shares of Class B common stock were automatically redeemed at par value and canceled in connection with such exchange and a corresponding number of Class A units of the Partnership were issued to us.</w:t>
      </w:r>
    </w:p>
    <w:p>
      <w:pPr>
        <w:spacing w:after="0" w:line="152"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In February 2022, the Partnership completed a transaction to repurchase partnership interests in SRA from a former partner for approximately $0.3 million, and subsequently sold an equal number of partnership interests to certain employees of SRA for approximately $0.3 million, resulting in no net proceeds to the Partnership.</w:t>
      </w:r>
    </w:p>
    <w:p>
      <w:pPr>
        <w:spacing w:after="0" w:line="186" w:lineRule="exact"/>
        <w:rPr>
          <w:sz w:val="20"/>
          <w:szCs w:val="20"/>
          <w:color w:val="auto"/>
        </w:rPr>
      </w:pPr>
    </w:p>
    <w:p>
      <w:pPr>
        <w:ind w:right="160" w:firstLine="648"/>
        <w:spacing w:after="0" w:line="269" w:lineRule="auto"/>
        <w:rPr>
          <w:sz w:val="20"/>
          <w:szCs w:val="20"/>
          <w:color w:val="auto"/>
        </w:rPr>
      </w:pPr>
      <w:r>
        <w:rPr>
          <w:rFonts w:ascii="Arial" w:cs="Arial" w:eastAsia="Arial" w:hAnsi="Arial"/>
          <w:sz w:val="19"/>
          <w:szCs w:val="19"/>
          <w:color w:val="auto"/>
        </w:rPr>
        <w:t>In March 2022, we issued 350,000 shares of Class A common stock to a limited partner of the Partnership in exchange for 350,000 Class B units. A corresponding number of shares of Class B common stock were automatically redeemed at par value and canceled in connection with such exchange and a corresponding number of Class A units of the Partnership were issued to us.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16"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On May 26, 2022, we announced a dividend of $0.20 per share of Class A common stock, payable on June 30, 2022 to holders of record as of the close of business on June 15,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following table presents information regarding quarterly dividends on Class A common shares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Quarterly Fiscal Period</w:t>
            </w:r>
            <w:r>
              <w:rPr>
                <w:rFonts w:ascii="Arial" w:cs="Arial" w:eastAsia="Arial" w:hAnsi="Arial"/>
                <w:sz w:val="23"/>
                <w:szCs w:val="23"/>
                <w:b w:val="1"/>
                <w:bCs w:val="1"/>
                <w:color w:val="auto"/>
                <w:w w:val="91"/>
                <w:vertAlign w:val="superscript"/>
              </w:rPr>
              <w:t>1</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Dividend Payment Date</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Dividend Per Share of Class A Common Stock</w:t>
            </w:r>
          </w:p>
        </w:tc>
      </w:tr>
      <w:tr>
        <w:trPr>
          <w:trHeight w:val="223"/>
        </w:trPr>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First quarter</w:t>
            </w:r>
          </w:p>
        </w:tc>
        <w:tc>
          <w:tcPr>
            <w:tcW w:w="14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Second quarter</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80" w:type="dxa"/>
            <w:vAlign w:val="bottom"/>
          </w:tcPr>
          <w:p>
            <w:pPr>
              <w:jc w:val="right"/>
              <w:ind w:right="1590"/>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Third quarter</w:t>
            </w:r>
          </w:p>
        </w:tc>
        <w:tc>
          <w:tcPr>
            <w:tcW w:w="3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1"/>
              </w:rPr>
              <w:t>Fourth quarter</w:t>
            </w:r>
          </w:p>
        </w:tc>
        <w:tc>
          <w:tcPr>
            <w:tcW w:w="37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1"/>
              </w:rPr>
              <w:t>March 12, 2021</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Total dividends paid in FY2021</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First quarter</w:t>
            </w:r>
          </w:p>
        </w:tc>
        <w:tc>
          <w:tcPr>
            <w:tcW w:w="3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July 15, 2021</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Second quarter</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15, 2021</w:t>
            </w:r>
          </w:p>
        </w:tc>
        <w:tc>
          <w:tcPr>
            <w:tcW w:w="88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Third quarter</w:t>
            </w:r>
          </w:p>
        </w:tc>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December 15, 2021</w:t>
            </w:r>
          </w:p>
        </w:tc>
        <w:tc>
          <w:tcPr>
            <w:tcW w:w="88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29"/>
        </w:trPr>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1"/>
              </w:rPr>
              <w:t>Fourth quarter</w:t>
            </w:r>
          </w:p>
        </w:tc>
        <w:tc>
          <w:tcPr>
            <w:tcW w:w="37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1"/>
              </w:rPr>
              <w:t>March 15, 2022</w:t>
            </w:r>
          </w:p>
        </w:tc>
        <w:tc>
          <w:tcPr>
            <w:tcW w:w="8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Total dividends paid in FY2022</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jc w:val="both"/>
        <w:ind w:left="660" w:right="80" w:hanging="652"/>
        <w:spacing w:after="0" w:line="277" w:lineRule="auto"/>
        <w:tabs>
          <w:tab w:leader="none" w:pos="654" w:val="left"/>
        </w:tabs>
        <w:numPr>
          <w:ilvl w:val="0"/>
          <w:numId w:val="66"/>
        </w:numPr>
        <w:rPr>
          <w:rFonts w:ascii="Arial" w:cs="Arial" w:eastAsia="Arial" w:hAnsi="Arial"/>
          <w:sz w:val="17"/>
          <w:szCs w:val="17"/>
          <w:color w:val="auto"/>
        </w:rPr>
      </w:pPr>
      <w:r>
        <w:rPr>
          <w:rFonts w:ascii="Arial" w:cs="Arial" w:eastAsia="Arial" w:hAnsi="Arial"/>
          <w:sz w:val="17"/>
          <w:szCs w:val="17"/>
          <w:color w:val="auto"/>
        </w:rPr>
        <w:t>Prior to the Company’s IPO on September 16, 2020, it was a wholly-owned subsidiary of the Partnership, had a single class of common stock and did not pay dividends. As such, there is no quarterly dividend information reported for the quarter ended September 30, 2020 or any periods prior. Dividends paid, as reported in this table, relate to the preceding quarterly period in which they were earned.</w:t>
      </w:r>
    </w:p>
    <w:p>
      <w:pPr>
        <w:spacing w:after="0" w:line="170"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16"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We have entered into an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Capital Requirements of Regulated Entities</w:t>
      </w:r>
    </w:p>
    <w:p>
      <w:pPr>
        <w:spacing w:after="0" w:line="2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We are required to maintain minimum net capital balances for regulatory purposes in the United States and certain non-U.S. jurisdictions in which we do business. These net capital requirements are met by retaining cash and cash equivalents in those jurisdictions. As a result, we may be restricted in our ability to transfer cash between different operating entities and jurisdictions. As of March 31, 2022, we were required to maintain approximately $7.6 million in net capital at these subsidiaries and were in compliance with all regulatory minimum net capital requirements.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the ordinary course of business, we enter into contractual arrangements that require future cash payments.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anticipated future cash payments under our contractual obligations as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March 31,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400" w:type="dxa"/>
            <w:vAlign w:val="bottom"/>
            <w:gridSpan w:val="3"/>
          </w:tcPr>
          <w:p>
            <w:pPr>
              <w:ind w:left="60"/>
              <w:spacing w:after="0"/>
              <w:rPr>
                <w:sz w:val="20"/>
                <w:szCs w:val="20"/>
                <w:color w:val="auto"/>
              </w:rPr>
            </w:pPr>
            <w:r>
              <w:rPr>
                <w:rFonts w:ascii="Arial" w:cs="Arial" w:eastAsia="Arial" w:hAnsi="Arial"/>
                <w:sz w:val="16"/>
                <w:szCs w:val="16"/>
                <w:b w:val="1"/>
                <w:bCs w:val="1"/>
                <w:color w:val="auto"/>
              </w:rPr>
              <w:t>Less than 1 year</w:t>
            </w:r>
          </w:p>
        </w:tc>
        <w:tc>
          <w:tcPr>
            <w:tcW w:w="22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Years 1-3</w:t>
            </w: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Years 3-5</w:t>
            </w: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436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99,380</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40,866</w:t>
            </w:r>
          </w:p>
        </w:tc>
      </w:tr>
      <w:tr>
        <w:trPr>
          <w:trHeight w:val="230"/>
        </w:trPr>
        <w:tc>
          <w:tcPr>
            <w:tcW w:w="4360" w:type="dxa"/>
            <w:vAlign w:val="bottom"/>
          </w:tcPr>
          <w:p>
            <w:pPr>
              <w:ind w:left="20"/>
              <w:spacing w:after="0" w:line="230" w:lineRule="exact"/>
              <w:rPr>
                <w:sz w:val="20"/>
                <w:szCs w:val="20"/>
                <w:color w:val="auto"/>
              </w:rPr>
            </w:pPr>
            <w:r>
              <w:rPr>
                <w:rFonts w:ascii="Arial" w:cs="Arial" w:eastAsia="Arial" w:hAnsi="Arial"/>
                <w:sz w:val="18"/>
                <w:szCs w:val="18"/>
                <w:color w:val="auto"/>
              </w:rPr>
              <w:t>Contingent earn-out payments</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Debt obligations</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Pr>
          <w:p>
            <w:pPr>
              <w:ind w:left="20"/>
              <w:spacing w:after="0" w:line="230" w:lineRule="exact"/>
              <w:rPr>
                <w:sz w:val="20"/>
                <w:szCs w:val="20"/>
                <w:color w:val="auto"/>
              </w:rPr>
            </w:pPr>
            <w:r>
              <w:rPr>
                <w:rFonts w:ascii="Arial" w:cs="Arial" w:eastAsia="Arial" w:hAnsi="Arial"/>
                <w:sz w:val="18"/>
                <w:szCs w:val="18"/>
                <w:color w:val="auto"/>
              </w:rPr>
              <w:t>Interest on debt obligations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7,270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Capital commitments</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tcPr>
          <w:p>
            <w:pPr>
              <w:ind w:left="20"/>
              <w:spacing w:after="0" w:line="230" w:lineRule="exact"/>
              <w:rPr>
                <w:sz w:val="20"/>
                <w:szCs w:val="20"/>
                <w:color w:val="auto"/>
              </w:rPr>
            </w:pPr>
            <w:r>
              <w:rPr>
                <w:rFonts w:ascii="Arial" w:cs="Arial" w:eastAsia="Arial" w:hAnsi="Arial"/>
                <w:sz w:val="18"/>
                <w:szCs w:val="18"/>
                <w:color w:val="auto"/>
              </w:rPr>
              <w:t>Capital commitments in legacy Greenspring funds</w:t>
            </w:r>
            <w:r>
              <w:rPr>
                <w:rFonts w:ascii="Arial" w:cs="Arial" w:eastAsia="Arial" w:hAnsi="Arial"/>
                <w:sz w:val="23"/>
                <w:szCs w:val="23"/>
                <w:color w:val="auto"/>
                <w:vertAlign w:val="superscript"/>
              </w:rPr>
              <w:t>(6)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40,510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40,510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121,314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89,833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jc w:val="both"/>
        <w:ind w:left="660" w:right="280" w:hanging="652"/>
        <w:spacing w:after="0" w:line="250" w:lineRule="auto"/>
        <w:tabs>
          <w:tab w:leader="none" w:pos="6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lease office space and certain office equipment under agreements that expire periodically through 2032. The table only includes guaranteed minimum lease payments under these agreements, including leases signed but not yet commenced at the period end, and does not project other lease-related payments.</w:t>
      </w:r>
    </w:p>
    <w:p>
      <w:pPr>
        <w:spacing w:after="0" w:line="1" w:lineRule="exact"/>
        <w:rPr>
          <w:rFonts w:ascii="Arial" w:cs="Arial" w:eastAsia="Arial" w:hAnsi="Arial"/>
          <w:sz w:val="18"/>
          <w:szCs w:val="18"/>
          <w:color w:val="auto"/>
        </w:rPr>
      </w:pPr>
    </w:p>
    <w:p>
      <w:pPr>
        <w:ind w:left="660" w:right="260" w:hanging="652"/>
        <w:spacing w:after="0" w:line="250" w:lineRule="auto"/>
        <w:tabs>
          <w:tab w:leader="none" w:pos="6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September 2021, we completed the acquisition of 100% of Greenspring. The transaction agreement includes an earn-out of up to $75 million that is payable in 2025 subject to the achievement of certain management fee revenue targets for calendar year 2024. Future cash payments represent the fair values as of March 31, 2022. See note 6 to our consolidated financial statements included elsewhere in this annual report for more information on contingent consideration liabilities.</w:t>
      </w:r>
    </w:p>
    <w:p>
      <w:pPr>
        <w:spacing w:after="0" w:line="1" w:lineRule="exact"/>
        <w:rPr>
          <w:rFonts w:ascii="Arial" w:cs="Arial" w:eastAsia="Arial" w:hAnsi="Arial"/>
          <w:sz w:val="18"/>
          <w:szCs w:val="18"/>
          <w:color w:val="auto"/>
        </w:rPr>
      </w:pPr>
    </w:p>
    <w:p>
      <w:pPr>
        <w:jc w:val="both"/>
        <w:ind w:left="660" w:right="40" w:hanging="652"/>
        <w:spacing w:after="0" w:line="250" w:lineRule="auto"/>
        <w:tabs>
          <w:tab w:leader="none" w:pos="6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Debt obligations presented in the table relate to the Revolver, which has a maturity date of September 20, 2026. The balance outstanding under the Revolver as of March 31, 2022 has been presented as an obligation payable in the years 3-5 column as there are no scheduled or required principal payments on the Revolver.</w:t>
      </w:r>
    </w:p>
    <w:p>
      <w:pPr>
        <w:spacing w:after="0" w:line="1" w:lineRule="exact"/>
        <w:rPr>
          <w:rFonts w:ascii="Arial" w:cs="Arial" w:eastAsia="Arial" w:hAnsi="Arial"/>
          <w:sz w:val="18"/>
          <w:szCs w:val="18"/>
          <w:color w:val="auto"/>
        </w:rPr>
      </w:pPr>
    </w:p>
    <w:p>
      <w:pPr>
        <w:ind w:left="660" w:right="140" w:hanging="652"/>
        <w:spacing w:after="0" w:line="250" w:lineRule="auto"/>
        <w:tabs>
          <w:tab w:leader="none" w:pos="6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 on debt obligations consists of projected future interest payments for amounts drawn on the Revolver using interest rates in effect as of March 31, 2022 which has been calculated assuming no additional principal payments will be made and outstanding balance will be held until its final maturity date. These projected interest payments may differ in the future based on the balance outstanding on the Revolver, as well as changes in market interest rates.</w:t>
      </w:r>
    </w:p>
    <w:p>
      <w:pPr>
        <w:spacing w:after="0" w:line="1" w:lineRule="exact"/>
        <w:rPr>
          <w:rFonts w:ascii="Arial" w:cs="Arial" w:eastAsia="Arial" w:hAnsi="Arial"/>
          <w:sz w:val="18"/>
          <w:szCs w:val="18"/>
          <w:color w:val="auto"/>
        </w:rPr>
      </w:pPr>
    </w:p>
    <w:p>
      <w:pPr>
        <w:ind w:left="660" w:hanging="652"/>
        <w:spacing w:after="0" w:line="250" w:lineRule="auto"/>
        <w:tabs>
          <w:tab w:leader="none" w:pos="654"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Capital commitments represent our obligations to provide general partner capital funding to the StepStone Funds. These amounts are generally due on demand, and accordingly, have been presented as obligations payable in the less than 1 year column. Capital commitments are expected to be called over a period of several years.</w:t>
      </w:r>
    </w:p>
    <w:p>
      <w:pPr>
        <w:spacing w:after="0" w:line="1" w:lineRule="exact"/>
        <w:rPr>
          <w:rFonts w:ascii="Arial" w:cs="Arial" w:eastAsia="Arial" w:hAnsi="Arial"/>
          <w:sz w:val="18"/>
          <w:szCs w:val="18"/>
          <w:color w:val="auto"/>
        </w:rPr>
      </w:pPr>
    </w:p>
    <w:p>
      <w:pPr>
        <w:ind w:left="660" w:right="120" w:hanging="652"/>
        <w:spacing w:after="0" w:line="286" w:lineRule="auto"/>
        <w:tabs>
          <w:tab w:leader="none" w:pos="654"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connection with the Greenspring acquisition, we, indirectly through our subsidiaries, became the sole and/or managing member of certain entities, each of which is the general partner of an investment fund (“legacy Greenspring general partner entities”). We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We determined that the legacy Greenspring general partner entities are VIEs and it is the primary beneficiary of each such entity because it has a controlling financial interest in each entity. As a result, we consolidate these entities. Capital commitments in legacy Greenspring funds represent our obligations to provide general partner capital funding in legacy Greenspring funds for which we do not hold any direct economic interests. These amounts are generally due on demand, and accordingly, have been presented as obligations payable in the less than 1 year column. Capital commitments are expected to be called over a period of several years.</w:t>
      </w:r>
    </w:p>
    <w:p>
      <w:pPr>
        <w:spacing w:after="0" w:line="17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payments that we are required to make under the Tax Receivable Agreements are expected to be substantial and are not reflected in the contractual obligations table set forth above as they are dependent upon future taxable income.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Off-Balance Sheet Arrangements</w:t>
      </w:r>
    </w:p>
    <w:p>
      <w:pPr>
        <w:spacing w:after="0" w:line="222" w:lineRule="exact"/>
        <w:rPr>
          <w:sz w:val="20"/>
          <w:szCs w:val="20"/>
          <w:color w:val="auto"/>
        </w:rPr>
      </w:pPr>
    </w:p>
    <w:p>
      <w:pPr>
        <w:ind w:right="340" w:firstLine="648"/>
        <w:spacing w:after="0" w:line="246"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consolidated financial statements. See notes 4 and 16, respectively, to our consolidated financial statements included in Part II, Item 8 of this annual report for information on variable interest entities and commitments and contingencies.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Critical Accounting Policies</w:t>
      </w:r>
    </w:p>
    <w:p>
      <w:pPr>
        <w:spacing w:after="0" w:line="222" w:lineRule="exact"/>
        <w:rPr>
          <w:sz w:val="20"/>
          <w:szCs w:val="20"/>
          <w:color w:val="auto"/>
        </w:rPr>
      </w:pPr>
    </w:p>
    <w:p>
      <w:pPr>
        <w:ind w:right="240" w:firstLine="648"/>
        <w:spacing w:after="0" w:line="256" w:lineRule="auto"/>
        <w:rPr>
          <w:sz w:val="20"/>
          <w:szCs w:val="20"/>
          <w:color w:val="auto"/>
        </w:rPr>
      </w:pPr>
      <w:r>
        <w:rPr>
          <w:rFonts w:ascii="Arial" w:cs="Arial" w:eastAsia="Arial" w:hAnsi="Arial"/>
          <w:sz w:val="19"/>
          <w:szCs w:val="19"/>
          <w:color w:val="auto"/>
        </w:rPr>
        <w:t>We prepare our consolidated financial statements in accordance with GAAP. In applying many of these accounting principles, we need to make assumptions, estimates and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We believe the following critical accounting policies could potentially produce materially different results if we were to change underlying assumptions, estimates or judgments. See note 2 to our consolidated financial statements included in Part II, Item 8 of this annual report for a summary of our significant accounting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22"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We consolidate all entities that we control through a majority voting interest or as the primary beneficiary of a variable interest entity (“VIE”). We use, and expect to continue to use, a combination of our equity ownership, governance rights and other contractual arrangements to control operations of these entities. However, these arrangements may not be as effective in providing us with control over these operations as would wholly owning these entities. See note 4 to our consolidated financial statements included in Part II, Item 8 of this annual report for information on variable interest entities.</w:t>
      </w:r>
    </w:p>
    <w:p>
      <w:pPr>
        <w:spacing w:after="0" w:line="194" w:lineRule="exact"/>
        <w:rPr>
          <w:sz w:val="20"/>
          <w:szCs w:val="20"/>
          <w:color w:val="auto"/>
        </w:rPr>
      </w:pPr>
    </w:p>
    <w:p>
      <w:pPr>
        <w:ind w:right="140" w:firstLine="648"/>
        <w:spacing w:after="0" w:line="274" w:lineRule="auto"/>
        <w:rPr>
          <w:sz w:val="20"/>
          <w:szCs w:val="20"/>
          <w:color w:val="auto"/>
        </w:rPr>
      </w:pPr>
      <w:r>
        <w:rPr>
          <w:rFonts w:ascii="Arial" w:cs="Arial" w:eastAsia="Arial" w:hAnsi="Arial"/>
          <w:sz w:val="18"/>
          <w:szCs w:val="18"/>
          <w:color w:val="auto"/>
        </w:rPr>
        <w:t>Under the VIE model, we are required to perform an analysis as to whether we have a variable interest in an entity and whether the entity is a VIE. In evaluating whether we hold a variable interest, we review all of our financial relationships to determine whether we are exposed to the risks and rewards created and distributed by an entity. We hold variable interests in certain operating subsidiaries not wholly-owned by us and in the StepStone Funds in which we serve as the general partner or managing member. We also assess whether the fees charged to the StepStone Funds are customary and commensurate with the level of effort required to provide the services. We consider all economic interests, including indirect interests, to determine if a fee is considered a variable interest. We determined our fee arrangements with the StepStone Funds are not considered to be variable interests.</w:t>
      </w:r>
    </w:p>
    <w:p>
      <w:pPr>
        <w:spacing w:after="0" w:line="168" w:lineRule="exact"/>
        <w:rPr>
          <w:sz w:val="20"/>
          <w:szCs w:val="20"/>
          <w:color w:val="auto"/>
        </w:rPr>
      </w:pPr>
    </w:p>
    <w:p>
      <w:pPr>
        <w:ind w:right="40" w:firstLine="648"/>
        <w:spacing w:after="0" w:line="260" w:lineRule="auto"/>
        <w:rPr>
          <w:sz w:val="20"/>
          <w:szCs w:val="20"/>
          <w:color w:val="auto"/>
        </w:rPr>
      </w:pPr>
      <w:r>
        <w:rPr>
          <w:rFonts w:ascii="Arial" w:cs="Arial" w:eastAsia="Arial" w:hAnsi="Arial"/>
          <w:sz w:val="19"/>
          <w:szCs w:val="19"/>
          <w:color w:val="auto"/>
        </w:rPr>
        <w:t>If we have a variable interest in an entity, we further assess whether the entity is a VIE and, if so, whether we are the primary beneficiary. The assessment of whether an entity is a VIE requires an evaluation of qualitative factors and, where applicable, quantitative factors. These judgments include: (a) determining whether the entity has sufficient equity at risk, (b) evaluating whether the equity holders, as a group, lack the ability to make decisions that significantly affect the economic performance of the entity and (c) determining whether the entity is structured with disproportionate voting rights in relation to their equity interests.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For entities that are determined to be VIEs, we are required to consolidate those entities where we have concluded that we are the primary beneficiary. The primary beneficiary is defined as the variable interest holder with (a) the power to direct the activities of a VIE that most significantly affect the entity’s economic performance and (b) the obligation to absorb losses of the entity or the right to receive benefits from the entity that could potentially be significant to the VIE. In evaluating whether we are the primary beneficiary, we evaluate our economic interests in the entity held either directly or indirectly by us. At each reporting date, we determine whether any reconsideration events have occurred that require us to revisit the primary beneficiary analysis, and we will consolidate or deconsolidate accordingly.</w:t>
      </w:r>
    </w:p>
    <w:p>
      <w:pPr>
        <w:spacing w:after="0" w:line="165"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We provide investment advisory services to the StepStone Funds, which have third-party investors. Certain StepStone Funds are VIEs because they have not granted the third-party investors substantive rights to terminate or remove the general partner or participating rights. We do not consolidate these StepStone Funds because we are not the primary beneficiary of those funds, primarily because our fee arrangements are considered customary and commensurate and thus not deemed to be variable interests, and we do not hold any other interests in those funds that are considered more than insignificant. We consolidate certain of our operating subsidiaries that are VIEs because we are the primary beneficiary.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The application of ASC 606 requires us to identify our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We have elected to apply the variable consideration allocation exception for our fee arrangements with our customers.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recognize management and advisory fee revenues when control of the promised services is transferred to customers, in an amount that reflects the consideration that we expect to receive in exchange for those services. For asset management services and the arrangement of administrative services, we satisfy these performance obligations over time because the customer simultaneously receives and consumes the benefits of the services as they are performed. Advisory fees from contracts under which we do not have discretion over investment decisions are generally based on fixed amounts and typically billed quarterly. Management fees are reflected net of certain professional and administrative services and distribution and servicing fees paid to third parties for which we are acting as an agent.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earn two types of performance fee revenues: incentive fees and carried interest allocations, as described below.</w:t>
      </w:r>
    </w:p>
    <w:p>
      <w:pPr>
        <w:spacing w:after="0" w:line="216"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i w:val="1"/>
          <w:iCs w:val="1"/>
          <w:color w:val="auto"/>
        </w:rPr>
        <w:t xml:space="preserve">Incentive fees </w:t>
      </w:r>
      <w:r>
        <w:rPr>
          <w:rFonts w:ascii="Arial" w:cs="Arial" w:eastAsia="Arial" w:hAnsi="Arial"/>
          <w:sz w:val="18"/>
          <w:szCs w:val="18"/>
          <w:color w:val="auto"/>
        </w:rPr>
        <w:t>are generally calculated as a percentage of the profits (up to 10%) earned in respect of certain accounts for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 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76"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i w:val="1"/>
          <w:iCs w:val="1"/>
          <w:color w:val="auto"/>
        </w:rPr>
        <w:t xml:space="preserve">Carried interest allocations </w:t>
      </w:r>
      <w:r>
        <w:rPr>
          <w:rFonts w:ascii="Arial" w:cs="Arial" w:eastAsia="Arial" w:hAnsi="Arial"/>
          <w:sz w:val="18"/>
          <w:szCs w:val="18"/>
          <w:color w:val="auto"/>
        </w:rPr>
        <w:t>include the allocation of performance-based fees, commonly referred to as carried interest, to us from</w:t>
      </w:r>
      <w:r>
        <w:rPr>
          <w:rFonts w:ascii="Arial" w:cs="Arial" w:eastAsia="Arial" w:hAnsi="Arial"/>
          <w:sz w:val="18"/>
          <w:szCs w:val="18"/>
          <w:i w:val="1"/>
          <w:iCs w:val="1"/>
          <w:color w:val="auto"/>
        </w:rPr>
        <w:t xml:space="preserve"> </w:t>
      </w:r>
      <w:r>
        <w:rPr>
          <w:rFonts w:ascii="Arial" w:cs="Arial" w:eastAsia="Arial" w:hAnsi="Arial"/>
          <w:sz w:val="18"/>
          <w:szCs w:val="18"/>
          <w:color w:val="auto"/>
        </w:rPr>
        <w:t>unaffiliated limited partners in certain StepStone Funds in 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We account for our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68"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i w:val="1"/>
          <w:iCs w:val="1"/>
          <w:color w:val="auto"/>
        </w:rPr>
        <w:t xml:space="preserve">Legacy Greenspring carried interest allocations </w:t>
      </w:r>
      <w:r>
        <w:rPr>
          <w:rFonts w:ascii="Arial" w:cs="Arial" w:eastAsia="Arial" w:hAnsi="Arial"/>
          <w:sz w:val="18"/>
          <w:szCs w:val="18"/>
          <w:color w:val="auto"/>
        </w:rPr>
        <w:t>include the allocation of carried interest to legacy Greenspring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it is presumed to have significant influence as the general partner or managing member. We do not hold any direct economic interests in the legacy Greenspring general partner entities and thus are not entitled to any carried interest allocation from the legacy funds. All of the carried interest allocations in respect of the legacy Greenspring funds are payable to employees who are considered affiliates to us and are therefore reflected as legacy Greenspring performance fee-related compensation in the consolidated statements of income. Accordingly, legacy Greenspring carried interest allocations are not deemed to be within the scope of ASC 606.</w:t>
      </w:r>
    </w:p>
    <w:p>
      <w:pPr>
        <w:spacing w:after="0" w:line="174"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We recognize revenue attributable to carried interest allocations from a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fund’s underlying investments measured at their then-fair values, relative to the fair values as of the end of the prior period. We record the amount of carried interest allocated to us as of each period end as accrued carried interest allocations receivable, which is included as a component of investments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81" w:lineRule="auto"/>
        <w:rPr>
          <w:sz w:val="20"/>
          <w:szCs w:val="20"/>
          <w:color w:val="auto"/>
        </w:rPr>
      </w:pPr>
      <w:r>
        <w:rPr>
          <w:rFonts w:ascii="Arial" w:cs="Arial" w:eastAsia="Arial" w:hAnsi="Arial"/>
          <w:sz w:val="18"/>
          <w:szCs w:val="18"/>
          <w:color w:val="auto"/>
        </w:rPr>
        <w:t>Carried interest is generally realized when an underlying investment is profitably disposed of and the fund’s cumulative returns are in excess of the specific hurdle rates, as defined in the applicable governing documents. Carried interest is generally subject to reversal to the</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extent that the amount received to date exceeds the amount due to us based on cumulative results. As such, a liability is accrued for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91" w:lineRule="exact"/>
        <w:rPr>
          <w:rFonts w:ascii="Arial" w:cs="Arial" w:eastAsia="Arial" w:hAnsi="Arial"/>
          <w:sz w:val="20"/>
          <w:szCs w:val="20"/>
          <w:color w:val="auto"/>
        </w:rPr>
      </w:pPr>
    </w:p>
    <w:p>
      <w:pPr>
        <w:ind w:left="660" w:right="380" w:hanging="328"/>
        <w:spacing w:after="0" w:line="250"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60" w:firstLine="648"/>
        <w:spacing w:after="0" w:line="263" w:lineRule="auto"/>
        <w:rPr>
          <w:sz w:val="20"/>
          <w:szCs w:val="20"/>
          <w:color w:val="auto"/>
        </w:rPr>
      </w:pPr>
      <w:r>
        <w:rPr>
          <w:rFonts w:ascii="Arial" w:cs="Arial" w:eastAsia="Arial" w:hAnsi="Arial"/>
          <w:sz w:val="19"/>
          <w:szCs w:val="19"/>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176"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We consider our cash, cash equivalents, restricted cash, fees and accounts receivable, accounts payable, investments, revolving credit facility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notes 6 and 9 to our consolidated financial statements for additional details regarding the fair value of our contingent consideration and revolving credit facility balances,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22"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auto"/>
        </w:rPr>
        <w:t>We account for grants of equity-based awards, including restricted stock units (“RSUs”), to certain employees and directors at fair value as of the grant date. We recognize non-cash compensation expense attributable to these grants on a straight-line basis over the requisite service period, which is generally the vesting period. Expense related to grants of equity-based awards is recognized as equity-based compensation expense in the consolidated statements of income. The fair value of RSUs is determined by the closing stock price on the grant date. Forfeitures of equity-based awards are recognized as they occur. See note 10 to our consolidated financial statements for additional information regarding our accounting for equity-based awards.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Performance Fee-Related Compensation</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A portion of the carried interest allocations we earn is awarded to employees and other carry participants in the form of award letters (“carry awards”). Carry awards to employees and other participants are accounted for as a component of compensation and benefits expense contemporaneously with our recognition of the related realized and unrealized carried interest allocation revenue and, until paid, is included in accrued carried interest-related compensation in the consolidated balance sheets. Carried interest-related compensation expense also includes the portion of net carried interest allocation revenue attributable to equity holders of our consolidated subsidiaries that are not 100% owned by us. Upon a reversal of carried interest allocation revenue, the related compensation expense, if any, is also reversed. Liabilities recognized for carried interest amounts due to affiliates are not paid until the related carried interest allocation revenue is realized. We record incentive fee compensation when it is probable that a liability has been incurred and the amount is reasonably estimable. The incentive fee compensation accrual is based on a number of factors, including the cumulative activity for the period and the distribution of the net proceeds in accordance with the applicable governing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40" w:firstLine="648"/>
        <w:spacing w:after="0" w:line="321"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The principal items giving rise to temporary differences are certain basis differences resulting from exchanges of Partnership units. See Tax Receivable Agreements below.</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our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9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 xml:space="preserve">We are subject to the provisions of ASC Subtopic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We recognize interest and penalties, if any, related to unrecognized tax benefits as interest expense and general, administrative and other expenses, respectively, in the consolidated statements of income. See note 11 to our consolidated financial statements for more information.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Tax laws are complex and subject to different interpretations by the taxpayer and respective governmental taxing authorities.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required in determining tax expense and in evaluating tax positions, including evaluating uncertainties under GAAP.</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We review our tax positions quarterly and adjust our tax balances as new information becomes available.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8"/>
          <w:szCs w:val="18"/>
          <w:color w:val="auto"/>
        </w:rPr>
        <w:t>The Tax Receivable Agreements provide for payment by SSG to the Class B limited partners, Class C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notes 14 and 15 to our consolidated financial statements for more information.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Recent Accounting Developments</w:t>
      </w:r>
    </w:p>
    <w:p>
      <w:pPr>
        <w:spacing w:after="0" w:line="222"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consolidated financial statements included in Part II, Item 8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6" w:lineRule="exact"/>
        <w:rPr>
          <w:sz w:val="20"/>
          <w:szCs w:val="20"/>
          <w:color w:val="auto"/>
        </w:rPr>
      </w:pPr>
    </w:p>
    <w:p>
      <w:pPr>
        <w:ind w:right="40" w:firstLine="648"/>
        <w:spacing w:after="0" w:line="328" w:lineRule="auto"/>
        <w:rPr>
          <w:sz w:val="20"/>
          <w:szCs w:val="20"/>
          <w:color w:val="auto"/>
        </w:rPr>
      </w:pPr>
      <w:r>
        <w:rPr>
          <w:rFonts w:ascii="Arial" w:cs="Arial" w:eastAsia="Arial" w:hAnsi="Arial"/>
          <w:sz w:val="16"/>
          <w:szCs w:val="16"/>
          <w:color w:val="auto"/>
        </w:rPr>
        <w:t>Our management fee and advisory fee revenue is only marginally affected by changes in investment values because our management fees are generally based on commitments or net invested capital and our advisory fees are fixed. As of March 31, 2022, NAV-based management fees represented approximately 3% of total net management and advisory fees. We estimate that a 10% decline in market values of the investments held in our funds as of March 31, 2022 would result in an approximate $1.5 million decrease to annual management fees.</w:t>
      </w:r>
    </w:p>
    <w:p>
      <w:pPr>
        <w:spacing w:after="0" w:line="12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6" w:lineRule="exact"/>
        <w:rPr>
          <w:sz w:val="20"/>
          <w:szCs w:val="20"/>
          <w:color w:val="auto"/>
        </w:rPr>
      </w:pPr>
    </w:p>
    <w:p>
      <w:pPr>
        <w:ind w:left="660" w:right="240" w:hanging="328"/>
        <w:spacing w:after="0" w:line="246" w:lineRule="auto"/>
        <w:tabs>
          <w:tab w:leader="none" w:pos="648"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March 31, 2022, we had $14.2 million of deferred incentive fee revenue recorded in accounts payable, accrued expenses and other liabilities in the consolidated balance sheets.</w:t>
      </w:r>
    </w:p>
    <w:p>
      <w:pPr>
        <w:spacing w:after="0" w:line="191" w:lineRule="exact"/>
        <w:rPr>
          <w:rFonts w:ascii="Arial" w:cs="Arial" w:eastAsia="Arial" w:hAnsi="Arial"/>
          <w:sz w:val="20"/>
          <w:szCs w:val="20"/>
          <w:color w:val="auto"/>
        </w:rPr>
      </w:pPr>
    </w:p>
    <w:p>
      <w:pPr>
        <w:ind w:left="660" w:hanging="328"/>
        <w:spacing w:after="0" w:line="270" w:lineRule="auto"/>
        <w:tabs>
          <w:tab w:leader="none" w:pos="6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March 31, 2022, the maximum amount of carried interest allocations (excluding legacy Greenspring carried interest allocations) subject to contingent repayment was an estimated $204.8 million, net of tax, assuming the fair value of all investments was zero, a possibility that we view as remote.</w:t>
      </w:r>
    </w:p>
    <w:p>
      <w:pPr>
        <w:spacing w:after="0" w:line="172" w:lineRule="exact"/>
        <w:rPr>
          <w:rFonts w:ascii="Arial" w:cs="Arial" w:eastAsia="Arial" w:hAnsi="Arial"/>
          <w:sz w:val="18"/>
          <w:szCs w:val="18"/>
          <w:color w:val="auto"/>
        </w:rPr>
      </w:pPr>
    </w:p>
    <w:p>
      <w:pPr>
        <w:ind w:left="660" w:right="80" w:hanging="328"/>
        <w:spacing w:after="0" w:line="246" w:lineRule="auto"/>
        <w:tabs>
          <w:tab w:leader="none" w:pos="648"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held as of March 31, 2022, we estimate that a 10% decline in fair value of the investments would result in a $10.7 million decrease in the amount of income.</w:t>
      </w:r>
    </w:p>
    <w:p>
      <w:pPr>
        <w:spacing w:after="0" w:line="18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Exchange Rate Risk</w:t>
      </w:r>
    </w:p>
    <w:p>
      <w:pPr>
        <w:spacing w:after="0" w:line="22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48"/>
        <w:spacing w:after="0" w:line="328" w:lineRule="auto"/>
        <w:rPr>
          <w:sz w:val="20"/>
          <w:szCs w:val="20"/>
          <w:color w:val="auto"/>
        </w:rPr>
      </w:pPr>
      <w:r>
        <w:rPr>
          <w:rFonts w:ascii="Arial" w:cs="Arial" w:eastAsia="Arial" w:hAnsi="Arial"/>
          <w:sz w:val="16"/>
          <w:szCs w:val="16"/>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consolidated financial statements.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22" w:lineRule="exact"/>
        <w:rPr>
          <w:sz w:val="20"/>
          <w:szCs w:val="20"/>
          <w:color w:val="auto"/>
        </w:rPr>
      </w:pPr>
    </w:p>
    <w:p>
      <w:pPr>
        <w:ind w:right="60" w:firstLine="648"/>
        <w:spacing w:after="0" w:line="328" w:lineRule="auto"/>
        <w:rPr>
          <w:sz w:val="20"/>
          <w:szCs w:val="20"/>
          <w:color w:val="auto"/>
        </w:rPr>
      </w:pPr>
      <w:r>
        <w:rPr>
          <w:rFonts w:ascii="Arial" w:cs="Arial" w:eastAsia="Arial" w:hAnsi="Arial"/>
          <w:sz w:val="16"/>
          <w:szCs w:val="16"/>
          <w:color w:val="auto"/>
        </w:rPr>
        <w:t>As of March 31, 2022, we had $65.0 million in borrowings outstanding under our Revolver. The Revolver accrues interest at a variable rate. As of March 31, 2022, we estimate that interest expense would increase by $0.7 million on an annualized basis as a result of a 100 basis point increase in interest rates. Based on the $117.4 million of cash, cash equivalents and restricted cash as of March 31, 2022, we estimate that interest income would increase by $1.2 million on an annualized basis as a result of a 100 basis point increase in interest rates.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22" w:lineRule="exact"/>
        <w:rPr>
          <w:sz w:val="20"/>
          <w:szCs w:val="20"/>
          <w:color w:val="auto"/>
        </w:rPr>
      </w:pPr>
    </w:p>
    <w:p>
      <w:pPr>
        <w:jc w:val="both"/>
        <w:ind w:right="60" w:firstLine="648"/>
        <w:spacing w:after="0" w:line="278"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12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82"/>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rFonts w:ascii="Arial" w:cs="Arial" w:eastAsia="Arial" w:hAnsi="Arial"/>
                <w:sz w:val="18"/>
                <w:szCs w:val="18"/>
                <w:color w:val="0000FF"/>
              </w:rPr>
            </w:pPr>
            <w:hyperlink w:anchor="page119">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42)</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center"/>
              <w:spacing w:after="0" w:line="182" w:lineRule="exact"/>
              <w:rPr>
                <w:rFonts w:ascii="Arial" w:cs="Arial" w:eastAsia="Arial" w:hAnsi="Arial"/>
                <w:sz w:val="18"/>
                <w:szCs w:val="18"/>
                <w:color w:val="0000FF"/>
                <w:w w:val="86"/>
              </w:rPr>
            </w:pPr>
            <w:hyperlink w:anchor="page119">
              <w:r>
                <w:rPr>
                  <w:rFonts w:ascii="Arial" w:cs="Arial" w:eastAsia="Arial" w:hAnsi="Arial"/>
                  <w:sz w:val="18"/>
                  <w:szCs w:val="18"/>
                  <w:color w:val="0000FF"/>
                  <w:w w:val="86"/>
                </w:rPr>
                <w:t>120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24">
              <w:r>
                <w:rPr>
                  <w:rFonts w:ascii="Arial" w:cs="Arial" w:eastAsia="Arial" w:hAnsi="Arial"/>
                  <w:sz w:val="18"/>
                  <w:szCs w:val="18"/>
                  <w:color w:val="0000FF"/>
                </w:rPr>
                <w:t>Consolidated Balance Sheets as of March 31, 2022 and 2021</w:t>
              </w:r>
            </w:hyperlink>
          </w:p>
        </w:tc>
        <w:tc>
          <w:tcPr>
            <w:tcW w:w="1100" w:type="dxa"/>
            <w:vAlign w:val="bottom"/>
            <w:gridSpan w:val="3"/>
          </w:tcPr>
          <w:p>
            <w:pPr>
              <w:jc w:val="center"/>
              <w:spacing w:after="0" w:line="189" w:lineRule="exact"/>
              <w:rPr>
                <w:rFonts w:ascii="Arial" w:cs="Arial" w:eastAsia="Arial" w:hAnsi="Arial"/>
                <w:sz w:val="18"/>
                <w:szCs w:val="18"/>
                <w:color w:val="0000FF"/>
                <w:w w:val="86"/>
              </w:rPr>
            </w:pPr>
            <w:hyperlink w:anchor="page124">
              <w:r>
                <w:rPr>
                  <w:rFonts w:ascii="Arial" w:cs="Arial" w:eastAsia="Arial" w:hAnsi="Arial"/>
                  <w:sz w:val="18"/>
                  <w:szCs w:val="18"/>
                  <w:color w:val="0000FF"/>
                  <w:w w:val="86"/>
                </w:rPr>
                <w:t>125</w:t>
              </w:r>
            </w:hyperlink>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rFonts w:ascii="Arial" w:cs="Arial" w:eastAsia="Arial" w:hAnsi="Arial"/>
                <w:sz w:val="18"/>
                <w:szCs w:val="18"/>
                <w:color w:val="0000FF"/>
              </w:rPr>
            </w:pPr>
            <w:hyperlink w:anchor="page126">
              <w:r>
                <w:rPr>
                  <w:rFonts w:ascii="Arial" w:cs="Arial" w:eastAsia="Arial" w:hAnsi="Arial"/>
                  <w:sz w:val="18"/>
                  <w:szCs w:val="18"/>
                  <w:color w:val="0000FF"/>
                </w:rPr>
                <w:t xml:space="preserve">Consolidated Statements of Income for the Years Ended March 31, 2022, 2021 and </w:t>
              </w:r>
            </w:hyperlink>
            <w:r>
              <w:rPr>
                <w:rFonts w:ascii="Arial" w:cs="Arial" w:eastAsia="Arial" w:hAnsi="Arial"/>
                <w:sz w:val="18"/>
                <w:szCs w:val="18"/>
                <w:color w:val="0000FF"/>
              </w:rPr>
              <w:t>2020</w:t>
            </w:r>
          </w:p>
        </w:tc>
        <w:tc>
          <w:tcPr>
            <w:tcW w:w="1100" w:type="dxa"/>
            <w:vAlign w:val="bottom"/>
            <w:gridSpan w:val="3"/>
            <w:shd w:val="clear" w:color="auto" w:fill="CCEEFF"/>
          </w:tcPr>
          <w:p>
            <w:pPr>
              <w:jc w:val="center"/>
              <w:spacing w:after="0" w:line="189" w:lineRule="exact"/>
              <w:rPr>
                <w:rFonts w:ascii="Arial" w:cs="Arial" w:eastAsia="Arial" w:hAnsi="Arial"/>
                <w:sz w:val="18"/>
                <w:szCs w:val="18"/>
                <w:color w:val="0000FF"/>
                <w:w w:val="86"/>
              </w:rPr>
            </w:pPr>
            <w:hyperlink w:anchor="page126">
              <w:r>
                <w:rPr>
                  <w:rFonts w:ascii="Arial" w:cs="Arial" w:eastAsia="Arial" w:hAnsi="Arial"/>
                  <w:sz w:val="18"/>
                  <w:szCs w:val="18"/>
                  <w:color w:val="0000FF"/>
                  <w:w w:val="86"/>
                </w:rPr>
                <w:t>127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27">
              <w:r>
                <w:rPr>
                  <w:rFonts w:ascii="Arial" w:cs="Arial" w:eastAsia="Arial" w:hAnsi="Arial"/>
                  <w:sz w:val="18"/>
                  <w:szCs w:val="18"/>
                  <w:color w:val="0000FF"/>
                </w:rPr>
                <w:t>Consolidated Statements of Comprehensive Income for the Years Ended March 31, 2022, 2021 and 2020</w:t>
              </w:r>
            </w:hyperlink>
          </w:p>
        </w:tc>
        <w:tc>
          <w:tcPr>
            <w:tcW w:w="1100" w:type="dxa"/>
            <w:vAlign w:val="bottom"/>
            <w:gridSpan w:val="3"/>
          </w:tcPr>
          <w:p>
            <w:pPr>
              <w:jc w:val="center"/>
              <w:spacing w:after="0" w:line="189" w:lineRule="exact"/>
              <w:rPr>
                <w:rFonts w:ascii="Arial" w:cs="Arial" w:eastAsia="Arial" w:hAnsi="Arial"/>
                <w:sz w:val="18"/>
                <w:szCs w:val="18"/>
                <w:color w:val="0000FF"/>
                <w:w w:val="86"/>
              </w:rPr>
            </w:pPr>
            <w:hyperlink w:anchor="page127">
              <w:r>
                <w:rPr>
                  <w:rFonts w:ascii="Arial" w:cs="Arial" w:eastAsia="Arial" w:hAnsi="Arial"/>
                  <w:sz w:val="18"/>
                  <w:szCs w:val="18"/>
                  <w:color w:val="0000FF"/>
                  <w:w w:val="86"/>
                </w:rPr>
                <w:t>128</w:t>
              </w:r>
            </w:hyperlink>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380" w:type="dxa"/>
            <w:vAlign w:val="bottom"/>
            <w:gridSpan w:val="6"/>
            <w:shd w:val="clear" w:color="auto" w:fill="CCEEFF"/>
          </w:tcPr>
          <w:p>
            <w:pPr>
              <w:spacing w:after="0" w:line="189" w:lineRule="exact"/>
              <w:rPr>
                <w:rFonts w:ascii="Arial" w:cs="Arial" w:eastAsia="Arial" w:hAnsi="Arial"/>
                <w:sz w:val="18"/>
                <w:szCs w:val="18"/>
                <w:color w:val="0000FF"/>
                <w:w w:val="90"/>
              </w:rPr>
            </w:pPr>
            <w:hyperlink w:anchor="page128">
              <w:r>
                <w:rPr>
                  <w:rFonts w:ascii="Arial" w:cs="Arial" w:eastAsia="Arial" w:hAnsi="Arial"/>
                  <w:sz w:val="18"/>
                  <w:szCs w:val="18"/>
                  <w:color w:val="0000FF"/>
                  <w:w w:val="90"/>
                </w:rPr>
                <w:t xml:space="preserve">Consolidated Statements of Stockholders’ Equity for the Years Ended March 31, 2022, 2021 and </w:t>
              </w:r>
            </w:hyperlink>
            <w:r>
              <w:rPr>
                <w:rFonts w:ascii="Arial" w:cs="Arial" w:eastAsia="Arial" w:hAnsi="Arial"/>
                <w:sz w:val="18"/>
                <w:szCs w:val="18"/>
                <w:color w:val="0000FF"/>
                <w:w w:val="90"/>
              </w:rPr>
              <w:t>2020</w:t>
            </w:r>
          </w:p>
        </w:tc>
        <w:tc>
          <w:tcPr>
            <w:tcW w:w="2740" w:type="dxa"/>
            <w:vAlign w:val="bottom"/>
            <w:gridSpan w:val="3"/>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rFonts w:ascii="Arial" w:cs="Arial" w:eastAsia="Arial" w:hAnsi="Arial"/>
                <w:sz w:val="18"/>
                <w:szCs w:val="18"/>
                <w:color w:val="0000FF"/>
                <w:w w:val="86"/>
              </w:rPr>
            </w:pPr>
            <w:hyperlink w:anchor="page128">
              <w:r>
                <w:rPr>
                  <w:rFonts w:ascii="Arial" w:cs="Arial" w:eastAsia="Arial" w:hAnsi="Arial"/>
                  <w:sz w:val="18"/>
                  <w:szCs w:val="18"/>
                  <w:color w:val="0000FF"/>
                  <w:w w:val="86"/>
                </w:rPr>
                <w:t>129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gridSpan w:val="6"/>
          </w:tcPr>
          <w:p>
            <w:pPr>
              <w:spacing w:after="0" w:line="189" w:lineRule="exact"/>
              <w:rPr>
                <w:rFonts w:ascii="Arial" w:cs="Arial" w:eastAsia="Arial" w:hAnsi="Arial"/>
                <w:sz w:val="18"/>
                <w:szCs w:val="18"/>
                <w:color w:val="0000FF"/>
                <w:w w:val="98"/>
              </w:rPr>
            </w:pPr>
            <w:hyperlink w:anchor="page130">
              <w:r>
                <w:rPr>
                  <w:rFonts w:ascii="Arial" w:cs="Arial" w:eastAsia="Arial" w:hAnsi="Arial"/>
                  <w:sz w:val="18"/>
                  <w:szCs w:val="18"/>
                  <w:color w:val="0000FF"/>
                  <w:w w:val="98"/>
                </w:rPr>
                <w:t xml:space="preserve">Consolidated Statements of Cash Flows for the Years Ended March 31, 2022, 2021 and </w:t>
              </w:r>
            </w:hyperlink>
            <w:r>
              <w:rPr>
                <w:rFonts w:ascii="Arial" w:cs="Arial" w:eastAsia="Arial" w:hAnsi="Arial"/>
                <w:sz w:val="18"/>
                <w:szCs w:val="18"/>
                <w:color w:val="0000FF"/>
                <w:w w:val="98"/>
              </w:rPr>
              <w:t>2020</w:t>
            </w:r>
          </w:p>
        </w:tc>
        <w:tc>
          <w:tcPr>
            <w:tcW w:w="2740" w:type="dxa"/>
            <w:vAlign w:val="bottom"/>
            <w:gridSpan w:val="3"/>
          </w:tcPr>
          <w:p>
            <w:pPr>
              <w:spacing w:after="0"/>
              <w:rPr>
                <w:sz w:val="16"/>
                <w:szCs w:val="16"/>
                <w:color w:val="auto"/>
              </w:rPr>
            </w:pPr>
          </w:p>
        </w:tc>
        <w:tc>
          <w:tcPr>
            <w:tcW w:w="1100" w:type="dxa"/>
            <w:vAlign w:val="bottom"/>
            <w:gridSpan w:val="3"/>
          </w:tcPr>
          <w:p>
            <w:pPr>
              <w:jc w:val="center"/>
              <w:spacing w:after="0" w:line="189" w:lineRule="exact"/>
              <w:rPr>
                <w:rFonts w:ascii="Arial" w:cs="Arial" w:eastAsia="Arial" w:hAnsi="Arial"/>
                <w:sz w:val="18"/>
                <w:szCs w:val="18"/>
                <w:color w:val="0000FF"/>
                <w:w w:val="86"/>
              </w:rPr>
            </w:pPr>
            <w:hyperlink w:anchor="page130">
              <w:r>
                <w:rPr>
                  <w:rFonts w:ascii="Arial" w:cs="Arial" w:eastAsia="Arial" w:hAnsi="Arial"/>
                  <w:sz w:val="18"/>
                  <w:szCs w:val="18"/>
                  <w:color w:val="0000FF"/>
                  <w:w w:val="86"/>
                </w:rPr>
                <w:t>131</w:t>
              </w:r>
            </w:hyperlink>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rFonts w:ascii="Arial" w:cs="Arial" w:eastAsia="Arial" w:hAnsi="Arial"/>
                <w:sz w:val="18"/>
                <w:szCs w:val="18"/>
                <w:color w:val="0000FF"/>
              </w:rPr>
            </w:pPr>
            <w:hyperlink w:anchor="page132">
              <w:r>
                <w:rPr>
                  <w:rFonts w:ascii="Arial" w:cs="Arial" w:eastAsia="Arial" w:hAnsi="Arial"/>
                  <w:sz w:val="18"/>
                  <w:szCs w:val="18"/>
                  <w:color w:val="0000FF"/>
                </w:rPr>
                <w:t>Notes to Consolidated Financial Statements</w:t>
              </w:r>
            </w:hyperlink>
          </w:p>
        </w:tc>
        <w:tc>
          <w:tcPr>
            <w:tcW w:w="1100" w:type="dxa"/>
            <w:vAlign w:val="bottom"/>
            <w:gridSpan w:val="3"/>
            <w:shd w:val="clear" w:color="auto" w:fill="CCEEFF"/>
          </w:tcPr>
          <w:p>
            <w:pPr>
              <w:jc w:val="center"/>
              <w:spacing w:after="0" w:line="189" w:lineRule="exact"/>
              <w:rPr>
                <w:rFonts w:ascii="Arial" w:cs="Arial" w:eastAsia="Arial" w:hAnsi="Arial"/>
                <w:sz w:val="18"/>
                <w:szCs w:val="18"/>
                <w:color w:val="0000FF"/>
                <w:w w:val="86"/>
              </w:rPr>
            </w:pPr>
            <w:hyperlink w:anchor="page132">
              <w:r>
                <w:rPr>
                  <w:rFonts w:ascii="Arial" w:cs="Arial" w:eastAsia="Arial" w:hAnsi="Arial"/>
                  <w:sz w:val="18"/>
                  <w:szCs w:val="18"/>
                  <w:color w:val="0000FF"/>
                  <w:w w:val="86"/>
                </w:rPr>
                <w:t>133</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StepStone Group Inc.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2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We have audited the accompanying consolidated balance sheets of StepStone Group Inc. (successor to StepStone Group LP, as described in Note 1, the “Company”) as of March 31, 2022 and 2021, the related consolidated statements of income, comprehensive income, stockholders’ equity and cash flows for each of the three years in the period ended March 31, 2022, and the related notes (collectively referred to as the “consolidated financial statements”). In our opinion, the consolidated financial statements present fairly, in all material respects, the financial position of the Company at March 31, 2022 and 2021, and the results of its operations and its cash flows for each of the three years in the period ended March 31, 2022, in conformity with U.S. generally accepted accounting principles.</w:t>
      </w:r>
    </w:p>
    <w:p>
      <w:pPr>
        <w:spacing w:after="0" w:line="16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Company's internal control over financial reporting as of March 31, 2022, based on criteria established in Internal Control-Integrated Framework issued by the Committee of Sponsoring Organizations of the Treadway Commission (2013 framework) and our report dated May 31, 2022 expressed an unqualified opinion thereon.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ASU No. 2016-02</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As discussed in Note 2 to the consolidated financial statements, the Company changed its method of accounting for leases in 2022 due to the adoption of ASU No. 2016-02, Leases (Topic 842).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22"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222"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i w:val="1"/>
          <w:iCs w:val="1"/>
          <w:color w:val="auto"/>
        </w:rPr>
        <w:t>Valuation of acquired intangible assets for the acquisition of Greenspring Associates, Inc.</w:t>
      </w:r>
    </w:p>
    <w:p>
      <w:pPr>
        <w:spacing w:after="0" w:line="320" w:lineRule="exact"/>
        <w:rPr>
          <w:sz w:val="20"/>
          <w:szCs w:val="20"/>
          <w:color w:val="auto"/>
        </w:rPr>
      </w:pPr>
    </w:p>
    <w:p>
      <w:pPr>
        <w:jc w:val="both"/>
        <w:ind w:left="2260" w:hanging="2226"/>
        <w:spacing w:after="0" w:line="257" w:lineRule="auto"/>
        <w:tabs>
          <w:tab w:leader="none" w:pos="22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disclosed in Notes 2 and 15 to the consolidated financial statements, on September 20, 2021 the Company acquired Greenspring Associates, Inc. and certain of its affiliates (collectively, “Greenspring”) for total consideration of $898.2 million. The transaction was accounted for as a business combination. Identifiable intangible assets acquired through this business combination primarily consisted of management contracts and client relationships with acquisition-date fair values of $310.9 million and $96.7 million, respectively.</w:t>
      </w:r>
    </w:p>
    <w:p>
      <w:pPr>
        <w:spacing w:after="0" w:line="201" w:lineRule="exact"/>
        <w:rPr>
          <w:sz w:val="20"/>
          <w:szCs w:val="20"/>
          <w:color w:val="auto"/>
        </w:rPr>
      </w:pPr>
    </w:p>
    <w:p>
      <w:pPr>
        <w:jc w:val="both"/>
        <w:ind w:left="2260"/>
        <w:spacing w:after="0" w:line="293" w:lineRule="auto"/>
        <w:rPr>
          <w:sz w:val="20"/>
          <w:szCs w:val="20"/>
          <w:color w:val="auto"/>
        </w:rPr>
      </w:pPr>
      <w:r>
        <w:rPr>
          <w:rFonts w:ascii="Arial" w:cs="Arial" w:eastAsia="Arial" w:hAnsi="Arial"/>
          <w:sz w:val="16"/>
          <w:szCs w:val="16"/>
          <w:color w:val="auto"/>
        </w:rPr>
        <w:t>Auditing the Company’s accounting for its acquisition of Greenspring Associates Inc. was complex due to the significant estimation uncertainty in determining the fair value of identified intangible assets, which primarily consisted of management contracts and client relationships. The significant estimation uncertainty was primarily due to sensitivity of the fair value to underlying assumptions about future performance of the acquired business in the Company’s model used to measure the management contracts and client relationships intangible assets. These significant assumptions included future fundraising and expected cash inflows and outflows that form the basis of the forecasted results, and the discount rates.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w:t>
      </w:r>
      <w:r>
        <w:rPr>
          <w:rFonts w:ascii="Arial" w:cs="Arial" w:eastAsia="Arial" w:hAnsi="Arial"/>
          <w:sz w:val="16"/>
          <w:szCs w:val="16"/>
          <w:color w:val="auto"/>
        </w:rPr>
        <w:t>We obtained an understanding, evaluated the design and tested the operating effectiveness of controls over the Company’s</w:t>
      </w:r>
    </w:p>
    <w:p>
      <w:pPr>
        <w:spacing w:after="0" w:line="8" w:lineRule="exact"/>
        <w:rPr>
          <w:sz w:val="20"/>
          <w:szCs w:val="20"/>
          <w:color w:val="auto"/>
        </w:rPr>
      </w:pPr>
    </w:p>
    <w:p>
      <w:pPr>
        <w:jc w:val="both"/>
        <w:ind w:left="2260" w:hanging="2226"/>
        <w:spacing w:after="0" w:line="259" w:lineRule="auto"/>
        <w:tabs>
          <w:tab w:leader="none" w:pos="2240" w:val="left"/>
        </w:tabs>
        <w:rPr>
          <w:sz w:val="20"/>
          <w:szCs w:val="20"/>
          <w:color w:val="auto"/>
        </w:rPr>
      </w:pPr>
      <w:r>
        <w:rPr>
          <w:rFonts w:ascii="Arial" w:cs="Arial" w:eastAsia="Arial" w:hAnsi="Arial"/>
          <w:sz w:val="35"/>
          <w:szCs w:val="35"/>
          <w:i w:val="1"/>
          <w:iCs w:val="1"/>
          <w:color w:val="auto"/>
          <w:vertAlign w:val="superscript"/>
        </w:rPr>
        <w:t>in Our Audit</w:t>
      </w:r>
      <w:r>
        <w:rPr>
          <w:sz w:val="20"/>
          <w:szCs w:val="20"/>
          <w:color w:val="auto"/>
        </w:rPr>
        <w:tab/>
      </w:r>
      <w:r>
        <w:rPr>
          <w:rFonts w:ascii="Arial" w:cs="Arial" w:eastAsia="Arial" w:hAnsi="Arial"/>
          <w:sz w:val="18"/>
          <w:szCs w:val="18"/>
          <w:color w:val="auto"/>
        </w:rPr>
        <w:t>business combination process. This included management’s review controls over the fair valuation methodology and significant assumptions used to estimate the fair value of the management contracts and client relationships intangible assets and management’s review of the completeness and accuracy of the data used in the management contracts and client relationships valuation model.</w:t>
      </w:r>
    </w:p>
    <w:p>
      <w:pPr>
        <w:spacing w:after="0" w:line="252" w:lineRule="exact"/>
        <w:rPr>
          <w:sz w:val="20"/>
          <w:szCs w:val="20"/>
          <w:color w:val="auto"/>
        </w:rPr>
      </w:pPr>
    </w:p>
    <w:p>
      <w:pPr>
        <w:ind w:left="2260" w:right="80"/>
        <w:spacing w:after="0" w:line="289" w:lineRule="auto"/>
        <w:rPr>
          <w:sz w:val="20"/>
          <w:szCs w:val="20"/>
          <w:color w:val="auto"/>
        </w:rPr>
      </w:pPr>
      <w:r>
        <w:rPr>
          <w:rFonts w:ascii="Arial" w:cs="Arial" w:eastAsia="Arial" w:hAnsi="Arial"/>
          <w:sz w:val="16"/>
          <w:szCs w:val="16"/>
          <w:color w:val="auto"/>
        </w:rPr>
        <w:t>To test the fair value of the management contracts and customer relationships intangible assets, our procedures included, among others, involving internal valuation specialists to assist in our evaluation of the Company’s valuation methodology and certain assumptions included in the fair value estimate, including the discount rates used in the Company’s valuation model. We tested the expected cash inflows and outflows assumed in the forecasted results, future fundraising assumptions, and the mathematical accuracy of the Company’s valuation model. For example, we performed sensitivity analyses for significant assumptions, compared significant assumptions to current industry, market, and economic trends, the historical results of the acquired business and to the Company’s forecasts. We agreed certain inputs used in developing certain significant assumptions to limited partnership agreements and audited financial statements. We involved more senior, more experienced audit team members to perform audit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underlying investments of equity method investments</w:t>
      </w:r>
    </w:p>
    <w:p>
      <w:pPr>
        <w:spacing w:after="0" w:line="33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has investments in funds of $107.0 million and accrued carried interest allocations of $1,480.5 million as of March 31, 2022. As discussed in Notes 2 and 5 to the consolidated financial statements, a significant input to the measurement of the Company’s investments in funds and accrued carried interest allocations is management’s estimate of the fair value of the underlying investments held by the StepStone Funds, specifically co-investment funds which invest in portfolio companies that are valued using significant unobservable inputs.</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Auditing management’s determination of the fair value of the co-investment fund investments that are valued using significant unobservable inputs was complex and involved a high degree of auditor subjectivity because these investments exhibit higher estimation uncertainty.</w:t>
      </w:r>
    </w:p>
    <w:p>
      <w:pPr>
        <w:spacing w:after="0" w:line="200" w:lineRule="exact"/>
        <w:rPr>
          <w:sz w:val="20"/>
          <w:szCs w:val="20"/>
          <w:color w:val="auto"/>
        </w:rPr>
      </w:pPr>
    </w:p>
    <w:p>
      <w:pPr>
        <w:sectPr>
          <w:pgSz w:w="11900" w:h="16838" w:orient="portrait"/>
          <w:cols w:equalWidth="0" w:num="2">
            <w:col w:w="1860" w:space="400"/>
            <w:col w:w="8920"/>
          </w:cols>
          <w:pgMar w:left="320" w:top="121" w:right="39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w:t>
      </w:r>
      <w:r>
        <w:rPr>
          <w:rFonts w:ascii="Arial" w:cs="Arial" w:eastAsia="Arial" w:hAnsi="Arial"/>
          <w:sz w:val="16"/>
          <w:szCs w:val="16"/>
          <w:color w:val="auto"/>
        </w:rPr>
        <w:t>We obtained an understanding, evaluated the design and tested the operating effectiveness of controls over the Company’s</w:t>
      </w:r>
    </w:p>
    <w:p>
      <w:pPr>
        <w:spacing w:after="0" w:line="8" w:lineRule="exact"/>
        <w:rPr>
          <w:sz w:val="20"/>
          <w:szCs w:val="20"/>
          <w:color w:val="auto"/>
        </w:rPr>
      </w:pPr>
    </w:p>
    <w:p>
      <w:pPr>
        <w:ind w:left="2260" w:right="20" w:hanging="2226"/>
        <w:spacing w:after="0" w:line="259" w:lineRule="auto"/>
        <w:tabs>
          <w:tab w:leader="none" w:pos="2240" w:val="left"/>
        </w:tabs>
        <w:rPr>
          <w:sz w:val="20"/>
          <w:szCs w:val="20"/>
          <w:color w:val="auto"/>
        </w:rPr>
      </w:pPr>
      <w:r>
        <w:rPr>
          <w:rFonts w:ascii="Arial" w:cs="Arial" w:eastAsia="Arial" w:hAnsi="Arial"/>
          <w:sz w:val="35"/>
          <w:szCs w:val="35"/>
          <w:i w:val="1"/>
          <w:iCs w:val="1"/>
          <w:color w:val="auto"/>
          <w:vertAlign w:val="superscript"/>
        </w:rPr>
        <w:t>in Our Audit</w:t>
      </w:r>
      <w:r>
        <w:rPr>
          <w:sz w:val="20"/>
          <w:szCs w:val="20"/>
          <w:color w:val="auto"/>
        </w:rPr>
        <w:tab/>
      </w:r>
      <w:r>
        <w:rPr>
          <w:rFonts w:ascii="Arial" w:cs="Arial" w:eastAsia="Arial" w:hAnsi="Arial"/>
          <w:sz w:val="18"/>
          <w:szCs w:val="18"/>
          <w:color w:val="auto"/>
        </w:rPr>
        <w:t>investment valuation process for the co-investment fund investments. This included management’s review controls over the assessment of the valuation techniques and significant unobservable inputs used to estimate the fair value of the co-investment fund investments and management’s review of the completeness and accuracy of the data used in these estimates.</w:t>
      </w:r>
    </w:p>
    <w:p>
      <w:pPr>
        <w:spacing w:after="0" w:line="225" w:lineRule="exact"/>
        <w:rPr>
          <w:sz w:val="20"/>
          <w:szCs w:val="20"/>
          <w:color w:val="auto"/>
        </w:rPr>
      </w:pPr>
    </w:p>
    <w:p>
      <w:pPr>
        <w:ind w:left="2260"/>
        <w:spacing w:after="0" w:line="263" w:lineRule="auto"/>
        <w:rPr>
          <w:sz w:val="20"/>
          <w:szCs w:val="20"/>
          <w:color w:val="auto"/>
        </w:rPr>
      </w:pPr>
      <w:r>
        <w:rPr>
          <w:rFonts w:ascii="Arial" w:cs="Arial" w:eastAsia="Arial" w:hAnsi="Arial"/>
          <w:sz w:val="18"/>
          <w:szCs w:val="18"/>
          <w:color w:val="auto"/>
        </w:rPr>
        <w:t>Our audit procedures included, among others, evaluating, on a sample basis, the valuation techniques and significant unobservable inputs used by the Company in valuing the co-investment fund investments and testing, on a sample basis, the mathematical accuracy of the related valuation models.</w:t>
      </w:r>
    </w:p>
    <w:p>
      <w:pPr>
        <w:spacing w:after="0" w:line="184" w:lineRule="exact"/>
        <w:rPr>
          <w:sz w:val="20"/>
          <w:szCs w:val="20"/>
          <w:color w:val="auto"/>
        </w:rPr>
      </w:pPr>
    </w:p>
    <w:p>
      <w:pPr>
        <w:ind w:left="2260"/>
        <w:spacing w:after="0" w:line="257" w:lineRule="auto"/>
        <w:rPr>
          <w:sz w:val="20"/>
          <w:szCs w:val="20"/>
          <w:color w:val="auto"/>
        </w:rPr>
      </w:pPr>
      <w:r>
        <w:rPr>
          <w:rFonts w:ascii="Arial" w:cs="Arial" w:eastAsia="Arial" w:hAnsi="Arial"/>
          <w:sz w:val="18"/>
          <w:szCs w:val="18"/>
          <w:color w:val="auto"/>
        </w:rPr>
        <w:t>For example, for a sample of co-investment fund investments, we performed procedures to evaluate the significant unobservable inputs such as the selected earnings before interest, taxes, depreciation and amortization multiples or revenue multiples that were derived from comparable companies. These procedures included assessing management’s determination of the comparable companies, and, where applicable, comparing the selected multiples to market observed transactions of such companies.</w:t>
      </w:r>
    </w:p>
    <w:p>
      <w:pPr>
        <w:spacing w:after="0" w:line="188" w:lineRule="exact"/>
        <w:rPr>
          <w:sz w:val="20"/>
          <w:szCs w:val="20"/>
          <w:color w:val="auto"/>
        </w:rPr>
      </w:pPr>
    </w:p>
    <w:p>
      <w:pPr>
        <w:ind w:left="2260" w:right="20" w:firstLine="90"/>
        <w:spacing w:after="0" w:line="296" w:lineRule="auto"/>
        <w:rPr>
          <w:sz w:val="20"/>
          <w:szCs w:val="20"/>
          <w:color w:val="auto"/>
        </w:rPr>
      </w:pPr>
      <w:r>
        <w:rPr>
          <w:rFonts w:ascii="Arial" w:cs="Arial" w:eastAsia="Arial" w:hAnsi="Arial"/>
          <w:sz w:val="16"/>
          <w:szCs w:val="16"/>
          <w:color w:val="auto"/>
        </w:rPr>
        <w:t>In some instances, with the involvement of our valuation specialists, we independently developed fair value estimates using investee specific and market information and compared our estimates to the fair value of the investment. We searched for and evaluated information that corroborated or contradicted the significant unobservable inputs. We also evaluated subsequent events and transactions and considered whether they corroborated or contradicted the year-end valuations. In addition, we involved more senior, more experienced audit team members to perform audit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2009.</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Los Angeles, CA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May 31, 2022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StepStone Group Inc.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222"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We have audited StepStone Group Inc.’s internal control over financial reporting as of March 31, 2022, based on criteria established in Internal Control—Integrated Framework issued by the Committee of Sponsoring Organizations of the Treadway Commission (2013 framework) (the COSO criteria). In our opinion, StepStone Group Inc. (the Company) maintained, in all material respects, effective internal control over financial reporting as of March 31, 2022, based on the COSO criteria.</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As indicated in the accompanying Report of Management on Internal Control Over Financial Reporting, management’s assessment of and conclusion on the effectiveness of internal control over financial reporting did not include the internal controls of Greenspring Associates Inc. and certain of its affiliates (“Greenspring”), which is included in the 2022 consolidated financial statements of the Company and constituted approximately 32% of total consolidated assets as of March 31, 2022 and approximately 11% of total consolidated net income for the year then ended. Our audit of internal control over financial reporting of the Company also did not include an evaluation of the internal control over financial reporting of Greenspring.</w:t>
      </w:r>
    </w:p>
    <w:p>
      <w:pPr>
        <w:spacing w:after="0" w:line="19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consolidated balance sheets of the Company as of March 31, 2022 and 2021, the related consolidated statements of income, comprehensive income, changes in stockholders’ equity, and cash flows for each of the three years in the period ended March 31, 2022, and the related notes and our report dated May 31, 2022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22"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ind w:right="540"/>
        <w:spacing w:after="0" w:line="38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5"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2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Los Angeles, CA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May 31, 2022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116,386</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179,886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Fees and 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32,096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7,474</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74,379</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Accrued carried interest allocations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1,480,515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896,523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Legacy Greenspring investments in funds and accrued carried interest allocations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1,334,581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Deferred income tax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27,866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89,439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Other assets and receivables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27,426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24,715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580,542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6,792</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4,188,125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1,320,772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47,723</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39,966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34,224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carried interest-related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769,988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465,610</w:t>
            </w: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line="216" w:lineRule="exact"/>
              <w:rPr>
                <w:sz w:val="20"/>
                <w:szCs w:val="20"/>
                <w:color w:val="auto"/>
              </w:rPr>
            </w:pPr>
            <w:r>
              <w:rPr>
                <w:rFonts w:ascii="Arial" w:cs="Arial" w:eastAsia="Arial" w:hAnsi="Arial"/>
                <w:sz w:val="16"/>
                <w:szCs w:val="16"/>
                <w:color w:val="auto"/>
              </w:rPr>
              <w:t>Legacy Greenspring accrued carried interest-related compensation</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1,140,101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to affiliates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199,355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113,522</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70,965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obligations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62,879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26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2,363,795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661,079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20"/>
              <w:spacing w:after="0" w:line="166" w:lineRule="exact"/>
              <w:rPr>
                <w:sz w:val="20"/>
                <w:szCs w:val="20"/>
                <w:color w:val="auto"/>
              </w:rPr>
            </w:pPr>
            <w:r>
              <w:rPr>
                <w:rFonts w:ascii="Arial" w:cs="Arial" w:eastAsia="Arial" w:hAnsi="Arial"/>
                <w:sz w:val="16"/>
                <w:szCs w:val="16"/>
                <w:color w:val="auto"/>
                <w:w w:val="93"/>
              </w:rPr>
              <w:t>Class A common stock, $0.001 par value, 650,000,000 authorized; 61,141,306 and 38,437,500 issued and outstanding as of</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8260" w:type="dxa"/>
            <w:vAlign w:val="bottom"/>
          </w:tcPr>
          <w:p>
            <w:pPr>
              <w:ind w:left="360"/>
              <w:spacing w:after="0"/>
              <w:rPr>
                <w:sz w:val="20"/>
                <w:szCs w:val="20"/>
                <w:color w:val="auto"/>
              </w:rPr>
            </w:pPr>
            <w:r>
              <w:rPr>
                <w:rFonts w:ascii="Arial" w:cs="Arial" w:eastAsia="Arial" w:hAnsi="Arial"/>
                <w:sz w:val="16"/>
                <w:szCs w:val="16"/>
                <w:color w:val="auto"/>
              </w:rPr>
              <w:t>March 31, 2022 and 2021, respectively</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Class B common stock, $0.001 par value, 125,000,000 authorized; 47,149,673 and 56,378,831 issued and outstanding as of</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March 31, 2022 and 2021, respectively</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587,243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188,751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60,407</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StepStone Group Inc. stockholders’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817,625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249,408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Non-controlling interests in subsidiaries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32,063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25,885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Non-controlling interests in legacy Greenspring entities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in the Partnership</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780,162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384,400</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1,824,330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659,693</w:t>
            </w:r>
          </w:p>
        </w:tc>
        <w:tc>
          <w:tcPr>
            <w:tcW w:w="0" w:type="dxa"/>
            <w:vAlign w:val="bottom"/>
          </w:tcPr>
          <w:p>
            <w:pPr>
              <w:spacing w:after="0"/>
              <w:rPr>
                <w:sz w:val="1"/>
                <w:szCs w:val="1"/>
                <w:color w:val="auto"/>
              </w:rPr>
            </w:pPr>
          </w:p>
        </w:tc>
      </w:tr>
      <w:tr>
        <w:trPr>
          <w:trHeight w:val="207"/>
        </w:trPr>
        <w:tc>
          <w:tcPr>
            <w:tcW w:w="826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4,188,125</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1,320,772</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the Company did not acquire any direct economic interests. See notes 5 and 15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presents the portion of the consolidated balances presented above attributable to consolidated variable interest entities.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As of March 31,</w:t>
            </w:r>
          </w:p>
        </w:tc>
        <w:tc>
          <w:tcPr>
            <w:tcW w:w="1100" w:type="dxa"/>
            <w:vAlign w:val="bottom"/>
            <w:tcBorders>
              <w:bottom w:val="single" w:sz="8" w:color="auto"/>
            </w:tcBorders>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12"/>
        </w:trPr>
        <w:tc>
          <w:tcPr>
            <w:tcW w:w="68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860" w:type="dxa"/>
            <w:vAlign w:val="bottom"/>
          </w:tcPr>
          <w:p>
            <w:pPr>
              <w:ind w:left="680"/>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19,386</w:t>
            </w:r>
          </w:p>
        </w:tc>
        <w:tc>
          <w:tcPr>
            <w:tcW w:w="1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16,833</w:t>
            </w:r>
          </w:p>
        </w:tc>
      </w:tr>
      <w:tr>
        <w:trPr>
          <w:trHeight w:val="229"/>
        </w:trPr>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Restricted cash</w:t>
            </w: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6860" w:type="dxa"/>
            <w:vAlign w:val="bottom"/>
          </w:tcPr>
          <w:p>
            <w:pPr>
              <w:ind w:left="680"/>
              <w:spacing w:after="0"/>
              <w:rPr>
                <w:sz w:val="20"/>
                <w:szCs w:val="20"/>
                <w:color w:val="auto"/>
              </w:rPr>
            </w:pPr>
            <w:r>
              <w:rPr>
                <w:rFonts w:ascii="Arial" w:cs="Arial" w:eastAsia="Arial" w:hAnsi="Arial"/>
                <w:sz w:val="18"/>
                <w:szCs w:val="18"/>
                <w:color w:val="auto"/>
              </w:rPr>
              <w:t>Fees and accounts receivable</w:t>
            </w:r>
          </w:p>
        </w:tc>
        <w:tc>
          <w:tcPr>
            <w:tcW w:w="10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29,060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25,282</w:t>
            </w:r>
          </w:p>
        </w:tc>
      </w:tr>
      <w:tr>
        <w:trPr>
          <w:trHeight w:val="229"/>
        </w:trPr>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from affiliates</w:t>
            </w: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Investments in funds</w:t>
            </w:r>
          </w:p>
        </w:tc>
        <w:tc>
          <w:tcPr>
            <w:tcW w:w="10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22,808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13,658</w:t>
            </w:r>
          </w:p>
        </w:tc>
      </w:tr>
      <w:tr>
        <w:trPr>
          <w:trHeight w:val="230"/>
        </w:trPr>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4"/>
              </w:rPr>
              <w:t>Legacy Greenspring investments in funds and accrued carried interest allocations</w:t>
            </w: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1,334,581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tcPr>
          <w:p>
            <w:pPr>
              <w:ind w:left="680"/>
              <w:spacing w:after="0"/>
              <w:rPr>
                <w:sz w:val="20"/>
                <w:szCs w:val="20"/>
                <w:color w:val="auto"/>
              </w:rPr>
            </w:pPr>
            <w:r>
              <w:rPr>
                <w:rFonts w:ascii="Arial" w:cs="Arial" w:eastAsia="Arial" w:hAnsi="Arial"/>
                <w:sz w:val="18"/>
                <w:szCs w:val="18"/>
                <w:color w:val="auto"/>
              </w:rPr>
              <w:t>Deferred income tax assets</w:t>
            </w:r>
          </w:p>
        </w:tc>
        <w:tc>
          <w:tcPr>
            <w:tcW w:w="10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Lease right-of-use assets, net</w:t>
            </w: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assets and receivables</w:t>
            </w:r>
          </w:p>
        </w:tc>
        <w:tc>
          <w:tcPr>
            <w:tcW w:w="10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1,435,245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8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860" w:type="dxa"/>
            <w:vAlign w:val="bottom"/>
          </w:tcPr>
          <w:p>
            <w:pPr>
              <w:ind w:left="680"/>
              <w:spacing w:after="0"/>
              <w:rPr>
                <w:sz w:val="20"/>
                <w:szCs w:val="20"/>
                <w:color w:val="auto"/>
              </w:rPr>
            </w:pPr>
            <w:r>
              <w:rPr>
                <w:rFonts w:ascii="Arial" w:cs="Arial" w:eastAsia="Arial" w:hAnsi="Arial"/>
                <w:sz w:val="18"/>
                <w:szCs w:val="18"/>
                <w:color w:val="auto"/>
              </w:rPr>
              <w:t>Accounts payable, accrued expenses and other liabilities</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8,548</w:t>
            </w:r>
          </w:p>
        </w:tc>
        <w:tc>
          <w:tcPr>
            <w:tcW w:w="1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10,370</w:t>
            </w:r>
          </w:p>
        </w:tc>
      </w:tr>
      <w:tr>
        <w:trPr>
          <w:trHeight w:val="230"/>
        </w:trPr>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compensation and benefits</w:t>
            </w: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w:t>
            </w:r>
          </w:p>
        </w:tc>
      </w:tr>
      <w:tr>
        <w:trPr>
          <w:trHeight w:val="229"/>
        </w:trPr>
        <w:tc>
          <w:tcPr>
            <w:tcW w:w="6860" w:type="dxa"/>
            <w:vAlign w:val="bottom"/>
          </w:tcPr>
          <w:p>
            <w:pPr>
              <w:ind w:left="680"/>
              <w:spacing w:after="0"/>
              <w:rPr>
                <w:sz w:val="20"/>
                <w:szCs w:val="20"/>
                <w:color w:val="auto"/>
              </w:rPr>
            </w:pPr>
            <w:r>
              <w:rPr>
                <w:rFonts w:ascii="Arial" w:cs="Arial" w:eastAsia="Arial" w:hAnsi="Arial"/>
                <w:sz w:val="18"/>
                <w:szCs w:val="18"/>
                <w:color w:val="auto"/>
              </w:rPr>
              <w:t>Legacy Greenspring accrued carried interest-related compensation</w:t>
            </w:r>
          </w:p>
        </w:tc>
        <w:tc>
          <w:tcPr>
            <w:tcW w:w="10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1,140,101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Due to affiliates</w:t>
            </w: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30"/>
        </w:trPr>
        <w:tc>
          <w:tcPr>
            <w:tcW w:w="6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Lease liabilities</w:t>
            </w:r>
          </w:p>
        </w:tc>
        <w:tc>
          <w:tcPr>
            <w:tcW w:w="10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17,593</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1,181,238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March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0"/>
        </w:trPr>
        <w:tc>
          <w:tcPr>
            <w:tcW w:w="6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2020</w:t>
            </w:r>
          </w:p>
        </w:tc>
      </w:tr>
      <w:tr>
        <w:trPr>
          <w:trHeight w:val="161"/>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40" w:type="dxa"/>
            <w:vAlign w:val="bottom"/>
          </w:tcPr>
          <w:p>
            <w:pPr>
              <w:ind w:left="20"/>
              <w:spacing w:after="0"/>
              <w:rPr>
                <w:sz w:val="20"/>
                <w:szCs w:val="20"/>
                <w:color w:val="auto"/>
              </w:rPr>
            </w:pPr>
            <w:r>
              <w:rPr>
                <w:rFonts w:ascii="Arial" w:cs="Arial" w:eastAsia="Arial" w:hAnsi="Arial"/>
                <w:sz w:val="13"/>
                <w:szCs w:val="13"/>
                <w:color w:val="auto"/>
              </w:rPr>
              <w:t>Management and advisory fees, net</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380,257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285,462</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235,205</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Performance fees: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6740" w:type="dxa"/>
            <w:vAlign w:val="bottom"/>
          </w:tcPr>
          <w:p>
            <w:pPr>
              <w:ind w:left="360"/>
              <w:spacing w:after="0"/>
              <w:rPr>
                <w:sz w:val="20"/>
                <w:szCs w:val="20"/>
                <w:color w:val="auto"/>
              </w:rPr>
            </w:pPr>
            <w:r>
              <w:rPr>
                <w:rFonts w:ascii="Arial" w:cs="Arial" w:eastAsia="Arial" w:hAnsi="Arial"/>
                <w:sz w:val="13"/>
                <w:szCs w:val="13"/>
                <w:color w:val="auto"/>
              </w:rPr>
              <w:t>Incentive fees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11,593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5,474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3,410</w:t>
            </w:r>
          </w:p>
        </w:tc>
      </w:tr>
      <w:tr>
        <w:trPr>
          <w:trHeight w:val="183"/>
        </w:trPr>
        <w:tc>
          <w:tcPr>
            <w:tcW w:w="6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Carried interest allocations: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6740" w:type="dxa"/>
            <w:vAlign w:val="bottom"/>
          </w:tcPr>
          <w:p>
            <w:pPr>
              <w:ind w:left="720"/>
              <w:spacing w:after="0"/>
              <w:rPr>
                <w:sz w:val="20"/>
                <w:szCs w:val="20"/>
                <w:color w:val="auto"/>
              </w:rPr>
            </w:pPr>
            <w:r>
              <w:rPr>
                <w:rFonts w:ascii="Arial" w:cs="Arial" w:eastAsia="Arial" w:hAnsi="Arial"/>
                <w:sz w:val="13"/>
                <w:szCs w:val="13"/>
                <w:color w:val="auto"/>
              </w:rPr>
              <w:t>Realized</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200,718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62,953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46,177</w:t>
            </w:r>
          </w:p>
        </w:tc>
      </w:tr>
      <w:tr>
        <w:trPr>
          <w:trHeight w:val="183"/>
        </w:trPr>
        <w:tc>
          <w:tcPr>
            <w:tcW w:w="674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Unrealized</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585,851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433,827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161,819</w:t>
            </w:r>
          </w:p>
        </w:tc>
      </w:tr>
      <w:tr>
        <w:trPr>
          <w:trHeight w:val="16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carried interest allocations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786,569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496,780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207,996</w:t>
            </w:r>
          </w:p>
        </w:tc>
      </w:tr>
      <w:tr>
        <w:trPr>
          <w:trHeight w:val="175"/>
        </w:trPr>
        <w:tc>
          <w:tcPr>
            <w:tcW w:w="6740" w:type="dxa"/>
            <w:vAlign w:val="bottom"/>
            <w:shd w:val="clear" w:color="auto" w:fill="CCEEFF"/>
          </w:tcPr>
          <w:p>
            <w:pPr>
              <w:ind w:left="360"/>
              <w:spacing w:after="0" w:line="175" w:lineRule="exact"/>
              <w:rPr>
                <w:sz w:val="20"/>
                <w:szCs w:val="20"/>
                <w:color w:val="auto"/>
              </w:rPr>
            </w:pPr>
            <w:r>
              <w:rPr>
                <w:rFonts w:ascii="Arial" w:cs="Arial" w:eastAsia="Arial" w:hAnsi="Arial"/>
                <w:sz w:val="13"/>
                <w:szCs w:val="13"/>
                <w:color w:val="auto"/>
              </w:rPr>
              <w:t>Legacy Greenspring carried interest allocations</w:t>
            </w:r>
            <w:r>
              <w:rPr>
                <w:rFonts w:ascii="Arial" w:cs="Arial" w:eastAsia="Arial" w:hAnsi="Arial"/>
                <w:sz w:val="16"/>
                <w:szCs w:val="16"/>
                <w:color w:val="auto"/>
                <w:vertAlign w:val="superscript"/>
              </w:rPr>
              <w:t>(1)</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187,106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revenues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1,365,525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787,716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446,611</w:t>
            </w:r>
          </w:p>
        </w:tc>
      </w:tr>
      <w:tr>
        <w:trPr>
          <w:trHeight w:val="162"/>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Expenses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40" w:type="dxa"/>
            <w:vAlign w:val="bottom"/>
          </w:tcPr>
          <w:p>
            <w:pPr>
              <w:ind w:left="20"/>
              <w:spacing w:after="0"/>
              <w:rPr>
                <w:sz w:val="20"/>
                <w:szCs w:val="20"/>
                <w:color w:val="auto"/>
              </w:rPr>
            </w:pPr>
            <w:r>
              <w:rPr>
                <w:rFonts w:ascii="Arial" w:cs="Arial" w:eastAsia="Arial" w:hAnsi="Arial"/>
                <w:sz w:val="13"/>
                <w:szCs w:val="13"/>
                <w:color w:val="auto"/>
              </w:rPr>
              <w:t>Compensation and benefits: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67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Cash-based compensation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130,730</w:t>
            </w:r>
          </w:p>
        </w:tc>
      </w:tr>
      <w:tr>
        <w:trPr>
          <w:trHeight w:val="168"/>
        </w:trPr>
        <w:tc>
          <w:tcPr>
            <w:tcW w:w="6740" w:type="dxa"/>
            <w:vAlign w:val="bottom"/>
          </w:tcPr>
          <w:p>
            <w:pPr>
              <w:ind w:left="400"/>
              <w:spacing w:after="0"/>
              <w:rPr>
                <w:sz w:val="20"/>
                <w:szCs w:val="20"/>
                <w:color w:val="auto"/>
              </w:rPr>
            </w:pPr>
            <w:r>
              <w:rPr>
                <w:rFonts w:ascii="Arial" w:cs="Arial" w:eastAsia="Arial" w:hAnsi="Arial"/>
                <w:sz w:val="13"/>
                <w:szCs w:val="13"/>
                <w:color w:val="auto"/>
              </w:rPr>
              <w:t>Equity-based compensation</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13,996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7,899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1,915</w:t>
            </w:r>
          </w:p>
        </w:tc>
      </w:tr>
      <w:tr>
        <w:trPr>
          <w:trHeight w:val="183"/>
        </w:trPr>
        <w:tc>
          <w:tcPr>
            <w:tcW w:w="67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Performance fee-related compensation: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6740" w:type="dxa"/>
            <w:vAlign w:val="bottom"/>
          </w:tcPr>
          <w:p>
            <w:pPr>
              <w:ind w:left="780"/>
              <w:spacing w:after="0"/>
              <w:rPr>
                <w:sz w:val="20"/>
                <w:szCs w:val="20"/>
                <w:color w:val="auto"/>
              </w:rPr>
            </w:pPr>
            <w:r>
              <w:rPr>
                <w:rFonts w:ascii="Arial" w:cs="Arial" w:eastAsia="Arial" w:hAnsi="Arial"/>
                <w:sz w:val="13"/>
                <w:szCs w:val="13"/>
                <w:color w:val="auto"/>
              </w:rPr>
              <w:t>Realized</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91,208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30,532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26,958</w:t>
            </w:r>
          </w:p>
        </w:tc>
      </w:tr>
      <w:tr>
        <w:trPr>
          <w:trHeight w:val="183"/>
        </w:trPr>
        <w:tc>
          <w:tcPr>
            <w:tcW w:w="67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Unrealized</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312,903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215,508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82,701</w:t>
            </w:r>
          </w:p>
        </w:tc>
      </w:tr>
      <w:tr>
        <w:trPr>
          <w:trHeight w:val="163"/>
        </w:trPr>
        <w:tc>
          <w:tcPr>
            <w:tcW w:w="674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Total performance fee-related compensation</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404,111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246,040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109,659</w:t>
            </w:r>
          </w:p>
        </w:tc>
      </w:tr>
      <w:tr>
        <w:trPr>
          <w:trHeight w:val="176"/>
        </w:trPr>
        <w:tc>
          <w:tcPr>
            <w:tcW w:w="6740" w:type="dxa"/>
            <w:vAlign w:val="bottom"/>
            <w:shd w:val="clear" w:color="auto" w:fill="CCEEFF"/>
          </w:tcPr>
          <w:p>
            <w:pPr>
              <w:ind w:left="400"/>
              <w:spacing w:after="0" w:line="175" w:lineRule="exact"/>
              <w:rPr>
                <w:sz w:val="20"/>
                <w:szCs w:val="20"/>
                <w:color w:val="auto"/>
              </w:rPr>
            </w:pPr>
            <w:r>
              <w:rPr>
                <w:rFonts w:ascii="Arial" w:cs="Arial" w:eastAsia="Arial" w:hAnsi="Arial"/>
                <w:sz w:val="13"/>
                <w:szCs w:val="13"/>
                <w:color w:val="auto"/>
              </w:rPr>
              <w:t>Legacy Greenspring performance fee-related compensation</w:t>
            </w:r>
            <w:r>
              <w:rPr>
                <w:rFonts w:ascii="Arial" w:cs="Arial" w:eastAsia="Arial" w:hAnsi="Arial"/>
                <w:sz w:val="16"/>
                <w:szCs w:val="16"/>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187,106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6740" w:type="dxa"/>
            <w:vAlign w:val="bottom"/>
          </w:tcPr>
          <w:p>
            <w:pPr>
              <w:ind w:left="20"/>
              <w:spacing w:after="0"/>
              <w:rPr>
                <w:sz w:val="20"/>
                <w:szCs w:val="20"/>
                <w:color w:val="auto"/>
              </w:rPr>
            </w:pPr>
            <w:r>
              <w:rPr>
                <w:rFonts w:ascii="Arial" w:cs="Arial" w:eastAsia="Arial" w:hAnsi="Arial"/>
                <w:sz w:val="13"/>
                <w:szCs w:val="13"/>
                <w:color w:val="auto"/>
              </w:rPr>
              <w:t>Total compensation and benefits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802,695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411,062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242,304</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administrative and other</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110,468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48,485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52,363</w:t>
            </w:r>
          </w:p>
        </w:tc>
      </w:tr>
      <w:tr>
        <w:trPr>
          <w:trHeight w:val="163"/>
        </w:trPr>
        <w:tc>
          <w:tcPr>
            <w:tcW w:w="674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Total expenses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913,163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459,547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294,667</w:t>
            </w:r>
          </w:p>
        </w:tc>
      </w:tr>
      <w:tr>
        <w:trPr>
          <w:trHeight w:val="162"/>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40" w:type="dxa"/>
            <w:vAlign w:val="bottom"/>
          </w:tcPr>
          <w:p>
            <w:pPr>
              <w:ind w:left="20"/>
              <w:spacing w:after="0"/>
              <w:rPr>
                <w:sz w:val="20"/>
                <w:szCs w:val="20"/>
                <w:color w:val="auto"/>
              </w:rPr>
            </w:pPr>
            <w:r>
              <w:rPr>
                <w:rFonts w:ascii="Arial" w:cs="Arial" w:eastAsia="Arial" w:hAnsi="Arial"/>
                <w:sz w:val="13"/>
                <w:szCs w:val="13"/>
                <w:color w:val="auto"/>
              </w:rPr>
              <w:t>Investment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26,160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16,407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6,926</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Legacy Greenspring investment income</w:t>
            </w:r>
            <w:r>
              <w:rPr>
                <w:rFonts w:ascii="Arial" w:cs="Arial" w:eastAsia="Arial" w:hAnsi="Arial"/>
                <w:sz w:val="16"/>
                <w:szCs w:val="16"/>
                <w:color w:val="auto"/>
                <w:vertAlign w:val="superscript"/>
              </w:rPr>
              <w:t>(1)</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74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1,436</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(10,211)</w:t>
            </w:r>
          </w:p>
        </w:tc>
      </w:tr>
      <w:tr>
        <w:trPr>
          <w:trHeight w:val="16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(loss)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(1,355)</w:t>
            </w:r>
          </w:p>
        </w:tc>
      </w:tr>
      <w:tr>
        <w:trPr>
          <w:trHeight w:val="175"/>
        </w:trPr>
        <w:tc>
          <w:tcPr>
            <w:tcW w:w="67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other income (expense)</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60,219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(3,204)</w:t>
            </w:r>
          </w:p>
        </w:tc>
      </w:tr>
      <w:tr>
        <w:trPr>
          <w:trHeight w:val="161"/>
        </w:trPr>
        <w:tc>
          <w:tcPr>
            <w:tcW w:w="6740" w:type="dxa"/>
            <w:vAlign w:val="bottom"/>
          </w:tcPr>
          <w:p>
            <w:pPr>
              <w:ind w:left="20"/>
              <w:spacing w:after="0"/>
              <w:rPr>
                <w:sz w:val="20"/>
                <w:szCs w:val="20"/>
                <w:color w:val="auto"/>
              </w:rPr>
            </w:pPr>
            <w:r>
              <w:rPr>
                <w:rFonts w:ascii="Arial" w:cs="Arial" w:eastAsia="Arial" w:hAnsi="Arial"/>
                <w:sz w:val="13"/>
                <w:szCs w:val="13"/>
                <w:color w:val="auto"/>
              </w:rPr>
              <w:t>Income before income tax</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512,581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337,849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148,740</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28,300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23,256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3,955</w:t>
            </w:r>
          </w:p>
        </w:tc>
      </w:tr>
      <w:tr>
        <w:trPr>
          <w:trHeight w:val="161"/>
        </w:trPr>
        <w:tc>
          <w:tcPr>
            <w:tcW w:w="6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484,281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314,593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144,785</w:t>
            </w:r>
          </w:p>
        </w:tc>
      </w:tr>
      <w:tr>
        <w:trPr>
          <w:trHeight w:val="183"/>
        </w:trPr>
        <w:tc>
          <w:tcPr>
            <w:tcW w:w="6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Less: Net income attributable to non-controlling interests in subsidiaries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12,869</w:t>
            </w:r>
          </w:p>
        </w:tc>
      </w:tr>
      <w:tr>
        <w:trPr>
          <w:trHeight w:val="176"/>
        </w:trPr>
        <w:tc>
          <w:tcPr>
            <w:tcW w:w="6740" w:type="dxa"/>
            <w:vAlign w:val="bottom"/>
          </w:tcPr>
          <w:p>
            <w:pPr>
              <w:ind w:left="360"/>
              <w:spacing w:after="0" w:line="175" w:lineRule="exact"/>
              <w:rPr>
                <w:sz w:val="20"/>
                <w:szCs w:val="20"/>
                <w:color w:val="auto"/>
              </w:rPr>
            </w:pPr>
            <w:r>
              <w:rPr>
                <w:rFonts w:ascii="Arial" w:cs="Arial" w:eastAsia="Arial" w:hAnsi="Arial"/>
                <w:sz w:val="13"/>
                <w:szCs w:val="13"/>
                <w:color w:val="auto"/>
              </w:rPr>
              <w:t>Less: Net income attributable to non-controlling interests in legacy Greenspring entities</w:t>
            </w:r>
            <w:r>
              <w:rPr>
                <w:rFonts w:ascii="Arial" w:cs="Arial" w:eastAsia="Arial" w:hAnsi="Arial"/>
                <w:sz w:val="16"/>
                <w:szCs w:val="16"/>
                <w:color w:val="auto"/>
                <w:vertAlign w:val="superscript"/>
              </w:rPr>
              <w:t>(1)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32,586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Less: Net income attributable to non-controlling interests in the Partnership</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231,202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228,783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131,916</w:t>
            </w:r>
          </w:p>
        </w:tc>
      </w:tr>
      <w:tr>
        <w:trPr>
          <w:trHeight w:val="175"/>
        </w:trPr>
        <w:tc>
          <w:tcPr>
            <w:tcW w:w="6740" w:type="dxa"/>
            <w:vAlign w:val="bottom"/>
          </w:tcPr>
          <w:p>
            <w:pPr>
              <w:ind w:left="20"/>
              <w:spacing w:after="0"/>
              <w:rPr>
                <w:sz w:val="20"/>
                <w:szCs w:val="20"/>
                <w:color w:val="auto"/>
              </w:rPr>
            </w:pPr>
            <w:r>
              <w:rPr>
                <w:rFonts w:ascii="Arial" w:cs="Arial" w:eastAsia="Arial" w:hAnsi="Arial"/>
                <w:sz w:val="13"/>
                <w:szCs w:val="13"/>
                <w:color w:val="auto"/>
              </w:rPr>
              <w:t>Net income attributable to StepStone Group Inc.</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193,885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62,634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6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8"/>
        </w:trPr>
        <w:tc>
          <w:tcPr>
            <w:tcW w:w="6740" w:type="dxa"/>
            <w:vAlign w:val="bottom"/>
          </w:tcPr>
          <w:p>
            <w:pPr>
              <w:ind w:left="20"/>
              <w:spacing w:after="0"/>
              <w:rPr>
                <w:sz w:val="20"/>
                <w:szCs w:val="20"/>
                <w:color w:val="auto"/>
              </w:rPr>
            </w:pPr>
            <w:r>
              <w:rPr>
                <w:rFonts w:ascii="Arial" w:cs="Arial" w:eastAsia="Arial" w:hAnsi="Arial"/>
                <w:sz w:val="13"/>
                <w:szCs w:val="13"/>
                <w:color w:val="auto"/>
              </w:rPr>
              <w:t>Earnings per share of Class A common stock:</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6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Basic</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6740" w:type="dxa"/>
            <w:vAlign w:val="bottom"/>
          </w:tcPr>
          <w:p>
            <w:pPr>
              <w:ind w:left="460"/>
              <w:spacing w:after="0"/>
              <w:rPr>
                <w:sz w:val="20"/>
                <w:szCs w:val="20"/>
                <w:color w:val="auto"/>
              </w:rPr>
            </w:pPr>
            <w:r>
              <w:rPr>
                <w:rFonts w:ascii="Arial" w:cs="Arial" w:eastAsia="Arial" w:hAnsi="Arial"/>
                <w:sz w:val="13"/>
                <w:szCs w:val="13"/>
                <w:color w:val="auto"/>
              </w:rPr>
              <w:t>Diluted</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shares of Class A common stock:</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8"/>
        </w:trPr>
        <w:tc>
          <w:tcPr>
            <w:tcW w:w="6740" w:type="dxa"/>
            <w:vAlign w:val="bottom"/>
          </w:tcPr>
          <w:p>
            <w:pPr>
              <w:ind w:left="460"/>
              <w:spacing w:after="0"/>
              <w:rPr>
                <w:sz w:val="20"/>
                <w:szCs w:val="20"/>
                <w:color w:val="auto"/>
              </w:rPr>
            </w:pPr>
            <w:r>
              <w:rPr>
                <w:rFonts w:ascii="Arial" w:cs="Arial" w:eastAsia="Arial" w:hAnsi="Arial"/>
                <w:sz w:val="13"/>
                <w:szCs w:val="13"/>
                <w:color w:val="auto"/>
              </w:rPr>
              <w:t>Basic</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49,833,760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29,657,805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67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Diluted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53,600,250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33,274,804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2"/>
        </w:trPr>
        <w:tc>
          <w:tcPr>
            <w:tcW w:w="6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per share of Class A common stock</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bl>
    <w:p>
      <w:pPr>
        <w:spacing w:after="0" w:line="224"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Reflects amounts attributable to consolidated VIEs for which the Company did not acquire any direct economic interests. See notes 3, 5 and 15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144,785</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gain (loss) on defined benefit plan,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Comprehensive income before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144,574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Less: Comprehensive income attributable to non-controlling interests in subsidiaries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176"/>
        </w:trPr>
        <w:tc>
          <w:tcPr>
            <w:tcW w:w="6740" w:type="dxa"/>
            <w:vAlign w:val="bottom"/>
          </w:tcPr>
          <w:p>
            <w:pPr>
              <w:ind w:left="400"/>
              <w:spacing w:after="0" w:line="176" w:lineRule="exact"/>
              <w:rPr>
                <w:sz w:val="20"/>
                <w:szCs w:val="20"/>
                <w:color w:val="auto"/>
              </w:rPr>
            </w:pPr>
            <w:r>
              <w:rPr>
                <w:rFonts w:ascii="Arial" w:cs="Arial" w:eastAsia="Arial" w:hAnsi="Arial"/>
                <w:sz w:val="18"/>
                <w:szCs w:val="18"/>
                <w:color w:val="auto"/>
              </w:rPr>
              <w:t>Less: Comprehensive income attributable to non-controlling interests in legacy</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32,586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560"/>
              <w:spacing w:after="0"/>
              <w:rPr>
                <w:sz w:val="20"/>
                <w:szCs w:val="20"/>
                <w:color w:val="auto"/>
              </w:rPr>
            </w:pPr>
            <w:r>
              <w:rPr>
                <w:rFonts w:ascii="Arial" w:cs="Arial" w:eastAsia="Arial" w:hAnsi="Arial"/>
                <w:sz w:val="18"/>
                <w:szCs w:val="18"/>
                <w:color w:val="auto"/>
              </w:rPr>
              <w:t>Greenspring entities</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Less: Comprehensive income attributable to non-controlling interests in the Partnership</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131,811</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Comprehensive income attributable to StepStone Group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10"/>
                <w:szCs w:val="10"/>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Additional Paid-</w:t>
            </w:r>
          </w:p>
        </w:tc>
        <w:tc>
          <w:tcPr>
            <w:tcW w:w="160" w:type="dxa"/>
            <w:vAlign w:val="bottom"/>
          </w:tcPr>
          <w:p>
            <w:pPr>
              <w:spacing w:after="0"/>
              <w:rPr>
                <w:sz w:val="9"/>
                <w:szCs w:val="9"/>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Interests in the</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Equity / Partners’</w:t>
            </w:r>
          </w:p>
        </w:tc>
        <w:tc>
          <w:tcPr>
            <w:tcW w:w="0" w:type="dxa"/>
            <w:vAlign w:val="bottom"/>
          </w:tcPr>
          <w:p>
            <w:pPr>
              <w:spacing w:after="0"/>
              <w:rPr>
                <w:sz w:val="1"/>
                <w:szCs w:val="1"/>
                <w:color w:val="auto"/>
              </w:rPr>
            </w:pPr>
          </w:p>
        </w:tc>
      </w:tr>
      <w:tr>
        <w:trPr>
          <w:trHeight w:val="140"/>
        </w:trPr>
        <w:tc>
          <w:tcPr>
            <w:tcW w:w="25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 Capital</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Subsidiaries</w:t>
            </w: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2019</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128,426</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16,953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145,662</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131,916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12,869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144,785</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loss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(211)</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1,915</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1,915</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Sale of non-controlling interests</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110,753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110,753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interests</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(43,935)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(8,978)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(52,913)</w:t>
            </w: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2020</w:t>
            </w:r>
          </w:p>
        </w:tc>
        <w:tc>
          <w:tcPr>
            <w:tcW w:w="2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216,051</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20,738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236,967</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Net income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45,265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12,428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57,693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Other comprehensive income prior to Reorganization</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350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w w:val="96"/>
              </w:rPr>
              <w:t>Contributed capital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5"/>
              </w:rPr>
              <w:t>Equity-based compensation prior to Reorganization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723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Sale of non-controlling interests prior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Purchase of non-controlling interests prior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Distributions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(50,424)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(63,585)</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1"/>
              </w:rPr>
              <w:t>controlling interests prior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3"/>
              </w:rPr>
              <w:t>Effect of Reorganization and purchase of units in the</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(211,894)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23,432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188,893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Partnership</w:t>
            </w: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1"/>
              </w:rPr>
              <w:t>Issuance of Class A common stock sold in IPO, net of</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337,778</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337,798</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underwriting discounts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w w:val="87"/>
              </w:rPr>
              <w:t>Purchase of partnership interests with IPO net proceeds</w:t>
            </w:r>
          </w:p>
        </w:tc>
        <w:tc>
          <w:tcPr>
            <w:tcW w:w="2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ind w:left="520"/>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(127,979)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(127,986)</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6"/>
              </w:rPr>
              <w:t>Net income subsequent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62,634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10,748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183,518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256,900</w:t>
            </w: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Other comprehensive income subsequent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221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690</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1"/>
              </w:rPr>
              <w:t>Contributed capital subsequent to Reorganization and</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2,709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2,749</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Equity-based compensation subsequent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2,239</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4,923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7,174</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w w:val="94"/>
              </w:rPr>
              <w:t>Distributions subsequent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(8,040)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(26,051)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(34,091)</w:t>
            </w: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0"/>
              </w:rPr>
              <w:t>Dividends declared subsequent to Reorganization and</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(2,227)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(2,227)</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2"/>
              </w:rPr>
              <w:t>Exchange of Class B units for Class A common stock</w:t>
            </w: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2"/>
              </w:rPr>
              <w:t>and redemption of corresponding Class B common</w:t>
            </w: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rPr>
              <w:t>shares in connection with registered offering</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520"/>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subsequent to 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Deferred offering costs</w:t>
            </w:r>
          </w:p>
        </w:tc>
        <w:tc>
          <w:tcPr>
            <w:tcW w:w="2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(3,611)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(7,610)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(11,221)</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4"/>
              </w:rPr>
              <w:t>controlling interests subsequent to Reorganization</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(40,503)</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40,466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89"/>
              </w:rPr>
              <w:t>Deferred tax effect resulting from transactions affecting</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tcPr>
          <w:p>
            <w:pPr>
              <w:ind w:left="240"/>
              <w:spacing w:after="0" w:line="108" w:lineRule="exact"/>
              <w:rPr>
                <w:sz w:val="20"/>
                <w:szCs w:val="20"/>
                <w:color w:val="auto"/>
              </w:rPr>
            </w:pPr>
            <w:r>
              <w:rPr>
                <w:rFonts w:ascii="Arial" w:cs="Arial" w:eastAsia="Arial" w:hAnsi="Arial"/>
                <w:sz w:val="11"/>
                <w:szCs w:val="11"/>
                <w:color w:val="auto"/>
                <w:w w:val="91"/>
              </w:rPr>
              <w:t>ownership in the Partnership, including net amounts</w:t>
            </w:r>
          </w:p>
        </w:tc>
        <w:tc>
          <w:tcPr>
            <w:tcW w:w="24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(2,596)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(2,596)</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payable under Tax Receivable Agreements</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March 31, 2021</w:t>
            </w:r>
          </w:p>
        </w:tc>
        <w:tc>
          <w:tcPr>
            <w:tcW w:w="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188,751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60,407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25,885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384,400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659,693</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Additional Paid-</w:t>
            </w:r>
          </w:p>
        </w:tc>
        <w:tc>
          <w:tcPr>
            <w:tcW w:w="140" w:type="dxa"/>
            <w:vAlign w:val="bottom"/>
          </w:tcPr>
          <w:p>
            <w:pPr>
              <w:spacing w:after="0"/>
              <w:rPr>
                <w:sz w:val="9"/>
                <w:szCs w:val="9"/>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9"/>
              </w:rPr>
              <w:t>Legacy</w:t>
            </w: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Greenspring</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4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Subsidiaries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Entities</w:t>
            </w: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188,751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60,407</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25,885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384,400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659,693</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193,885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26,608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32,586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231,202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484,281</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1,694</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15,078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15,161</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6,686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7,298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13,996</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(20,692)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(11,326)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(86,778)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(118,796)</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non-controlling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(3,046)</w:t>
            </w: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Dividends declared</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(24,677)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(24,677)</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Vesting of RSUs</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rPr>
              <w:t>Class A common stock issued for Greenspring</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267,842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290,743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558,598</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Class C Partnership units issued for Greenspring</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64,847</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70,392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135,239</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acquisition</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92"/>
              </w:rPr>
              <w:t>Exchange of Class B units for Class A common stock</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tcPr>
          <w:p>
            <w:pPr>
              <w:ind w:left="240"/>
              <w:spacing w:after="0" w:line="108" w:lineRule="exact"/>
              <w:rPr>
                <w:sz w:val="20"/>
                <w:szCs w:val="20"/>
                <w:color w:val="auto"/>
              </w:rPr>
            </w:pPr>
            <w:r>
              <w:rPr>
                <w:rFonts w:ascii="Arial" w:cs="Arial" w:eastAsia="Arial" w:hAnsi="Arial"/>
                <w:sz w:val="11"/>
                <w:szCs w:val="11"/>
                <w:color w:val="auto"/>
                <w:w w:val="92"/>
              </w:rPr>
              <w:t>and redemption of corresponding Class B common</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ind w:left="520"/>
              <w:spacing w:after="0"/>
              <w:rPr>
                <w:sz w:val="20"/>
                <w:szCs w:val="20"/>
                <w:color w:val="auto"/>
              </w:rPr>
            </w:pPr>
            <w:r>
              <w:rPr>
                <w:rFonts w:ascii="Arial" w:cs="Arial" w:eastAsia="Arial" w:hAnsi="Arial"/>
                <w:sz w:val="11"/>
                <w:szCs w:val="11"/>
                <w:color w:val="auto"/>
                <w:w w:val="88"/>
              </w:rPr>
              <w:t>(9)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shares</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8"/>
              </w:rPr>
              <w:t>Initial consolidation of legacy Greenspring general</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158,142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158,142</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partner entities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60" w:type="dxa"/>
            <w:vAlign w:val="bottom"/>
          </w:tcPr>
          <w:p>
            <w:pPr>
              <w:ind w:left="140"/>
              <w:spacing w:after="0"/>
              <w:rPr>
                <w:sz w:val="20"/>
                <w:szCs w:val="20"/>
                <w:color w:val="auto"/>
              </w:rPr>
            </w:pPr>
            <w:r>
              <w:rPr>
                <w:rFonts w:ascii="Arial" w:cs="Arial" w:eastAsia="Arial" w:hAnsi="Arial"/>
                <w:sz w:val="11"/>
                <w:szCs w:val="11"/>
                <w:color w:val="auto"/>
              </w:rPr>
              <w:t>Deferred offering costs</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6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(653)</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 reallocation between controlling and non-</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115,434</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914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(116,402)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controlling interests</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140"/>
              <w:spacing w:after="0" w:line="112" w:lineRule="exact"/>
              <w:rPr>
                <w:sz w:val="20"/>
                <w:szCs w:val="20"/>
                <w:color w:val="auto"/>
              </w:rPr>
            </w:pPr>
            <w:r>
              <w:rPr>
                <w:rFonts w:ascii="Arial" w:cs="Arial" w:eastAsia="Arial" w:hAnsi="Arial"/>
                <w:sz w:val="11"/>
                <w:szCs w:val="11"/>
                <w:color w:val="auto"/>
                <w:w w:val="89"/>
              </w:rPr>
              <w:t>Deferred tax effect resulting from transactions affecting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60" w:type="dxa"/>
            <w:vAlign w:val="bottom"/>
          </w:tcPr>
          <w:p>
            <w:pPr>
              <w:ind w:left="240"/>
              <w:spacing w:after="0" w:line="108" w:lineRule="exact"/>
              <w:rPr>
                <w:sz w:val="20"/>
                <w:szCs w:val="20"/>
                <w:color w:val="auto"/>
              </w:rPr>
            </w:pPr>
            <w:r>
              <w:rPr>
                <w:rFonts w:ascii="Arial" w:cs="Arial" w:eastAsia="Arial" w:hAnsi="Arial"/>
                <w:sz w:val="11"/>
                <w:szCs w:val="11"/>
                <w:color w:val="auto"/>
                <w:w w:val="91"/>
              </w:rPr>
              <w:t>ownership in the Partnership, including net amounts</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(55,293)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(55,293)</w:t>
            </w:r>
          </w:p>
        </w:tc>
        <w:tc>
          <w:tcPr>
            <w:tcW w:w="0" w:type="dxa"/>
            <w:vAlign w:val="bottom"/>
          </w:tcPr>
          <w:p>
            <w:pPr>
              <w:spacing w:after="0"/>
              <w:rPr>
                <w:sz w:val="1"/>
                <w:szCs w:val="1"/>
                <w:color w:val="auto"/>
              </w:rPr>
            </w:pPr>
          </w:p>
        </w:tc>
      </w:tr>
      <w:tr>
        <w:trPr>
          <w:trHeight w:val="136"/>
        </w:trPr>
        <w:tc>
          <w:tcPr>
            <w:tcW w:w="2560" w:type="dxa"/>
            <w:vAlign w:val="bottom"/>
          </w:tcPr>
          <w:p>
            <w:pPr>
              <w:ind w:left="240"/>
              <w:spacing w:after="0"/>
              <w:rPr>
                <w:sz w:val="20"/>
                <w:szCs w:val="20"/>
                <w:color w:val="auto"/>
              </w:rPr>
            </w:pPr>
            <w:r>
              <w:rPr>
                <w:rFonts w:ascii="Arial" w:cs="Arial" w:eastAsia="Arial" w:hAnsi="Arial"/>
                <w:sz w:val="11"/>
                <w:szCs w:val="11"/>
                <w:color w:val="auto"/>
              </w:rPr>
              <w:t>payable under Tax Receivable Agreements</w:t>
            </w:r>
            <w:r>
              <w:rPr>
                <w:rFonts w:ascii="Arial" w:cs="Arial" w:eastAsia="Arial" w:hAnsi="Arial"/>
                <w:sz w:val="7"/>
                <w:szCs w:val="7"/>
                <w:color w:val="auto"/>
              </w:rPr>
              <w:t>(1)</w:t>
            </w: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2022</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587,243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229,615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32,063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194,480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780,162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1,824,330</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See notes 11, 14 and 15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484,281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314,593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144,785</w:t>
            </w:r>
          </w:p>
        </w:tc>
      </w:tr>
      <w:tr>
        <w:trPr>
          <w:trHeight w:val="219"/>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7,078</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carried interest allocations and investment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(164,691)</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Unrealized legacy Greenspring carried interest allocations and investment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(119,698)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performance fee-related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82,701</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Unrealized legacy Greenspring performance fee-related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94,944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gains on marketable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Write-off / amortization of deferred financing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796</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Change in 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adjustment for acquisition-related contingent consideration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Other non-cash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40" w:type="dxa"/>
            <w:vAlign w:val="bottom"/>
          </w:tcPr>
          <w:p>
            <w:pPr>
              <w:ind w:left="360"/>
              <w:spacing w:after="0"/>
              <w:rPr>
                <w:sz w:val="20"/>
                <w:szCs w:val="20"/>
                <w:color w:val="auto"/>
              </w:rPr>
            </w:pPr>
            <w:r>
              <w:rPr>
                <w:rFonts w:ascii="Arial" w:cs="Arial" w:eastAsia="Arial" w:hAnsi="Arial"/>
                <w:sz w:val="16"/>
                <w:szCs w:val="16"/>
                <w:color w:val="auto"/>
              </w:rPr>
              <w:t>Fees and accounts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(851)</w:t>
            </w: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Due from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(7,379)</w:t>
            </w:r>
          </w:p>
        </w:tc>
      </w:tr>
      <w:tr>
        <w:trPr>
          <w:trHeight w:val="213"/>
        </w:trPr>
        <w:tc>
          <w:tcPr>
            <w:tcW w:w="6740" w:type="dxa"/>
            <w:vAlign w:val="bottom"/>
          </w:tcPr>
          <w:p>
            <w:pPr>
              <w:ind w:left="360"/>
              <w:spacing w:after="0"/>
              <w:rPr>
                <w:sz w:val="20"/>
                <w:szCs w:val="20"/>
                <w:color w:val="auto"/>
              </w:rPr>
            </w:pPr>
            <w:r>
              <w:rPr>
                <w:rFonts w:ascii="Arial" w:cs="Arial" w:eastAsia="Arial" w:hAnsi="Arial"/>
                <w:sz w:val="16"/>
                <w:szCs w:val="16"/>
                <w:color w:val="auto"/>
              </w:rPr>
              <w:t>Other assets and receivables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(3,717)</w:t>
            </w: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r>
      <w:tr>
        <w:trPr>
          <w:trHeight w:val="213"/>
        </w:trPr>
        <w:tc>
          <w:tcPr>
            <w:tcW w:w="67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7,937</w:t>
            </w: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carried interest-related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w:t>
            </w:r>
          </w:p>
        </w:tc>
      </w:tr>
      <w:tr>
        <w:trPr>
          <w:trHeight w:val="213"/>
        </w:trPr>
        <w:tc>
          <w:tcPr>
            <w:tcW w:w="6740" w:type="dxa"/>
            <w:vAlign w:val="bottom"/>
          </w:tcPr>
          <w:p>
            <w:pPr>
              <w:ind w:left="360"/>
              <w:spacing w:after="0"/>
              <w:rPr>
                <w:sz w:val="20"/>
                <w:szCs w:val="20"/>
                <w:color w:val="auto"/>
              </w:rPr>
            </w:pPr>
            <w:r>
              <w:rPr>
                <w:rFonts w:ascii="Arial" w:cs="Arial" w:eastAsia="Arial" w:hAnsi="Arial"/>
                <w:sz w:val="16"/>
                <w:szCs w:val="16"/>
                <w:color w:val="auto"/>
              </w:rPr>
              <w:t>Due to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(1,511)</w:t>
            </w: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right-of-use assets, net and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214,281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149,299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65,930</w:t>
            </w:r>
          </w:p>
        </w:tc>
      </w:tr>
      <w:tr>
        <w:trPr>
          <w:trHeight w:val="253"/>
        </w:trPr>
        <w:tc>
          <w:tcPr>
            <w:tcW w:w="6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(27,694)</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Proceeds from sales and maturities of marketable securities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71,345</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to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(12,505)</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Distributions received from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to investments in legacy Greenspring entities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Distributions received from investments in legacy Greenspring entities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Greenspring acquisition, net of cash acquired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740" w:type="dxa"/>
            <w:vAlign w:val="bottom"/>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(210,241)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3"/>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Sale of non-controlling interests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3,308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110,753</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capital contributions from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Proceeds from IPO, net of underwriting discount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337,798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revolving credit facility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Deferred financing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(107,188)</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Payment of deferred offering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on term loan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Payments on revolving credit facility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(52,913)</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Proceeds from capital contributions to legacy Greenspring entities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 in legacy Greenspring entities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Dividends paid to common stockholders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to related parties under Tax Receivable Agreements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(52,170)</w:t>
            </w:r>
          </w:p>
        </w:tc>
        <w:tc>
          <w:tcPr>
            <w:tcW w:w="0" w:type="dxa"/>
            <w:vAlign w:val="bottom"/>
          </w:tcPr>
          <w:p>
            <w:pPr>
              <w:spacing w:after="0"/>
              <w:rPr>
                <w:sz w:val="1"/>
                <w:szCs w:val="1"/>
                <w:color w:val="auto"/>
              </w:rPr>
            </w:pPr>
          </w:p>
        </w:tc>
      </w:tr>
      <w:tr>
        <w:trPr>
          <w:trHeight w:val="207"/>
        </w:trPr>
        <w:tc>
          <w:tcPr>
            <w:tcW w:w="6740" w:type="dxa"/>
            <w:vAlign w:val="bottom"/>
          </w:tcPr>
          <w:p>
            <w:pPr>
              <w:ind w:left="20"/>
              <w:spacing w:after="0"/>
              <w:rPr>
                <w:sz w:val="20"/>
                <w:szCs w:val="20"/>
                <w:color w:val="auto"/>
              </w:rPr>
            </w:pPr>
            <w:r>
              <w:rPr>
                <w:rFonts w:ascii="Arial" w:cs="Arial" w:eastAsia="Arial" w:hAnsi="Arial"/>
                <w:sz w:val="16"/>
                <w:szCs w:val="16"/>
                <w:color w:val="auto"/>
              </w:rPr>
              <w:t>Effect of foreign currency exchange rate changes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49,317</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89,939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40,622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117,449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829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3,491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9,355</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Non-cash operating, investing, and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partnership interests payable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Arial" w:cs="Arial" w:eastAsia="Arial" w:hAnsi="Arial"/>
                <w:sz w:val="16"/>
                <w:szCs w:val="16"/>
                <w:color w:val="auto"/>
              </w:rPr>
              <w:t>Accrued dividends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7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5"/>
              </w:rPr>
              <w:t>Deferred tax effect resulting from transactions affecting ownership in the Partnership, including</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(55,293)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5"/>
        </w:trPr>
        <w:tc>
          <w:tcPr>
            <w:tcW w:w="6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net amounts payable under Tax Receivable Agreements</w:t>
            </w:r>
          </w:p>
        </w:tc>
        <w:tc>
          <w:tcPr>
            <w:tcW w:w="34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74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Arial" w:cs="Arial" w:eastAsia="Arial" w:hAnsi="Arial"/>
                <w:sz w:val="16"/>
                <w:szCs w:val="16"/>
                <w:color w:val="auto"/>
              </w:rPr>
              <w:t>Accrued deferred offering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Establishment of lease liabilities in exchange for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Arial" w:cs="Arial" w:eastAsia="Arial" w:hAnsi="Arial"/>
                <w:sz w:val="16"/>
                <w:szCs w:val="16"/>
                <w:color w:val="auto"/>
              </w:rPr>
              <w:t>Class A common stock issued for Greenspring acquisition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558,598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C Partnership units issued for Greenspring acquisition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Reconciliation of cash, cash equivalents and restricted cash:</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116,386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89,939</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3,977</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117,449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2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As of September 18, 2020, in connection with the Reorganization discussed below, SSG became the sole managing member of StepStone Group Holdings LLC (the “General Partner”), the general partner of the Partnership. Unless otherwise specified, “StepStone” or the “Company” refers to SSG and its consolidated subsidiaries, including the Partnership, following the Reorganization and IPO, and to the Partnership and its consolidated subsidiaries prior to the Reorganization and IPO, throughout the remainder of these notes to the consolidated financial statements.</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 xml:space="preserve">The Company is a global private markets investment firm focused on providing customized investment solutions and advisory, data </w:t>
      </w:r>
      <w:r>
        <w:rPr>
          <w:rFonts w:ascii="Arial" w:cs="Arial" w:eastAsia="Arial" w:hAnsi="Arial"/>
          <w:sz w:val="19"/>
          <w:szCs w:val="19"/>
          <w:color w:val="231F20"/>
        </w:rPr>
        <w:t xml:space="preserve">and administrative </w:t>
      </w:r>
      <w:r>
        <w:rPr>
          <w:rFonts w:ascii="Arial" w:cs="Arial" w:eastAsia="Arial" w:hAnsi="Arial"/>
          <w:sz w:val="19"/>
          <w:szCs w:val="19"/>
          <w:color w:val="000000"/>
        </w:rPr>
        <w:t>services to its clients. The Company’s clients include some of the world’s largest public and private defined benefit and</w:t>
      </w:r>
      <w:r>
        <w:rPr>
          <w:rFonts w:ascii="Arial" w:cs="Arial" w:eastAsia="Arial" w:hAnsi="Arial"/>
          <w:sz w:val="19"/>
          <w:szCs w:val="19"/>
          <w:color w:val="231F20"/>
        </w:rPr>
        <w:t xml:space="preserve"> </w:t>
      </w:r>
      <w:r>
        <w:rPr>
          <w:rFonts w:ascii="Arial" w:cs="Arial" w:eastAsia="Arial" w:hAnsi="Arial"/>
          <w:sz w:val="19"/>
          <w:szCs w:val="19"/>
          <w:color w:val="000000"/>
        </w:rPr>
        <w:t>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0" w:lineRule="exact"/>
        <w:rPr>
          <w:sz w:val="20"/>
          <w:szCs w:val="20"/>
          <w:color w:val="auto"/>
        </w:rPr>
      </w:pPr>
    </w:p>
    <w:p>
      <w:pPr>
        <w:ind w:right="220" w:firstLine="648"/>
        <w:spacing w:after="0" w:line="316" w:lineRule="auto"/>
        <w:rPr>
          <w:sz w:val="20"/>
          <w:szCs w:val="20"/>
          <w:color w:val="auto"/>
        </w:rPr>
      </w:pPr>
      <w:r>
        <w:rPr>
          <w:rFonts w:ascii="Arial" w:cs="Arial" w:eastAsia="Arial" w:hAnsi="Arial"/>
          <w:sz w:val="18"/>
          <w:szCs w:val="18"/>
          <w:color w:val="auto"/>
        </w:rPr>
        <w:t>The Company, through its subsidiaries, acts as the investment advisor and general partner or managing member to separately managed accounts (“SMAs”) and focused commingled funds, including acquired Greenspring funds (collectively, the “StepStone Funds”).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connection with the IPO, the Company completed certain transactions as part of a corporate reorganization (the “Reorganization”), which are described below:</w:t>
      </w:r>
    </w:p>
    <w:p>
      <w:pPr>
        <w:spacing w:after="0" w:line="177" w:lineRule="exact"/>
        <w:rPr>
          <w:sz w:val="20"/>
          <w:szCs w:val="20"/>
          <w:color w:val="auto"/>
        </w:rPr>
      </w:pPr>
    </w:p>
    <w:p>
      <w:pPr>
        <w:ind w:left="660" w:right="360" w:hanging="328"/>
        <w:spacing w:after="0" w:line="260" w:lineRule="auto"/>
        <w:tabs>
          <w:tab w:leader="none" w:pos="648" w:val="left"/>
        </w:tabs>
        <w:numPr>
          <w:ilvl w:val="0"/>
          <w:numId w:val="73"/>
        </w:numPr>
        <w:rPr>
          <w:rFonts w:ascii="Arial" w:cs="Arial" w:eastAsia="Arial" w:hAnsi="Arial"/>
          <w:sz w:val="20"/>
          <w:szCs w:val="20"/>
          <w:color w:val="auto"/>
        </w:rPr>
      </w:pPr>
      <w:r>
        <w:rPr>
          <w:rFonts w:ascii="Arial" w:cs="Arial" w:eastAsia="Arial" w:hAnsi="Arial"/>
          <w:sz w:val="20"/>
          <w:szCs w:val="20"/>
          <w:color w:val="auto"/>
        </w:rPr>
        <w:t>SSG amended and restated its certificate of incorporation to, among other things, provide for Class A common stock and Class B common stock.</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Partnership amended its limited partnership agreement to, among other things, provide for Class A units and Class B units.</w:t>
      </w:r>
    </w:p>
    <w:p>
      <w:pPr>
        <w:spacing w:after="0" w:line="238" w:lineRule="exact"/>
        <w:rPr>
          <w:rFonts w:ascii="Arial" w:cs="Arial" w:eastAsia="Arial" w:hAnsi="Arial"/>
          <w:sz w:val="18"/>
          <w:szCs w:val="18"/>
          <w:color w:val="auto"/>
        </w:rPr>
      </w:pPr>
    </w:p>
    <w:p>
      <w:pPr>
        <w:ind w:left="660" w:right="240" w:hanging="328"/>
        <w:spacing w:after="0" w:line="260" w:lineRule="auto"/>
        <w:tabs>
          <w:tab w:leader="none" w:pos="648"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General Partner amended and restated its limited liability company agreement to, among other things, appoint SSG as the sole managing member of the General Partner.</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SSG redeemed its 100 shares of common stock outstanding.</w:t>
      </w:r>
    </w:p>
    <w:p>
      <w:pPr>
        <w:spacing w:after="0" w:line="215" w:lineRule="exact"/>
        <w:rPr>
          <w:rFonts w:ascii="Arial" w:cs="Arial" w:eastAsia="Arial" w:hAnsi="Arial"/>
          <w:sz w:val="20"/>
          <w:szCs w:val="20"/>
          <w:color w:val="auto"/>
        </w:rPr>
      </w:pPr>
    </w:p>
    <w:p>
      <w:pPr>
        <w:ind w:left="660" w:right="160" w:hanging="328"/>
        <w:spacing w:after="0" w:line="291"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Partnership effectuated a series of transactions such that certain blocker entities in which certain pre-IPO institutional investors that held partnership units in the Partnership merged with and into SSG, with SSG surviving. As a result of the mergers, the 100% owners of the blocker entities acquired 9,112,500 shares of newly issued Class A common stock of SSG.</w:t>
      </w:r>
    </w:p>
    <w:p>
      <w:pPr>
        <w:spacing w:after="0" w:line="151"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Partnership classified the partnership units acquired by SSG as Class A units and reclassified the partnership units held by the continuing limited partners of the Partnership as Class B units.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right="620" w:hanging="328"/>
        <w:spacing w:after="0" w:line="260" w:lineRule="auto"/>
        <w:tabs>
          <w:tab w:leader="none" w:pos="648" w:val="left"/>
        </w:tabs>
        <w:numPr>
          <w:ilvl w:val="0"/>
          <w:numId w:val="74"/>
        </w:numPr>
        <w:rPr>
          <w:rFonts w:ascii="Arial" w:cs="Arial" w:eastAsia="Arial" w:hAnsi="Arial"/>
          <w:sz w:val="20"/>
          <w:szCs w:val="20"/>
          <w:color w:val="auto"/>
        </w:rPr>
      </w:pPr>
      <w:r>
        <w:rPr>
          <w:rFonts w:ascii="Arial" w:cs="Arial" w:eastAsia="Arial" w:hAnsi="Arial"/>
          <w:sz w:val="20"/>
          <w:szCs w:val="20"/>
          <w:color w:val="auto"/>
        </w:rPr>
        <w:t>SSG issued to the remaining Class B unitholders one share of Class B common stock for each Class B unit that they owned in exchange for their interests in the General Partner.</w:t>
      </w:r>
    </w:p>
    <w:p>
      <w:pPr>
        <w:spacing w:after="0" w:line="176" w:lineRule="exact"/>
        <w:rPr>
          <w:rFonts w:ascii="Arial" w:cs="Arial" w:eastAsia="Arial" w:hAnsi="Arial"/>
          <w:sz w:val="20"/>
          <w:szCs w:val="20"/>
          <w:color w:val="auto"/>
        </w:rPr>
      </w:pPr>
    </w:p>
    <w:p>
      <w:pPr>
        <w:jc w:val="both"/>
        <w:ind w:left="660" w:right="260" w:hanging="328"/>
        <w:spacing w:after="0" w:line="269" w:lineRule="auto"/>
        <w:tabs>
          <w:tab w:leader="none" w:pos="648" w:val="left"/>
        </w:tabs>
        <w:numPr>
          <w:ilvl w:val="0"/>
          <w:numId w:val="74"/>
        </w:numPr>
        <w:rPr>
          <w:rFonts w:ascii="Arial" w:cs="Arial" w:eastAsia="Arial" w:hAnsi="Arial"/>
          <w:sz w:val="19"/>
          <w:szCs w:val="19"/>
          <w:color w:val="auto"/>
        </w:rPr>
      </w:pPr>
      <w:r>
        <w:rPr>
          <w:rFonts w:ascii="Arial" w:cs="Arial" w:eastAsia="Arial" w:hAnsi="Arial"/>
          <w:sz w:val="19"/>
          <w:szCs w:val="19"/>
          <w:color w:val="auto"/>
        </w:rPr>
        <w:t>Certain of the Class B stockholders entered into a stockholders agreement pursuant to which they agreed to vote all their shares of voting stock, including Class A common stock and Class B common stock, together and in accordance with the instructions of the Class B Committee, which comprises certain members of senior management.</w:t>
      </w:r>
    </w:p>
    <w:p>
      <w:pPr>
        <w:spacing w:after="0" w:line="16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b w:val="1"/>
          <w:bCs w:val="1"/>
          <w:color w:val="auto"/>
        </w:rPr>
        <w:t>Initial Public Offering and Greenspring Acquisition</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19"/>
          <w:szCs w:val="19"/>
          <w:color w:val="auto"/>
        </w:rPr>
        <w:t>On September 18, 2020, SSG issued 20,125,000 shares of Class A common stock in the IPO at a price of $18.00 per share. The net proceeds from the offering totaled $337.8 million, net of underwriting discounts of $24.5 million and before offering costs of $9.7 million that were incurred by the Partnership. SSG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80"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In connection with the Greenspring acquisition (see note 15), the Company issued 12,686,756 shares of its Class A common stock and the Partnership issued 3,071,519 newly created Class C units of the Partnership, each of which is exchangeable into one share of Class A common stock, in each case subject to certain adjustments and restrictions (see note 14).</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Following the Reorganization and IPO, SSG became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11). Each share of Class A common stock is entitled to one vote and each share of Class B common stock is entitled to five votes. As of March 31, 2022, SSG held approximately 55.0% of the economic interest in the Partnership. As the Partnership’s limited partners exchange their Class B and Class C units into SSG’s Class A common stock in the future, SSG’s economic interest in the Partnership will increase relative to that of the Class B and Class C unitholders.</w:t>
      </w:r>
    </w:p>
    <w:p>
      <w:pPr>
        <w:spacing w:after="0" w:line="174"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The Reorganization was considered a transaction between entities under common control. As a result, the consolidated financial statements for periods prior to the Reorganization and IPO are the consolidated financial statements of the Partnership as the predecessor to SSG for accounting and reporting purposes.</w:t>
      </w:r>
    </w:p>
    <w:p>
      <w:pPr>
        <w:spacing w:after="0" w:line="180" w:lineRule="exact"/>
        <w:rPr>
          <w:sz w:val="20"/>
          <w:szCs w:val="20"/>
          <w:color w:val="auto"/>
        </w:rPr>
      </w:pPr>
    </w:p>
    <w:p>
      <w:pPr>
        <w:ind w:left="660" w:right="7160" w:hanging="652"/>
        <w:spacing w:after="0" w:line="468" w:lineRule="auto"/>
        <w:tabs>
          <w:tab w:leader="none" w:pos="358"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ind w:right="40" w:firstLine="648"/>
        <w:spacing w:after="0" w:line="282"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Use of Estimates</w:t>
      </w:r>
    </w:p>
    <w:p>
      <w:pPr>
        <w:spacing w:after="0" w:line="22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9"/>
          <w:szCs w:val="19"/>
          <w:color w:val="auto"/>
        </w:rPr>
        <w:t>The preparation of consolidated financial statements in conformity with GAAP requires management to make estimates and assumptions that affect the amounts reported in the consolidated financial statements and accompanying notes. Management’s estimates and assumptions are based on historical experience and other factors, and these estimates and assumptions require management to exercise judgment in the process of applying the Company’s accounting policies. Factors that may affect or influence management’s estimates and assumptions could include expectations related to future events that management has deemed reasonable under the circumstances. Assumptions and estimates related to the valuation of investments, which directly affect carried interest allocations, carried interest related compensation, and the carrying amount of the Company’s equity in affiliated companies, involve a higher degree of judgment and complexity, and these assumptions and estimates may significantly affect the consolidated financial statements. Actual results could differ from these estimates and those differences may be material.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140" w:firstLine="648"/>
        <w:spacing w:after="0" w:line="256" w:lineRule="auto"/>
        <w:rPr>
          <w:sz w:val="20"/>
          <w:szCs w:val="20"/>
          <w:color w:val="auto"/>
        </w:rPr>
      </w:pPr>
      <w:r>
        <w:rPr>
          <w:rFonts w:ascii="Arial" w:cs="Arial" w:eastAsia="Arial" w:hAnsi="Arial"/>
          <w:sz w:val="19"/>
          <w:szCs w:val="19"/>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its fee arrangements are considered customary and commensurate and thus not deemed to be variable interests, and it does not hold any other interests in those funds that are considered more than insignificant.</w:t>
      </w:r>
    </w:p>
    <w:p>
      <w:pPr>
        <w:spacing w:after="0" w:line="184"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consolidated balance sheets. The assets of the consolidated VIEs may only be used to settle obligations of the consolidated VIEs. See note 4 for more information on both consolidated and unconsolidated VIEs.</w:t>
      </w:r>
    </w:p>
    <w:p>
      <w:pPr>
        <w:spacing w:after="0" w:line="196" w:lineRule="exact"/>
        <w:rPr>
          <w:sz w:val="20"/>
          <w:szCs w:val="20"/>
          <w:color w:val="auto"/>
        </w:rPr>
      </w:pPr>
    </w:p>
    <w:p>
      <w:pPr>
        <w:ind w:right="120" w:firstLine="648"/>
        <w:spacing w:after="0" w:line="243" w:lineRule="auto"/>
        <w:rPr>
          <w:sz w:val="20"/>
          <w:szCs w:val="20"/>
          <w:color w:val="auto"/>
        </w:rPr>
      </w:pPr>
      <w:r>
        <w:rPr>
          <w:rFonts w:ascii="Arial" w:cs="Arial" w:eastAsia="Arial" w:hAnsi="Arial"/>
          <w:sz w:val="20"/>
          <w:szCs w:val="20"/>
          <w:color w:val="auto"/>
        </w:rPr>
        <w:t>In connection with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consolidated balance sheets to clearly distinguish between the Company’s interests and the economic interests of third parties and employees in those entities. Net income (loss) attributable to SSG, as reported in the consolidated statements of income, is presented net of the portion of net income (loss) attributable to holders of non-controlling interests. See note 14 for more information on ownership interests in the Company.</w:t>
      </w:r>
    </w:p>
    <w:p>
      <w:pPr>
        <w:spacing w:after="0" w:line="178"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1"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legacy Greenspring entities </w:t>
      </w:r>
      <w:r>
        <w:rPr>
          <w:rFonts w:ascii="Arial" w:cs="Arial" w:eastAsia="Arial" w:hAnsi="Arial"/>
          <w:sz w:val="20"/>
          <w:szCs w:val="20"/>
          <w:color w:val="auto"/>
        </w:rPr>
        <w:t>represent the economic interests in the legacy Greenspring general partner</w:t>
      </w:r>
      <w:r>
        <w:rPr>
          <w:rFonts w:ascii="Arial" w:cs="Arial" w:eastAsia="Arial" w:hAnsi="Arial"/>
          <w:sz w:val="20"/>
          <w:szCs w:val="20"/>
          <w:i w:val="1"/>
          <w:iCs w:val="1"/>
          <w:color w:val="auto"/>
        </w:rPr>
        <w:t xml:space="preserve"> </w:t>
      </w:r>
      <w:r>
        <w:rPr>
          <w:rFonts w:ascii="Arial" w:cs="Arial" w:eastAsia="Arial" w:hAnsi="Arial"/>
          <w:sz w:val="20"/>
          <w:szCs w:val="20"/>
          <w:color w:val="auto"/>
        </w:rPr>
        <w:t>entities. The Company did not acquire any direct economic interests in the legacy Greenspring general partner entities. As a result, all of the net income or loss related to the legacy Greenspring general partner entities is allocated to non-controlling interests in legacy Greenspring entities.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440" w:firstLine="648"/>
        <w:spacing w:after="0" w:line="244"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and Class C units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 Prior to the Reorganization and IPO, all of the Company’s net income related to the Partnership and therefore has been presented as non-controlling interests in the Partnership.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16"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To the extent that management becomes aware of any material events that affect the StepStone Funds during the three-month lag period, the effect of the events would be disclosed in the notes to the consolidated financial statements.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Current Events</w:t>
      </w:r>
    </w:p>
    <w:p>
      <w:pPr>
        <w:spacing w:after="0" w:line="22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9"/>
          <w:szCs w:val="19"/>
          <w:color w:val="auto"/>
        </w:rPr>
        <w:t>The Company is continuing to closely monitor developments related to COVID-19, inflation, rising interest rates and the ongoing Russia-Ukraine conflict, and assess the impact on financial markets and the Company’s business. The Company’s future results may be adversely affected by slowdowns in fundraising activity and the pace of capital deployment, which could result in delayed or decreased management fees. Further, if fund managers are unable or less able to profitably exit existing investments, such conditions could result in delayed or decreased performance fee revenues. It is currently not possible to predict the ultimate effects of these events on the financial markets, overall economy and the Company’s consolidated financial statements.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Cash Equivalents and Restricted Cash</w:t>
      </w:r>
    </w:p>
    <w:p>
      <w:pPr>
        <w:spacing w:after="0" w:line="222"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Cash and cash equivalents include cash held in banks, money market funds and highly-liquid investments with original maturities of three months or less at the time of purchase.</w:t>
      </w:r>
    </w:p>
    <w:p>
      <w:pPr>
        <w:spacing w:after="0" w:line="177"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Fees and Accounts Receivable</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Fees and accounts receivable represent contractual amounts due to the Company for management, advisory and incentive fees, net of allowances as applicable. The Company considers fees and accounts receivable to be fully collectible. Accordingly, no allowance for doubtful accounts has been established as of March 31, 2022 and 2021. If any accounts or portion thereof are deemed uncollectible, such amounts are expensed when that determination is made.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Due from Affiliates</w:t>
      </w:r>
    </w:p>
    <w:p>
      <w:pPr>
        <w:spacing w:after="0" w:line="222" w:lineRule="exact"/>
        <w:rPr>
          <w:sz w:val="20"/>
          <w:szCs w:val="20"/>
          <w:color w:val="auto"/>
        </w:rPr>
      </w:pPr>
    </w:p>
    <w:p>
      <w:pPr>
        <w:ind w:right="520" w:firstLine="648"/>
        <w:spacing w:after="0" w:line="291" w:lineRule="auto"/>
        <w:rPr>
          <w:sz w:val="20"/>
          <w:szCs w:val="20"/>
          <w:color w:val="auto"/>
        </w:rPr>
      </w:pPr>
      <w:r>
        <w:rPr>
          <w:rFonts w:ascii="Arial" w:cs="Arial" w:eastAsia="Arial" w:hAnsi="Arial"/>
          <w:sz w:val="18"/>
          <w:szCs w:val="18"/>
          <w:color w:val="auto"/>
        </w:rPr>
        <w:t>Due from affiliates primarily relates to fees and accounts receivable from the StepStone Funds, advances made on behalf of the StepStone Funds for the payment of certain organization and operating costs and expenses for which the Company is subsequently reimbursed, and amounts due from employees. See note 13 for further disclosure of related party transactions.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76"/>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91" w:lineRule="exact"/>
        <w:rPr>
          <w:rFonts w:ascii="Arial" w:cs="Arial" w:eastAsia="Arial" w:hAnsi="Arial"/>
          <w:sz w:val="20"/>
          <w:szCs w:val="20"/>
          <w:color w:val="auto"/>
        </w:rPr>
      </w:pPr>
    </w:p>
    <w:p>
      <w:pPr>
        <w:ind w:left="660" w:right="380" w:hanging="328"/>
        <w:spacing w:after="0" w:line="250" w:lineRule="auto"/>
        <w:tabs>
          <w:tab w:leader="none" w:pos="648" w:val="left"/>
        </w:tabs>
        <w:numPr>
          <w:ilvl w:val="0"/>
          <w:numId w:val="76"/>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61"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The Company considers its cash, cash equivalents, restricted cash, fees and accounts receivable, accounts payable, investments, revolving credit facility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notes 6 and 9 for additional details regarding the fair value of the Company’s contingent consideration and revolving credit facility balances,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On April 1, 2021, the Company adopted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on a prospective basis.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 a result, prior period amounts were not adjusted to reflect the impact of the standard.</w:t>
      </w:r>
    </w:p>
    <w:p>
      <w:pPr>
        <w:spacing w:after="0" w:line="200"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The standard established a right-of-use (“ROU”) model that requires a lessee to record a ROU asset and a lease liability on the consolidated balance sheets for all leases with terms longer than 12 months. Under the previous guidance, operating leases were not recognized by the Company in the consolidated balance sheets as a lessee. The guidance did not significantly change the recognition, measurement and presentation of expenses in the consolidated statements of income or cash flows arising from a lease by a lessee. The adoption of this standard did not have a material impact on the consolidated statements of income as substantially all of the Company’s leases remained classified as operating leases and recognized as expense on a straight-line basis. However, the adoption resulted in a significant gross-up in total assets and total liabilities on the Company’s consolidated balance sheets. The Company recognized right-of-use assets of approximately $66.7 million and liabilities of approximately $76.9 million related to its operating leases which represented the aggregate discounted amount of the Company’s minimum lease obligations as of the adoption date.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consolidated balance sheets. Certain leases include lease and non-lease components, which the Company accounts for as a single lease component. Lease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174" w:lineRule="exact"/>
        <w:rPr>
          <w:sz w:val="20"/>
          <w:szCs w:val="20"/>
          <w:color w:val="auto"/>
        </w:rPr>
      </w:pPr>
    </w:p>
    <w:p>
      <w:pPr>
        <w:ind w:right="60" w:firstLine="648"/>
        <w:spacing w:after="0" w:line="269" w:lineRule="auto"/>
        <w:rPr>
          <w:sz w:val="20"/>
          <w:szCs w:val="20"/>
          <w:color w:val="auto"/>
        </w:rPr>
      </w:pPr>
      <w:r>
        <w:rPr>
          <w:rFonts w:ascii="Arial" w:cs="Arial" w:eastAsia="Arial" w:hAnsi="Arial"/>
          <w:sz w:val="19"/>
          <w:szCs w:val="19"/>
          <w:color w:val="auto"/>
        </w:rPr>
        <w:t>Operating lease expense associated with minimum lease payments is recognized on a straight-line basis over the lease term in general, administrative and other expenses in the consolidated statements of income. Minimum lease payments for leases with an initial term of 12 months or less are not recorded in the consolidated balance sheets. See note 16 for more information.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Property and Equipment</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Property and equipment primarily consist of leasehold improvements, furniture, equipment, computer hardware and software and are stated at cost, less accumulated depreciation and amortization, with the net carrying amount included in other assets and receivables in the consolidated balance sheets. Property and equipment are depreciated over their estimated useful lives using the straight-line method, and the corresponding depreciation expense is included in general, administrative and other expenses in the consolidated statements of income. Property and equipment are depreciated over a period of five to seven years. Leasehold improvements are amortized over the shorter of their useful lives or remaining lease terms.</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Property and equipment are reviewed for impairment whenever events or changes in circumstances indicate that the carrying amount of an asset or asset group may not be recoverable. The Company did not recognize any impairment charges related to property and equipment during each of the fiscal years ended March 31, 2022, 2021 and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Foreign Currency</w:t>
      </w:r>
    </w:p>
    <w:p>
      <w:pPr>
        <w:spacing w:after="0" w:line="222" w:lineRule="exact"/>
        <w:rPr>
          <w:sz w:val="20"/>
          <w:szCs w:val="20"/>
          <w:color w:val="auto"/>
        </w:rPr>
      </w:pPr>
    </w:p>
    <w:p>
      <w:pPr>
        <w:ind w:right="100" w:firstLine="648"/>
        <w:spacing w:after="0" w:line="274" w:lineRule="auto"/>
        <w:rPr>
          <w:sz w:val="20"/>
          <w:szCs w:val="20"/>
          <w:color w:val="auto"/>
        </w:rPr>
      </w:pPr>
      <w:r>
        <w:rPr>
          <w:rFonts w:ascii="Arial" w:cs="Arial" w:eastAsia="Arial" w:hAnsi="Arial"/>
          <w:sz w:val="18"/>
          <w:szCs w:val="18"/>
          <w:color w:val="auto"/>
        </w:rPr>
        <w:t>The Company consolidates certain entities that have a non-U.S. dollar functional currency. Non-U.S. dollar denominated assets and liabilities are translated using the exchange rates prevailing at the end of each reporting period and income and expenses are translated using the weighted-average exchange rate for each reporting period. Cumulative translation adjustments arising from the translation of non-U.S. dollar denominated entities are included in other comprehensive income (loss) within the consolidated financial statements until realized. Gains and losses resulting from foreign-currency transactions denominated in a currency other than an entity’s functional currency are reported in other income (loss) in the consolidated statements of income. These transaction gains and (losses) totaled $(1.1) million, $0.6 million and $(1.0) million for the years ended March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Business Combinations</w:t>
      </w:r>
    </w:p>
    <w:p>
      <w:pPr>
        <w:spacing w:after="0" w:line="222"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Examples of critical estimates in valuing certain of the intangible assets acquired include, but are not limited to, future expected cash inflows and outflows, future fundraising assumptions, expected useful life, discount rates and income tax rates. Acquisition-related costs incurred in connection with a business combination are expensed as incurred and are included in general, administrative and other expenses in the consolidated statements of income.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Intangibles and Goodwill</w:t>
      </w:r>
    </w:p>
    <w:p>
      <w:pPr>
        <w:spacing w:after="0" w:line="222"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March 31, 2022.</w:t>
      </w:r>
    </w:p>
    <w:p>
      <w:pPr>
        <w:spacing w:after="0" w:line="170"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years ended March 31, 2022, 2021 and 2020.</w:t>
      </w:r>
    </w:p>
    <w:p>
      <w:pPr>
        <w:spacing w:after="0" w:line="186"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 The Company performed annual goodwill impairment assessments as of January 1, 2022 and 2021 and determined that there was no impairment of goodwill as of either date.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firstLine="648"/>
        <w:spacing w:after="0" w:line="328" w:lineRule="auto"/>
        <w:rPr>
          <w:sz w:val="20"/>
          <w:szCs w:val="20"/>
          <w:color w:val="auto"/>
        </w:rPr>
      </w:pPr>
      <w:r>
        <w:rPr>
          <w:rFonts w:ascii="Arial" w:cs="Arial" w:eastAsia="Arial" w:hAnsi="Arial"/>
          <w:sz w:val="16"/>
          <w:szCs w:val="16"/>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28"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3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3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93" w:lineRule="exact"/>
        <w:rPr>
          <w:sz w:val="20"/>
          <w:szCs w:val="20"/>
          <w:color w:val="auto"/>
        </w:rPr>
      </w:pPr>
    </w:p>
    <w:p>
      <w:pPr>
        <w:ind w:right="20"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i w:val="1"/>
          <w:iCs w:val="1"/>
          <w:color w:val="auto"/>
        </w:rPr>
        <w:t xml:space="preserve">Legacy Greenspring carried interest allocations </w:t>
      </w:r>
      <w:r>
        <w:rPr>
          <w:rFonts w:ascii="Arial" w:cs="Arial" w:eastAsia="Arial" w:hAnsi="Arial"/>
          <w:sz w:val="18"/>
          <w:szCs w:val="18"/>
          <w:color w:val="auto"/>
        </w:rPr>
        <w:t>reflect the allocation of carried interest to legacy Greenspring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because it is presumed to have significant influence as the general partner or managing member. Accordingly, legacy Greenspring carried interest allocations are not deemed to be within the scope of ASC 606. The Company does not hold any direct economic 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consolidated statements of income.</w:t>
      </w:r>
    </w:p>
    <w:p>
      <w:pPr>
        <w:spacing w:after="0" w:line="174"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0" w:lineRule="exact"/>
        <w:rPr>
          <w:sz w:val="20"/>
          <w:szCs w:val="20"/>
          <w:color w:val="auto"/>
        </w:rPr>
      </w:pPr>
    </w:p>
    <w:p>
      <w:pPr>
        <w:ind w:firstLine="648"/>
        <w:spacing w:after="0" w:line="316" w:lineRule="auto"/>
        <w:rPr>
          <w:sz w:val="20"/>
          <w:szCs w:val="20"/>
          <w:color w:val="auto"/>
        </w:rPr>
      </w:pPr>
      <w:r>
        <w:rPr>
          <w:rFonts w:ascii="Arial" w:cs="Arial" w:eastAsia="Arial" w:hAnsi="Arial"/>
          <w:sz w:val="16"/>
          <w:szCs w:val="16"/>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2022 and 2021, no material amounts for potential clawback obligations had been accrued.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Compensation and Benefits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Cash-based compensation </w:t>
      </w:r>
      <w:r>
        <w:rPr>
          <w:rFonts w:ascii="Arial" w:cs="Arial" w:eastAsia="Arial" w:hAnsi="Arial"/>
          <w:sz w:val="18"/>
          <w:szCs w:val="18"/>
          <w:color w:val="auto"/>
        </w:rPr>
        <w:t>expense primarily includes salaries, bonuses, employee benefits and employer-related payroll taxes.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Bonuses are accrued over the service period in which they are earned.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equity-based awards or arrangements to certain employees and directors.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consolidated statements of income. The fair value of RSUs is determined by the closing stock price on the grant date. Forfeitures of equity-based awards are recognized as they occur. See note 10 for additional information regarding the Company’s accounting for equity-based awards.</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awarded to employees as a form of long-term incentive compensation. Performance fee-related compensation is generally tied to the investment performance of the StepStone Funds. </w:t>
      </w:r>
      <w:r>
        <w:rPr>
          <w:rFonts w:ascii="Arial" w:cs="Arial" w:eastAsia="Arial" w:hAnsi="Arial"/>
          <w:sz w:val="18"/>
          <w:szCs w:val="18"/>
          <w:color w:val="231F20"/>
        </w:rPr>
        <w:t>Approximately 50% of carried interest allocation revenue is awarded to employees as part</w:t>
      </w:r>
      <w:r>
        <w:rPr>
          <w:rFonts w:ascii="Arial" w:cs="Arial" w:eastAsia="Arial" w:hAnsi="Arial"/>
          <w:sz w:val="18"/>
          <w:szCs w:val="18"/>
          <w:color w:val="auto"/>
        </w:rPr>
        <w:t xml:space="preserve"> </w:t>
      </w:r>
      <w:r>
        <w:rPr>
          <w:rFonts w:ascii="Arial" w:cs="Arial" w:eastAsia="Arial" w:hAnsi="Arial"/>
          <w:sz w:val="18"/>
          <w:szCs w:val="18"/>
          <w:color w:val="231F20"/>
        </w:rPr>
        <w:t xml:space="preserve">of the Company’s long-term incentive compensation plan. Carried interest-related compensation is accounted for as compensation expense in conjunction with the related carried interest allocation revenue and, until paid, is recorded as a component of accrued carried interest-related compensation in the consolidated balance sheets. Carried interest-related compensation expense also includes the portion of net carried interest allocation revenue attributable to equity holders of the Company’s consolidated subsidiaries that are not 100% owned.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w:t>
      </w:r>
      <w:r>
        <w:rPr>
          <w:rFonts w:ascii="Arial" w:cs="Arial" w:eastAsia="Arial" w:hAnsi="Arial"/>
          <w:sz w:val="18"/>
          <w:szCs w:val="18"/>
          <w:color w:val="000000"/>
        </w:rPr>
        <w:t>in accordance</w:t>
      </w:r>
      <w:r>
        <w:rPr>
          <w:rFonts w:ascii="Arial" w:cs="Arial" w:eastAsia="Arial" w:hAnsi="Arial"/>
          <w:sz w:val="18"/>
          <w:szCs w:val="18"/>
          <w:color w:val="231F20"/>
        </w:rPr>
        <w:t xml:space="preserve"> </w:t>
      </w:r>
      <w:r>
        <w:rPr>
          <w:rFonts w:ascii="Arial" w:cs="Arial" w:eastAsia="Arial" w:hAnsi="Arial"/>
          <w:sz w:val="18"/>
          <w:szCs w:val="18"/>
          <w:color w:val="000000"/>
        </w:rPr>
        <w:t>with the applicable governing agreement.</w:t>
      </w:r>
    </w:p>
    <w:p>
      <w:pPr>
        <w:spacing w:after="0" w:line="172"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i w:val="1"/>
          <w:iCs w:val="1"/>
          <w:color w:val="auto"/>
        </w:rPr>
        <w:t xml:space="preserve">Legacy Greenspring performance fee-related compensation </w:t>
      </w:r>
      <w:r>
        <w:rPr>
          <w:rFonts w:ascii="Arial" w:cs="Arial" w:eastAsia="Arial" w:hAnsi="Arial"/>
          <w:sz w:val="18"/>
          <w:szCs w:val="18"/>
          <w:color w:val="auto"/>
        </w:rPr>
        <w:t>represents the legacy Greenspring carried interest allocations,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entirely payable to certain employees. Legacy Greenspring </w:t>
      </w:r>
      <w:r>
        <w:rPr>
          <w:rFonts w:ascii="Arial" w:cs="Arial" w:eastAsia="Arial" w:hAnsi="Arial"/>
          <w:sz w:val="18"/>
          <w:szCs w:val="18"/>
          <w:color w:val="231F20"/>
        </w:rPr>
        <w:t>carried interest-related compensation is accounted for as compensation expense in</w:t>
      </w:r>
      <w:r>
        <w:rPr>
          <w:rFonts w:ascii="Arial" w:cs="Arial" w:eastAsia="Arial" w:hAnsi="Arial"/>
          <w:sz w:val="18"/>
          <w:szCs w:val="18"/>
          <w:color w:val="auto"/>
        </w:rPr>
        <w:t xml:space="preserve"> </w:t>
      </w:r>
      <w:r>
        <w:rPr>
          <w:rFonts w:ascii="Arial" w:cs="Arial" w:eastAsia="Arial" w:hAnsi="Arial"/>
          <w:sz w:val="18"/>
          <w:szCs w:val="18"/>
          <w:color w:val="231F20"/>
        </w:rPr>
        <w:t>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General, Administrative and Other</w:t>
      </w:r>
    </w:p>
    <w:p>
      <w:pPr>
        <w:spacing w:after="0" w:line="222" w:lineRule="exact"/>
        <w:rPr>
          <w:sz w:val="20"/>
          <w:szCs w:val="20"/>
          <w:color w:val="auto"/>
        </w:rPr>
      </w:pPr>
    </w:p>
    <w:p>
      <w:pPr>
        <w:ind w:right="680" w:firstLine="648"/>
        <w:spacing w:after="0" w:line="250" w:lineRule="auto"/>
        <w:rPr>
          <w:sz w:val="20"/>
          <w:szCs w:val="20"/>
          <w:color w:val="auto"/>
        </w:rPr>
      </w:pPr>
      <w:r>
        <w:rPr>
          <w:rFonts w:ascii="Arial" w:cs="Arial" w:eastAsia="Arial" w:hAnsi="Arial"/>
          <w:sz w:val="20"/>
          <w:szCs w:val="20"/>
          <w:i w:val="1"/>
          <w:iCs w:val="1"/>
          <w:color w:val="auto"/>
        </w:rPr>
        <w:t xml:space="preserve">General, administrative and other </w:t>
      </w:r>
      <w:r>
        <w:rPr>
          <w:rFonts w:ascii="Arial" w:cs="Arial" w:eastAsia="Arial" w:hAnsi="Arial"/>
          <w:sz w:val="20"/>
          <w:szCs w:val="20"/>
          <w:color w:val="auto"/>
        </w:rPr>
        <w:t>includes occupancy, travel and related costs, insurance, legal and other professional fees,</w:t>
      </w:r>
      <w:r>
        <w:rPr>
          <w:rFonts w:ascii="Arial" w:cs="Arial" w:eastAsia="Arial" w:hAnsi="Arial"/>
          <w:sz w:val="20"/>
          <w:szCs w:val="20"/>
          <w:i w:val="1"/>
          <w:iCs w:val="1"/>
          <w:color w:val="auto"/>
        </w:rPr>
        <w:t xml:space="preserve"> </w:t>
      </w:r>
      <w:r>
        <w:rPr>
          <w:rFonts w:ascii="Arial" w:cs="Arial" w:eastAsia="Arial" w:hAnsi="Arial"/>
          <w:sz w:val="20"/>
          <w:szCs w:val="20"/>
          <w:color w:val="auto"/>
        </w:rPr>
        <w:t>depreciation, amortization of intangible assets, system-related costs, and other general costs associated with operating the Company’s business.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primarily represents the share of earnings from the investments the Company makes in its SMAs and focused</w:t>
      </w:r>
      <w:r>
        <w:rPr>
          <w:rFonts w:ascii="Arial" w:cs="Arial" w:eastAsia="Arial" w:hAnsi="Arial"/>
          <w:sz w:val="18"/>
          <w:szCs w:val="18"/>
          <w:i w:val="1"/>
          <w:iCs w:val="1"/>
          <w:color w:val="auto"/>
        </w:rPr>
        <w:t xml:space="preserve"> </w:t>
      </w:r>
      <w:r>
        <w:rPr>
          <w:rFonts w:ascii="Arial" w:cs="Arial" w:eastAsia="Arial" w:hAnsi="Arial"/>
          <w:sz w:val="18"/>
          <w:szCs w:val="18"/>
          <w:color w:val="auto"/>
        </w:rPr>
        <w:t>commingled funds. The Company, either directly or through its subsidiaries, generally has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The Company’s co-investment funds invest in underlying portfolio companies and therefore their valuation changes from period to period are more influenced by individual companies than the Company’s primary and secondary funds, which have exposures across multiple portfolio companies in underlying private markets funds. The Company’s SMAs and focused commingled funds invest across various industries, strategies and geographies. Consequently, the Company’s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174"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i w:val="1"/>
          <w:iCs w:val="1"/>
          <w:color w:val="231F20"/>
        </w:rPr>
        <w:t xml:space="preserve">Legacy Greenspring investment income </w:t>
      </w:r>
      <w:r>
        <w:rPr>
          <w:rFonts w:ascii="Arial" w:cs="Arial" w:eastAsia="Arial" w:hAnsi="Arial"/>
          <w:sz w:val="18"/>
          <w:szCs w:val="18"/>
          <w:color w:val="231F20"/>
        </w:rPr>
        <w:t>represents the share of earnings from the investments the Company makes in certain legacy</w:t>
      </w:r>
      <w:r>
        <w:rPr>
          <w:rFonts w:ascii="Arial" w:cs="Arial" w:eastAsia="Arial" w:hAnsi="Arial"/>
          <w:sz w:val="18"/>
          <w:szCs w:val="18"/>
          <w:i w:val="1"/>
          <w:iCs w:val="1"/>
          <w:color w:val="231F20"/>
        </w:rPr>
        <w:t xml:space="preserve"> </w:t>
      </w:r>
      <w:r>
        <w:rPr>
          <w:rFonts w:ascii="Arial" w:cs="Arial" w:eastAsia="Arial" w:hAnsi="Arial"/>
          <w:sz w:val="18"/>
          <w:szCs w:val="18"/>
          <w:color w:val="231F20"/>
        </w:rPr>
        <w:t>Greenspring funds through the legacy Greenspring general partner entities. The Company has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cash equivalents, restricted cash and certificates of deposit.</w:t>
      </w:r>
    </w:p>
    <w:p>
      <w:pPr>
        <w:spacing w:after="0" w:line="216"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i w:val="1"/>
          <w:iCs w:val="1"/>
          <w:color w:val="auto"/>
        </w:rPr>
        <w:t xml:space="preserve">Interest expense </w:t>
      </w:r>
      <w:r>
        <w:rPr>
          <w:rFonts w:ascii="Arial" w:cs="Arial" w:eastAsia="Arial" w:hAnsi="Arial"/>
          <w:sz w:val="20"/>
          <w:szCs w:val="20"/>
          <w:color w:val="auto"/>
        </w:rPr>
        <w:t>primarily consists of the interest expense on the Revolver and the Company’s previously outstanding term loan, as</w:t>
      </w:r>
      <w:r>
        <w:rPr>
          <w:rFonts w:ascii="Arial" w:cs="Arial" w:eastAsia="Arial" w:hAnsi="Arial"/>
          <w:sz w:val="20"/>
          <w:szCs w:val="20"/>
          <w:i w:val="1"/>
          <w:iCs w:val="1"/>
          <w:color w:val="auto"/>
        </w:rPr>
        <w:t xml:space="preserve"> </w:t>
      </w:r>
      <w:r>
        <w:rPr>
          <w:rFonts w:ascii="Arial" w:cs="Arial" w:eastAsia="Arial" w:hAnsi="Arial"/>
          <w:sz w:val="20"/>
          <w:szCs w:val="20"/>
          <w:color w:val="auto"/>
        </w:rPr>
        <w:t>well as the related amortization of deferred financing costs and amortization of original issue discount. The year ended March 31, 2021 includes a $3.5 million charge related to the write-off of unamortized debt issuance costs and discount in connection with the full repayment of the Company’s outstanding term loan in connection with the IPO in September 2020.</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transaction gains and losses and non-operating activities.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As a result, the Partnership does not record U.S. federal and state income taxes on income in the Partnership or its subsidiaries, except for certain local and foreign income taxes discussed above.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firstLine="648"/>
        <w:spacing w:after="0" w:line="316" w:lineRule="auto"/>
        <w:rPr>
          <w:sz w:val="20"/>
          <w:szCs w:val="20"/>
          <w:color w:val="auto"/>
        </w:rPr>
      </w:pPr>
      <w:r>
        <w:rPr>
          <w:rFonts w:ascii="Arial" w:cs="Arial" w:eastAsia="Arial" w:hAnsi="Arial"/>
          <w:sz w:val="16"/>
          <w:szCs w:val="16"/>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consolidated balance sheets. The principal items giving rise to temporary differences are certain basis differences resulting from exchanges of Partnership units. See Tax Receivable Agreements below.</w:t>
      </w:r>
    </w:p>
    <w:p>
      <w:pPr>
        <w:spacing w:after="0" w:line="140"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9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 xml:space="preserve">The Company is subject to the provisions of ASC Subtopic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respectively, in the consolidated statements of income. See note 11 for more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SSG has entered into an Exchanges Tax Receivable Agreement (the “Exchanges Tax Receivable Agreement”) with the partners of the Partnership as of the date of the IPO and a Reorganization Tax Receivable Agreement with certain pre-IPO institutional investors (together, with the Exchanges Tax Receivable Agreement,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notes 14 and 15 for more information.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As of March 31,</w:t>
            </w:r>
          </w:p>
        </w:tc>
        <w:tc>
          <w:tcPr>
            <w:tcW w:w="1020" w:type="dxa"/>
            <w:vAlign w:val="bottom"/>
            <w:tcBorders>
              <w:bottom w:val="single" w:sz="8" w:color="auto"/>
            </w:tcBorders>
          </w:tcPr>
          <w:p>
            <w:pPr>
              <w:spacing w:after="0"/>
              <w:rPr>
                <w:sz w:val="18"/>
                <w:szCs w:val="18"/>
                <w:color w:val="auto"/>
              </w:rPr>
            </w:pPr>
          </w:p>
        </w:tc>
      </w:tr>
      <w:tr>
        <w:trPr>
          <w:trHeight w:val="210"/>
        </w:trPr>
        <w:tc>
          <w:tcPr>
            <w:tcW w:w="70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r>
      <w:tr>
        <w:trPr>
          <w:trHeight w:val="226"/>
        </w:trPr>
        <w:tc>
          <w:tcPr>
            <w:tcW w:w="7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adjustments</w:t>
            </w:r>
          </w:p>
        </w:tc>
        <w:tc>
          <w:tcPr>
            <w:tcW w:w="160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208</w:t>
            </w:r>
          </w:p>
        </w:tc>
      </w:tr>
      <w:tr>
        <w:trPr>
          <w:trHeight w:val="229"/>
        </w:trPr>
        <w:tc>
          <w:tcPr>
            <w:tcW w:w="70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Unrealized gain (loss) on defined benefit plan, net</w:t>
            </w:r>
          </w:p>
        </w:tc>
        <w:tc>
          <w:tcPr>
            <w:tcW w:w="1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3"/>
              </w:rPr>
              <w:t>(53)</w:t>
            </w:r>
          </w:p>
        </w:tc>
      </w:tr>
      <w:tr>
        <w:trPr>
          <w:trHeight w:val="248"/>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60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155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The Company operates as one business, a fully-integrated private markets solution provider. The Company’s chief operating decision maker, which consists of the Company’s co-chief executive officers together, through December 31, 2021, and the chief executive officer beginning January 1, 2022,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Concentrations of Risk</w:t>
      </w:r>
    </w:p>
    <w:p>
      <w:pPr>
        <w:spacing w:after="0" w:line="22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Financial instruments that potentially subject the Company to concentrations of credit risk or other risks consist principally of cash, cash equivalents, restricted cash, investments and fees receivable. The majority of the Company’s cash, cash equivalents and restricted cash is held in large, high credit quality financial institutions. Substantially all cash amounts on deposit with these large financial institutions exceed federally insured limits; however, based upon an assessment of the financial condition and the reputations of these financial institutions, management believes that the Company’s exposure to credit risk is remote. The concentration of credit risk related to fees receivable is generally reduced by the relatively short payment terms extended to the Company’s clients.</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9"/>
          <w:szCs w:val="19"/>
          <w:color w:val="auto"/>
        </w:rPr>
        <w:t>Amounts due to the Company in the form of carried interest allocations, which are reported as a component of investments in the consolidated balance sheets, remain subject to investment performance risk. In certain cases, carried interest allocations that have been distributed to the Company may remain subject to clawback, pursuant to the terms of the governing documents of the related funds. Refer to the discussion of carried interest above in this note 2 for additional details regarding the investment performance and clawback risk associated with carried interest allocations that have been recognized in income by the Company and/or recorded as accrued carried interest allocations in the consolidated balance sheets.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22"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The Company considers the applicability and impact of all ASU updates issued by the Financial Accounting Standards Board (“FASB”). ASUs issued during the current period not listed below were assessed and determined to either be not applicable to the Company, or not expected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 xml:space="preserve">In December 2019, the FASB issued ASU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which modifies ASC 740 to simplify the accounting for income taxes. The guidance, among other changes, (i) provides a policy election to not allocate consolidated income taxes when a member of a consolidated tax return is not subject to income tax and (ii) provides guidance to evaluate whether a step-up in tax basis of goodwill relates to a business combination in which book goodwill was recognized or a separate transaction. This guidance is effective for annual and interim periods beginning after December 15, 2020, with early adoption permitted. The Company adopted this guidance on April 1, 2021. Adoption of this guidance did not have a material effect on the consolidated financial statements.</w:t>
      </w:r>
    </w:p>
    <w:p>
      <w:pPr>
        <w:spacing w:after="0" w:line="193" w:lineRule="exact"/>
        <w:rPr>
          <w:sz w:val="20"/>
          <w:szCs w:val="20"/>
          <w:color w:val="auto"/>
        </w:rPr>
      </w:pPr>
    </w:p>
    <w:p>
      <w:pPr>
        <w:ind w:right="300" w:firstLine="648"/>
        <w:spacing w:after="0" w:line="274" w:lineRule="auto"/>
        <w:rPr>
          <w:sz w:val="20"/>
          <w:szCs w:val="20"/>
          <w:color w:val="auto"/>
        </w:rPr>
      </w:pPr>
      <w:r>
        <w:rPr>
          <w:rFonts w:ascii="Arial" w:cs="Arial" w:eastAsia="Arial" w:hAnsi="Arial"/>
          <w:sz w:val="18"/>
          <w:szCs w:val="18"/>
          <w:color w:val="auto"/>
        </w:rPr>
        <w:t xml:space="preserve">In July 2021, the FASB issued ASU 2021-05, </w:t>
      </w:r>
      <w:r>
        <w:rPr>
          <w:rFonts w:ascii="Arial" w:cs="Arial" w:eastAsia="Arial" w:hAnsi="Arial"/>
          <w:sz w:val="18"/>
          <w:szCs w:val="18"/>
          <w:i w:val="1"/>
          <w:iCs w:val="1"/>
          <w:color w:val="auto"/>
        </w:rPr>
        <w:t>Leases (Topic 842): Lessors—Certain Leases with Variable Lease Payments</w:t>
      </w:r>
      <w:r>
        <w:rPr>
          <w:rFonts w:ascii="Arial" w:cs="Arial" w:eastAsia="Arial" w:hAnsi="Arial"/>
          <w:sz w:val="18"/>
          <w:szCs w:val="18"/>
          <w:color w:val="auto"/>
        </w:rPr>
        <w:t>, which modifies ASC 842 to amend the lease classification requirements for lessors to align with practice under ASC Topic 840. Lessors should classify and account for a lease with variable lease payments that do not depend on a reference index or a rate as an operating lease if the lease would have been classified as a sales-type lease or a direct financing lease under ASC 842, and the lessor would have otherwise recognized a day-one loss on the investment in the lease. This guidance is effective for annual periods beginning after December 15, 2021 and interim periods within those annual periods. The Company plans to adopt this guidance on April 1, 2022, and does not expect the adoption of this guidance to have a material effect on the consolidated financial statements.</w:t>
      </w:r>
    </w:p>
    <w:p>
      <w:pPr>
        <w:spacing w:after="0" w:line="168" w:lineRule="exact"/>
        <w:rPr>
          <w:sz w:val="20"/>
          <w:szCs w:val="20"/>
          <w:color w:val="auto"/>
        </w:rPr>
      </w:pPr>
    </w:p>
    <w:p>
      <w:pPr>
        <w:ind w:right="240" w:firstLine="648"/>
        <w:spacing w:after="0" w:line="273" w:lineRule="auto"/>
        <w:rPr>
          <w:sz w:val="20"/>
          <w:szCs w:val="20"/>
          <w:color w:val="auto"/>
        </w:rPr>
      </w:pPr>
      <w:r>
        <w:rPr>
          <w:rFonts w:ascii="Arial" w:cs="Arial" w:eastAsia="Arial" w:hAnsi="Arial"/>
          <w:sz w:val="18"/>
          <w:szCs w:val="18"/>
          <w:color w:val="auto"/>
        </w:rPr>
        <w:t xml:space="preserve">In November 2021, the FASB issued ASU 2021-08, </w:t>
      </w:r>
      <w:r>
        <w:rPr>
          <w:rFonts w:ascii="Arial" w:cs="Arial" w:eastAsia="Arial" w:hAnsi="Arial"/>
          <w:sz w:val="18"/>
          <w:szCs w:val="18"/>
          <w:i w:val="1"/>
          <w:iCs w:val="1"/>
          <w:color w:val="auto"/>
        </w:rPr>
        <w:t>Business Combinations (Topic 805): Accounting for Contract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 Liabilities from Contracts with Customers</w:t>
      </w:r>
      <w:r>
        <w:rPr>
          <w:rFonts w:ascii="Arial" w:cs="Arial" w:eastAsia="Arial" w:hAnsi="Arial"/>
          <w:sz w:val="18"/>
          <w:szCs w:val="18"/>
          <w:color w:val="auto"/>
        </w:rPr>
        <w:t>, which modifies ASC 805 to require an acquiring entity in a business combination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and measure contract assets and contract liabilities acquired in a business combination in accordance with Topic 606. At the acquisition date, an acquirer should account for the related revenue contracts in accordance with Topic 606 as if it had originated the contracts. Under current GAAP, an acquirer generally recognizes such items at fair value on the acquisition date. This guidance is effective for annual and interim periods beginning after December 15, 2022, with early adoption permitted. The Company adopted this guidance on April 1, 2022, and will apply the guidance prospectively to business combinations that occur after this date. The Company does not expect the adoption of this guidance to have a material effect on the consolidated financial statements.</w:t>
      </w:r>
    </w:p>
    <w:p>
      <w:pPr>
        <w:spacing w:after="0" w:line="16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center"/>
              <w:ind w:left="411"/>
              <w:spacing w:after="0"/>
              <w:rPr>
                <w:sz w:val="20"/>
                <w:szCs w:val="20"/>
                <w:color w:val="auto"/>
              </w:rPr>
            </w:pPr>
            <w:r>
              <w:rPr>
                <w:rFonts w:ascii="Arial" w:cs="Arial" w:eastAsia="Arial" w:hAnsi="Arial"/>
                <w:sz w:val="16"/>
                <w:szCs w:val="16"/>
                <w:b w:val="1"/>
                <w:bCs w:val="1"/>
                <w:color w:val="auto"/>
                <w:w w:val="93"/>
              </w:rPr>
              <w:t>Year Ended March 31,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5"/>
        </w:trPr>
        <w:tc>
          <w:tcPr>
            <w:tcW w:w="47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Management and Advisory Fees, Net</w:t>
            </w:r>
          </w:p>
        </w:tc>
        <w:tc>
          <w:tcPr>
            <w:tcW w:w="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45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3"/>
        </w:trPr>
        <w:tc>
          <w:tcPr>
            <w:tcW w:w="4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Focused commingled funds</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148,725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97,223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79,402</w:t>
            </w:r>
          </w:p>
        </w:tc>
      </w:tr>
      <w:tr>
        <w:trPr>
          <w:trHeight w:val="230"/>
        </w:trPr>
        <w:tc>
          <w:tcPr>
            <w:tcW w:w="4780" w:type="dxa"/>
            <w:vAlign w:val="bottom"/>
          </w:tcPr>
          <w:p>
            <w:pPr>
              <w:ind w:left="680"/>
              <w:spacing w:after="0"/>
              <w:rPr>
                <w:sz w:val="20"/>
                <w:szCs w:val="20"/>
                <w:color w:val="auto"/>
              </w:rPr>
            </w:pPr>
            <w:r>
              <w:rPr>
                <w:rFonts w:ascii="Arial" w:cs="Arial" w:eastAsia="Arial" w:hAnsi="Arial"/>
                <w:sz w:val="18"/>
                <w:szCs w:val="18"/>
                <w:color w:val="auto"/>
              </w:rPr>
              <w:t>SMAs</w:t>
            </w:r>
          </w:p>
        </w:tc>
        <w:tc>
          <w:tcPr>
            <w:tcW w:w="9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174,318</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135,784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107,286</w:t>
            </w:r>
          </w:p>
        </w:tc>
      </w:tr>
      <w:tr>
        <w:trPr>
          <w:trHeight w:val="230"/>
        </w:trPr>
        <w:tc>
          <w:tcPr>
            <w:tcW w:w="4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Advisory and other services</w:t>
            </w:r>
          </w:p>
        </w:tc>
        <w:tc>
          <w:tcPr>
            <w:tcW w:w="9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55,523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47,848</w:t>
            </w:r>
          </w:p>
        </w:tc>
      </w:tr>
      <w:tr>
        <w:trPr>
          <w:trHeight w:val="229"/>
        </w:trPr>
        <w:tc>
          <w:tcPr>
            <w:tcW w:w="47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Fund reimbursement revenues</w:t>
            </w: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48"/>
        </w:trPr>
        <w:tc>
          <w:tcPr>
            <w:tcW w:w="47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management and advisory fees, net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380,257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285,462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235,205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4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3"/>
              </w:rPr>
              <w:t>Year Ended March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Incentive Fees</w:t>
            </w: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9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ind w:right="5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9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incentive fees</w:t>
            </w:r>
          </w:p>
        </w:tc>
        <w:tc>
          <w:tcPr>
            <w:tcW w:w="9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right="5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150,848</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57,148</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carried interest allocations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Year Ended March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Legacy Greenspring Carried Interest Allocations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Focused commingled funds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legacy Greenspring carried interest allocations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60" w:right="560" w:hanging="652"/>
        <w:spacing w:after="0" w:line="260" w:lineRule="auto"/>
        <w:tabs>
          <w:tab w:leader="none" w:pos="65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year ended March 31, 2022 reflects the net effect of gross realized carried interest allocations of $92.2 million, and the reversal of such amounts in unrealized carried interest allocations for the period.</w:t>
      </w:r>
    </w:p>
    <w:p>
      <w:pPr>
        <w:spacing w:after="0" w:line="183"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The increase in carried interest allocations for the year ended March 31, 2022 as compared to the prior year periods was primarily attributable to net unrealized appreciation in the fair value of certain underlying fund investments. See note 2 for a discussion of the Company’s accounting policy for investments on a three-month lag.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w w:val="94"/>
              </w:rPr>
              <w:t>Year Ended March 31,</w:t>
            </w:r>
          </w:p>
        </w:tc>
        <w:tc>
          <w:tcPr>
            <w:tcW w:w="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29"/>
        </w:trPr>
        <w:tc>
          <w:tcPr>
            <w:tcW w:w="4780" w:type="dxa"/>
            <w:vAlign w:val="bottom"/>
            <w:tcBorders>
              <w:bottom w:val="single" w:sz="8" w:color="CCEEFF"/>
            </w:tcBorders>
          </w:tcPr>
          <w:p>
            <w:pPr>
              <w:ind w:left="680"/>
              <w:spacing w:after="0" w:line="229"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47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428,282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108,681</w:t>
            </w:r>
          </w:p>
        </w:tc>
      </w:tr>
      <w:tr>
        <w:trPr>
          <w:trHeight w:val="230"/>
        </w:trPr>
        <w:tc>
          <w:tcPr>
            <w:tcW w:w="4780" w:type="dxa"/>
            <w:vAlign w:val="bottom"/>
          </w:tcPr>
          <w:p>
            <w:pPr>
              <w:ind w:left="1000"/>
              <w:spacing w:after="0"/>
              <w:rPr>
                <w:sz w:val="20"/>
                <w:szCs w:val="20"/>
                <w:color w:val="auto"/>
              </w:rPr>
            </w:pPr>
            <w:r>
              <w:rPr>
                <w:rFonts w:ascii="Arial" w:cs="Arial" w:eastAsia="Arial" w:hAnsi="Arial"/>
                <w:sz w:val="18"/>
                <w:szCs w:val="18"/>
                <w:color w:val="auto"/>
              </w:rPr>
              <w:t>Non-U.S. countries</w:t>
            </w:r>
          </w:p>
        </w:tc>
        <w:tc>
          <w:tcPr>
            <w:tcW w:w="9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937,243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620,997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337,930</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460" w:hanging="652"/>
        <w:spacing w:after="0" w:line="260" w:lineRule="auto"/>
        <w:tabs>
          <w:tab w:leader="none" w:pos="654"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183" w:lineRule="exact"/>
        <w:rPr>
          <w:sz w:val="20"/>
          <w:szCs w:val="20"/>
          <w:color w:val="auto"/>
        </w:rPr>
      </w:pPr>
    </w:p>
    <w:p>
      <w:pPr>
        <w:ind w:right="1020" w:firstLine="648"/>
        <w:spacing w:after="0" w:line="260" w:lineRule="auto"/>
        <w:rPr>
          <w:sz w:val="20"/>
          <w:szCs w:val="20"/>
          <w:color w:val="auto"/>
        </w:rPr>
      </w:pPr>
      <w:r>
        <w:rPr>
          <w:rFonts w:ascii="Arial" w:cs="Arial" w:eastAsia="Arial" w:hAnsi="Arial"/>
          <w:sz w:val="20"/>
          <w:szCs w:val="20"/>
          <w:color w:val="auto"/>
        </w:rPr>
        <w:t>For the years ended March 31, 2022, 2021 and 2020, no individual client represented 10% or more of the Company’s net management and advisory fees.</w:t>
      </w:r>
    </w:p>
    <w:p>
      <w:pPr>
        <w:spacing w:after="0" w:line="17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As of March 31, 2022 and 2021, the Company had $19.0 million and $13.9 million, respectively, of deferred revenues, which is included in accounts payable, accrued expenses and other liabilities in the consolidated balance sheets. During the year ended March 31, 2022, the Company had recognized $4.6 million as revenue from amounts included in the deferred revenue balance as of March 31, 2021.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8"/>
          <w:szCs w:val="18"/>
          <w:b w:val="1"/>
          <w:bCs w:val="1"/>
          <w:color w:val="auto"/>
        </w:rPr>
        <w:t>Variable Interest Entities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Consolidated VIEs</w:t>
      </w:r>
    </w:p>
    <w:p>
      <w:pPr>
        <w:spacing w:after="0" w:line="222"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The Company consolidates certain VIEs for which it is the primary beneficiary. VIEs consist of certain operating entities not wholly-owned by the Company (e.g., Swiss Capital, SRA and SRE) and legacy Greenspring general partner entities. See note 2 for more information on the Company’s accounting policies related to the consolidation of VIEs. The assets of the consolidated VIEs totaled $1,435.2 million and $65.3 million as of March 31, 2022 and 2021, respectively. The liabilities of the consolidated VIEs totaled $1,181.2 million and $26.9 million as of March 31, 2022 and 2021,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March 31, 2022, no material amounts previously distributed have been accrued for clawback liabilities.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2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9"/>
          <w:szCs w:val="19"/>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consolidated balance sheets with respect to the Company’s interests in VIEs that were not consolidated is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20" w:type="dxa"/>
            <w:vAlign w:val="bottom"/>
            <w:tcBorders>
              <w:bottom w:val="single" w:sz="8" w:color="auto"/>
            </w:tcBorders>
          </w:tcPr>
          <w:p>
            <w:pPr>
              <w:spacing w:after="0"/>
              <w:rPr>
                <w:sz w:val="18"/>
                <w:szCs w:val="18"/>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95"/>
              </w:rPr>
              <w:t>2021</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Legacy Greenspring investments in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194,480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13,832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legacy Greenspring entities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194,480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71,109</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consolidated statements of income. Investment income attributable to investments in certain legacy Greenspring funds for which the Company has no direct economic interests are recorded in legacy Greenspring investment income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As of March 31,</w:t>
            </w:r>
          </w:p>
        </w:tc>
        <w:tc>
          <w:tcPr>
            <w:tcW w:w="1100" w:type="dxa"/>
            <w:vAlign w:val="bottom"/>
            <w:tcBorders>
              <w:bottom w:val="single" w:sz="8" w:color="auto"/>
            </w:tcBorders>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r>
      <w:tr>
        <w:trPr>
          <w:trHeight w:val="226"/>
        </w:trPr>
        <w:tc>
          <w:tcPr>
            <w:tcW w:w="6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Investments in funds</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74,379</w:t>
            </w:r>
          </w:p>
        </w:tc>
      </w:tr>
      <w:tr>
        <w:trPr>
          <w:trHeight w:val="230"/>
        </w:trPr>
        <w:tc>
          <w:tcPr>
            <w:tcW w:w="6860" w:type="dxa"/>
            <w:vAlign w:val="bottom"/>
          </w:tcPr>
          <w:p>
            <w:pPr>
              <w:ind w:left="680"/>
              <w:spacing w:after="0"/>
              <w:rPr>
                <w:sz w:val="20"/>
                <w:szCs w:val="20"/>
                <w:color w:val="auto"/>
              </w:rPr>
            </w:pPr>
            <w:r>
              <w:rPr>
                <w:rFonts w:ascii="Arial" w:cs="Arial" w:eastAsia="Arial" w:hAnsi="Arial"/>
                <w:sz w:val="18"/>
                <w:szCs w:val="18"/>
                <w:color w:val="auto"/>
              </w:rPr>
              <w:t>Accrued carried interest allocations</w:t>
            </w:r>
          </w:p>
        </w:tc>
        <w:tc>
          <w:tcPr>
            <w:tcW w:w="10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1,480,515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896,523</w:t>
            </w:r>
          </w:p>
        </w:tc>
      </w:tr>
      <w:tr>
        <w:trPr>
          <w:trHeight w:val="229"/>
        </w:trPr>
        <w:tc>
          <w:tcPr>
            <w:tcW w:w="686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w w:val="92"/>
              </w:rPr>
              <w:t>Legacy Greenspring investments in funds and accrued carried interest allocations</w:t>
            </w:r>
            <w:r>
              <w:rPr>
                <w:rFonts w:ascii="Arial" w:cs="Arial" w:eastAsia="Arial" w:hAnsi="Arial"/>
                <w:sz w:val="23"/>
                <w:szCs w:val="23"/>
                <w:color w:val="auto"/>
                <w:w w:val="92"/>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1,334,581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ind w:left="1000"/>
              <w:spacing w:after="0"/>
              <w:rPr>
                <w:sz w:val="20"/>
                <w:szCs w:val="20"/>
                <w:color w:val="auto"/>
              </w:rPr>
            </w:pPr>
            <w:r>
              <w:rPr>
                <w:rFonts w:ascii="Arial" w:cs="Arial" w:eastAsia="Arial" w:hAnsi="Arial"/>
                <w:sz w:val="18"/>
                <w:szCs w:val="18"/>
                <w:color w:val="auto"/>
              </w:rPr>
              <w:t>Total investments</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2,922,141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970,902</w:t>
            </w:r>
          </w:p>
        </w:tc>
      </w:tr>
      <w:tr>
        <w:trPr>
          <w:trHeight w:val="20"/>
        </w:trPr>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Reflects investments in funds of $194.5 million and carried interest allocations of $1,140.1 million as of March 31, 2022.</w:t>
      </w:r>
    </w:p>
    <w:p>
      <w:pPr>
        <w:spacing w:after="0" w:line="20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Company recognized equity method income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4"/>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Carried interest allocations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207,996</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6,926</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Greenspring carried interest allocations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Legacy Greenspring investment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equity method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The increase in carried interest allocations for the year ended March 31, 2022 as compared to the prior periods was primarily attributable to unrealized appreciation in the fair value of the underlying investments in the Company’s private equity funds. See note 2 for a discussion of the Company’s accounting policy for investments on a three-month lag.</w:t>
      </w:r>
    </w:p>
    <w:p>
      <w:pPr>
        <w:spacing w:after="0" w:line="186" w:lineRule="exact"/>
        <w:rPr>
          <w:sz w:val="20"/>
          <w:szCs w:val="20"/>
          <w:color w:val="auto"/>
        </w:rPr>
      </w:pPr>
    </w:p>
    <w:p>
      <w:pPr>
        <w:ind w:right="160" w:firstLine="648"/>
        <w:spacing w:after="0" w:line="243" w:lineRule="auto"/>
        <w:rPr>
          <w:sz w:val="20"/>
          <w:szCs w:val="20"/>
          <w:color w:val="auto"/>
        </w:rPr>
      </w:pPr>
      <w:r>
        <w:rPr>
          <w:rFonts w:ascii="Arial" w:cs="Arial" w:eastAsia="Arial" w:hAnsi="Arial"/>
          <w:sz w:val="20"/>
          <w:szCs w:val="20"/>
          <w:color w:val="auto"/>
        </w:rPr>
        <w:t>As of March 31, 2022 and 2021, the Company’s investments in two SMAs, each individually represented 10% or more of the total accrued carried interest allocations balance, and in the aggregate represented approximately 25% and 26%, respectively, of the total accrued carried interest allocations balances as of those dates. As of March 31, 2022, the Company’s investments in three commingled funds individually represented 10% or more of the total legacy Greenspring investments in funds and accrued carried interest allocations balance, and in the aggregate represented approximately 39% of the total legacy Greenspring investments in funds and accrued carried interest allocations balance as of that date.</w:t>
      </w:r>
    </w:p>
    <w:p>
      <w:pPr>
        <w:spacing w:after="0" w:line="196"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Of the total accrued carried interest allocations balance as of March 31, 2022 and 2021, respectively, $770.0 million and $465.6 million were payable to affiliates and is included in accrued carried interest-related compensation in the consolidated balance sheets. Of the total legacy Greenspring investments in funds and accrued carried interest allocations balance as of March 31, 2022, $1,140.1 million was payable to employees who are considered affiliates of the Company and is included in legacy Greenspring accrued carried interest-related compensation in the consolidated balance sheets and $194.5 million is reflected as non-controlling interests in legacy Greenspring entities in the consolidated balance sheets.</w:t>
      </w:r>
    </w:p>
    <w:p>
      <w:pPr>
        <w:spacing w:after="0" w:line="196"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March 31, 2022 and 2021 and for the years ended March 31, 2022, 2021 and 2020,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Summarized financial information for the Company’s equity method investments reflected below represents the financial position as of March 31, 2022 and 2021, and the results of operations for the years ended March 31, 2022, 2021 and 2020, which are reported on a three-month lag. Assets are primarily comprised of the investments held by the StepStone Funds.</w:t>
      </w:r>
    </w:p>
    <w:tbl>
      <w:tblPr>
        <w:tblLayout w:type="fixed"/>
        <w:tblInd w:w="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b w:val="1"/>
                <w:bCs w:val="1"/>
                <w:color w:val="auto"/>
              </w:rPr>
              <w:t>As of March 31,</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6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r>
      <w:tr>
        <w:trPr>
          <w:trHeight w:val="226"/>
        </w:trPr>
        <w:tc>
          <w:tcPr>
            <w:tcW w:w="6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62,297,224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29,955,948</w:t>
            </w:r>
          </w:p>
        </w:tc>
      </w:tr>
      <w:tr>
        <w:trPr>
          <w:trHeight w:val="229"/>
        </w:trPr>
        <w:tc>
          <w:tcPr>
            <w:tcW w:w="65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944,519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720,638</w:t>
            </w:r>
          </w:p>
        </w:tc>
      </w:tr>
      <w:tr>
        <w:trPr>
          <w:trHeight w:val="248"/>
        </w:trPr>
        <w:tc>
          <w:tcPr>
            <w:tcW w:w="65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61,352,705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29,235,310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24"/>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w w:val="93"/>
              </w:rPr>
              <w:t>Year Ended March 31,</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6"/>
        </w:trPr>
        <w:tc>
          <w:tcPr>
            <w:tcW w:w="6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78,319</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(382,704)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(224,611)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(167,030)</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 on investments</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16,868,454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6,369,649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2,572,750</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r>
      <w:tr>
        <w:trPr>
          <w:trHeight w:val="24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16,559,154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6,185,933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2,478,870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As of March 31, 2022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Arial" w:cs="Arial" w:eastAsia="Arial" w:hAnsi="Arial"/>
                <w:sz w:val="16"/>
                <w:szCs w:val="16"/>
                <w:b w:val="1"/>
                <w:bCs w:val="1"/>
                <w:color w:val="auto"/>
              </w:rPr>
              <w:t>Total</w:t>
            </w: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Contingent consideration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28,025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28,025</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4"/>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As of March 31, 2021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0"/>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18"/>
                <w:szCs w:val="18"/>
                <w:color w:val="auto"/>
              </w:rPr>
            </w:pPr>
          </w:p>
        </w:tc>
        <w:tc>
          <w:tcPr>
            <w:tcW w:w="1100" w:type="dxa"/>
            <w:vAlign w:val="bottom"/>
          </w:tcPr>
          <w:p>
            <w:pPr>
              <w:jc w:val="right"/>
              <w:ind w:right="453"/>
              <w:spacing w:after="0"/>
              <w:rPr>
                <w:sz w:val="20"/>
                <w:szCs w:val="20"/>
                <w:color w:val="auto"/>
              </w:rPr>
            </w:pPr>
            <w:r>
              <w:rPr>
                <w:rFonts w:ascii="Arial" w:cs="Arial" w:eastAsia="Arial" w:hAnsi="Arial"/>
                <w:sz w:val="16"/>
                <w:szCs w:val="16"/>
                <w:b w:val="1"/>
                <w:bCs w:val="1"/>
                <w:color w:val="auto"/>
              </w:rPr>
              <w:t>Total</w:t>
            </w: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Contingent consideration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For the liabilities presented in the tables above, there were no changes in fair value hierarchy levels during the years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changes in the fair value of Level III financial instruments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Year Ended March 31,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Contingent Consideration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9"/>
        </w:trPr>
        <w:tc>
          <w:tcPr>
            <w:tcW w:w="8260" w:type="dxa"/>
            <w:vAlign w:val="bottom"/>
          </w:tcPr>
          <w:p>
            <w:pPr>
              <w:ind w:left="40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loss on change in fair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Changes in unrealized (gains) losses included in earnings related to financial liabilities still held at the reporting</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date</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In connection with the Greenspring acquisition, the Company recorded a contingent consideration liability of $17.8 million during the three months ended September 30, 2021. See note 15 for more information.</w:t>
      </w:r>
    </w:p>
    <w:p>
      <w:pPr>
        <w:spacing w:after="0" w:line="177"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fair value of the contingent consideration liabilities are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liabilities primarily relate to the future expected revenues and the discount rates applied to the expected future revenues and payments of obligations, which ranged from 7% to 10% as of March 31, 2022. The contingent consideration liabilities are included in accounts payable, accrued expenses and other liabilities in the consolidated balance sheets. Changes in the fair value of the liabilities are included in general, administrative and other expenses in the consolidated statements of income. In February 2022, the Company amended the contingent consideration arrangement in respect of the Greenspring acquisition whereby a portion of the contingent consideration liability otherwise payable to the sellers will be used to fund compensation arrangements with certain employees of the Company, which will be payable following the end of the earn-out period. As a result, the contingent consideration liability has been reduced by the fair value of amounts payable to certain employees.</w:t>
      </w:r>
    </w:p>
    <w:p>
      <w:pPr>
        <w:spacing w:after="0" w:line="16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8"/>
          <w:szCs w:val="18"/>
          <w:b w:val="1"/>
          <w:bCs w:val="1"/>
          <w:color w:val="auto"/>
        </w:rPr>
        <w:t>Property and Equipment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is included in other assets and receivables in the consolidated balance sheets and consists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9"/>
              </w:rPr>
              <w:t>2021</w:t>
            </w: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furniture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Computer equipment and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Property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18,875</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Depreciation expense related to property and equipment totaled $2.5 million, $2.2 million and $2.0 million for the years ended March 31, 2022, 2021 and 2020, respectively, and is included in general, administrative and other expenses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Intangibles and Goodwill</w:t>
      </w:r>
    </w:p>
    <w:p>
      <w:pPr>
        <w:spacing w:after="0" w:line="222" w:lineRule="exact"/>
        <w:rPr>
          <w:sz w:val="20"/>
          <w:szCs w:val="20"/>
          <w:color w:val="auto"/>
        </w:rPr>
      </w:pPr>
    </w:p>
    <w:p>
      <w:pPr>
        <w:ind w:right="980" w:firstLine="648"/>
        <w:spacing w:after="0" w:line="287" w:lineRule="auto"/>
        <w:rPr>
          <w:sz w:val="20"/>
          <w:szCs w:val="20"/>
          <w:color w:val="auto"/>
        </w:rPr>
      </w:pPr>
      <w:r>
        <w:rPr>
          <w:rFonts w:ascii="Arial" w:cs="Arial" w:eastAsia="Arial" w:hAnsi="Arial"/>
          <w:sz w:val="19"/>
          <w:szCs w:val="19"/>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As of March 31,</w:t>
            </w:r>
          </w:p>
        </w:tc>
        <w:tc>
          <w:tcPr>
            <w:tcW w:w="1060" w:type="dxa"/>
            <w:vAlign w:val="bottom"/>
            <w:tcBorders>
              <w:bottom w:val="single" w:sz="8" w:color="auto"/>
            </w:tcBorders>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6"/>
        </w:trPr>
        <w:tc>
          <w:tcPr>
            <w:tcW w:w="6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Management contracts</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41,058</w:t>
            </w:r>
          </w:p>
        </w:tc>
      </w:tr>
      <w:tr>
        <w:trPr>
          <w:trHeight w:val="229"/>
        </w:trPr>
        <w:tc>
          <w:tcPr>
            <w:tcW w:w="6980" w:type="dxa"/>
            <w:vAlign w:val="bottom"/>
          </w:tcPr>
          <w:p>
            <w:pPr>
              <w:ind w:left="680"/>
              <w:spacing w:after="0"/>
              <w:rPr>
                <w:sz w:val="20"/>
                <w:szCs w:val="20"/>
                <w:color w:val="auto"/>
              </w:rPr>
            </w:pPr>
            <w:r>
              <w:rPr>
                <w:rFonts w:ascii="Arial" w:cs="Arial" w:eastAsia="Arial" w:hAnsi="Arial"/>
                <w:sz w:val="18"/>
                <w:szCs w:val="18"/>
                <w:color w:val="auto"/>
              </w:rPr>
              <w:t>Client relationships</w:t>
            </w: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96,650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Service agreements</w:t>
            </w: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Less: Accumulated amortization</w:t>
            </w: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(35,567)</w:t>
            </w:r>
          </w:p>
        </w:tc>
      </w:tr>
      <w:tr>
        <w:trPr>
          <w:trHeight w:val="248"/>
        </w:trPr>
        <w:tc>
          <w:tcPr>
            <w:tcW w:w="69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Intangible assets, net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Amortization expense related to intangible assets was $24.5 million, $3.3 million and $5.0 million for the years ended March 31, 2022, 2021 and 2020, respectively. These amounts are included in general, administrative and other expenses in the consolidated statements of income.</w:t>
      </w:r>
    </w:p>
    <w:p>
      <w:pPr>
        <w:spacing w:after="0" w:line="18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In connection with the Greenspring acquisition, the Company added approximately $310.9 million of management contract intangible assets, $96.7 million of client relationship intangible assets and $9.5 million of service agreement intangible assets. See note 15 for more information.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00" w:type="dxa"/>
            <w:vAlign w:val="bottom"/>
          </w:tcPr>
          <w:p>
            <w:pPr>
              <w:ind w:left="660"/>
              <w:spacing w:after="0"/>
              <w:rPr>
                <w:sz w:val="20"/>
                <w:szCs w:val="20"/>
                <w:color w:val="auto"/>
              </w:rPr>
            </w:pPr>
            <w:r>
              <w:rPr>
                <w:rFonts w:ascii="Arial" w:cs="Arial" w:eastAsia="Arial" w:hAnsi="Arial"/>
                <w:sz w:val="20"/>
                <w:szCs w:val="20"/>
                <w:color w:val="auto"/>
              </w:rPr>
              <w:t>The expected future amortization of finite-lived intangible assets is as follows:</w:t>
            </w: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9"/>
        </w:trPr>
        <w:tc>
          <w:tcPr>
            <w:tcW w:w="9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March 31,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43,481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42,645</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41,955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41,764</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41,730</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186,550</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398,125</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right="60" w:firstLine="648"/>
        <w:spacing w:after="0" w:line="291" w:lineRule="auto"/>
        <w:rPr>
          <w:sz w:val="20"/>
          <w:szCs w:val="20"/>
          <w:color w:val="auto"/>
        </w:rPr>
      </w:pPr>
      <w:r>
        <w:rPr>
          <w:rFonts w:ascii="Arial" w:cs="Arial" w:eastAsia="Arial" w:hAnsi="Arial"/>
          <w:sz w:val="18"/>
          <w:szCs w:val="18"/>
          <w:color w:val="auto"/>
        </w:rPr>
        <w:t>The carrying value of goodwill was $580.5 million as of March 31, 2022 and $6.8 million as of March 31, 2021. The increase in the carrying value of goodwill is attributable to the Greenspring acquisition, which added approximately $573.8 million in goodwill. See note 15 for more information. The Company determined there was no indication of goodwill impairment as of March 31, 2022 and 2021.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Debt Obligations</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In September 2021, the Company entered into a credit agreement with various lenders (the “Credit Agreement”) in connection with the Greenspring acquisition. The Credit Agreement was arranged by JPMorgan Chase Bank, N.A., as the administrative agent, and provides for a $225.0 million multicurrency revolving credit facility (the “Revolver”) with a five-year maturity. As of March 31, 2022, the Company had $62.9 million outstanding on the Revolver, net of debt issuance costs. As of March 31, 2021, the Company had no debt obligations outstanding.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debt obligations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As of March 31,</w:t>
            </w:r>
          </w:p>
        </w:tc>
        <w:tc>
          <w:tcPr>
            <w:tcW w:w="152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w:t>
            </w: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4"/>
              </w:rPr>
              <w:t>(2,121)</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 obligations</w:t>
            </w: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62,879</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Borrowings under the Revolver bear interest at a variable rate per annum. The Company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weighted-average interest rate in effect for the Revolver as of March 31, 2022 was 2.50%.</w:t>
      </w:r>
    </w:p>
    <w:p>
      <w:pPr>
        <w:spacing w:after="0" w:line="184"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spacing w:after="0" w:line="17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5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9"/>
          <w:szCs w:val="19"/>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beginning with the quarter ending December 31, 2021. As of March 31, 2022, the Company was in compliance with the total net leverage ratio and minimum fee-earning assets under management covenants.</w:t>
      </w:r>
    </w:p>
    <w:p>
      <w:pPr>
        <w:spacing w:after="0" w:line="185" w:lineRule="exact"/>
        <w:rPr>
          <w:sz w:val="20"/>
          <w:szCs w:val="20"/>
          <w:color w:val="auto"/>
        </w:rPr>
      </w:pPr>
    </w:p>
    <w:p>
      <w:pPr>
        <w:jc w:val="both"/>
        <w:ind w:right="560" w:firstLine="648"/>
        <w:spacing w:after="0" w:line="250" w:lineRule="auto"/>
        <w:rPr>
          <w:sz w:val="20"/>
          <w:szCs w:val="20"/>
          <w:color w:val="auto"/>
        </w:rPr>
      </w:pPr>
      <w:r>
        <w:rPr>
          <w:rFonts w:ascii="Arial" w:cs="Arial" w:eastAsia="Arial" w:hAnsi="Arial"/>
          <w:sz w:val="20"/>
          <w:szCs w:val="20"/>
          <w:color w:val="auto"/>
        </w:rPr>
        <w:t>The Company can use available funding capacity under the Revolver to satisfy letters of credit in amounts up to $10.0 million. Amounts used to satisfy the letters of credit reduce the available capacity under the Revolver. As of March 31, 2022, the Company had outstanding letters of credit totaling $2.9 million.</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Equity-Based Compensation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2020 Long-Term Incentive Plan</w:t>
      </w:r>
    </w:p>
    <w:p>
      <w:pPr>
        <w:spacing w:after="0" w:line="222" w:lineRule="exact"/>
        <w:rPr>
          <w:sz w:val="20"/>
          <w:szCs w:val="20"/>
          <w:color w:val="auto"/>
        </w:rPr>
      </w:pPr>
    </w:p>
    <w:p>
      <w:pPr>
        <w:ind w:right="340" w:firstLine="648"/>
        <w:spacing w:after="0" w:line="291" w:lineRule="auto"/>
        <w:rPr>
          <w:sz w:val="20"/>
          <w:szCs w:val="20"/>
          <w:color w:val="auto"/>
        </w:rPr>
      </w:pPr>
      <w:r>
        <w:rPr>
          <w:rFonts w:ascii="Arial" w:cs="Arial" w:eastAsia="Arial" w:hAnsi="Arial"/>
          <w:sz w:val="18"/>
          <w:szCs w:val="18"/>
          <w:color w:val="auto"/>
        </w:rPr>
        <w:t>In connection with the IPO, the Company adopted the 2020 Long-Term Incentive Plan (“LTIP”), which allows for the granting of stock options, stock appreciation rights, restricted stock awards, RSUs and performance stock awards to employees, directors and consultants. As of March 31, 2022, there were 12,422,413 shares of Class A common stock available to grant under the LTIP.</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Stock Units</w:t>
      </w:r>
    </w:p>
    <w:p>
      <w:pPr>
        <w:spacing w:after="0" w:line="222" w:lineRule="exact"/>
        <w:rPr>
          <w:sz w:val="20"/>
          <w:szCs w:val="20"/>
          <w:color w:val="auto"/>
        </w:rPr>
      </w:pPr>
    </w:p>
    <w:p>
      <w:pPr>
        <w:ind w:right="120" w:firstLine="648"/>
        <w:spacing w:after="0" w:line="260" w:lineRule="auto"/>
        <w:rPr>
          <w:sz w:val="20"/>
          <w:szCs w:val="20"/>
          <w:color w:val="auto"/>
        </w:rPr>
      </w:pPr>
      <w:r>
        <w:rPr>
          <w:rFonts w:ascii="Arial" w:cs="Arial" w:eastAsia="Arial" w:hAnsi="Arial"/>
          <w:sz w:val="19"/>
          <w:szCs w:val="19"/>
          <w:color w:val="auto"/>
        </w:rPr>
        <w:t>RSUs represent the right to receive payment on the date of vesting in the form of one share of Class A common stock for each RSU. Holders of unvested RSUs do not have the right to vote with the underlying shares of Class A common stock, but are entitled to accrue dividend equivalents which are generally paid in cash when such RSUs vest. The RSUs granted generally vest over four years in equal annual installments. Upon vesting, the Company will typically withhold or cause the participant to sell the number of shares to satisfy the statutory withholding tax obligation and deliver the net number of resulting shares vested.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Arial" w:cs="Arial" w:eastAsia="Arial" w:hAnsi="Arial"/>
                <w:sz w:val="16"/>
                <w:szCs w:val="16"/>
                <w:b w:val="1"/>
                <w:bCs w:val="1"/>
                <w:color w:val="auto"/>
                <w:w w:val="95"/>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2,549,861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244,452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2,087,324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grant-date fair value of RSUs granted during the years ended March 31, 2022 and 2021 was $35.18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$18.53, respectively. No RSUs were granted prior to the IPO. The total fair value as of the respective vesting dates of RSUs vested during the</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year ended March 31, 2022 was $27.5 million. No RSUs vested during the years ended March 31, 2021 or 2020.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22"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9"/>
          <w:szCs w:val="19"/>
          <w:color w:val="auto"/>
        </w:rPr>
        <w:t>In June 2018, the Company issued an aggregate of 5.2% of profits interests (the “Class B2 Interests”) in the Company to certain key employees. These Class B2 Interests provide the recipients with an opportunity to participate in the profits of the Company and proceeds of certain capital events. The Class B2 Interests vest over a period of six years from the grant date, subject to an employee’s continuous service with the Company through the applicable vesting date. Under the terms of the Fifth Amended and Restated Limited Partnership Agreement dated March 8, 2018, the vesting of the awards will occur as follows: (i) 0% during the first three years from the date of issuance, (ii) 30.0% on the third anniversary of the date of issuance, and (iii) 5.8% for each fiscal quarter after the third anniversary of the date of issuance (fully vested on the sixth anniversary of the date of issuance, or June 2024). Upon the final vesting date, all of the Class B2 units will automatically convert into Class B units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spacing w:after="0" w:line="19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The Class B2 Interests are classified as equity awards, and the associated equity-based compensation expense is recognized on a straight-line basis over the vesting period, with a corresponding increase to stockholders’ equity or, for the period prior to the IPO, partners’ capital in the Company’s consolidated balance sheets.</w:t>
      </w:r>
    </w:p>
    <w:p>
      <w:pPr>
        <w:spacing w:after="0" w:line="18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In August 2019, certain changes were made to the Class B2 Interests to, among other things, eliminate certain thresholds and reduce the percentage interest to an amount implied by the value established in connection with the sale of equity to institutional investors as part of the 2019 Transaction, as further described in note 14. The changes to the Class B2 units were accounted for as a modification of equity awards to employees. The modification did not have a material effect on the consolidated financial statements.</w:t>
      </w:r>
    </w:p>
    <w:p>
      <w:pPr>
        <w:spacing w:after="0" w:line="161"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As of March 31, 2022, there were 2,566,566 Class B2 units outstanding. During the year ended March 31, 2022, none of the outstanding Class B2 units were forfeited. As of March 31, 2022, 1,347,447 Class B2 units were unvested and 1,219,119 Class B2 units were vested.</w:t>
      </w:r>
    </w:p>
    <w:p>
      <w:pPr>
        <w:spacing w:after="0" w:line="186" w:lineRule="exact"/>
        <w:rPr>
          <w:sz w:val="20"/>
          <w:szCs w:val="20"/>
          <w:color w:val="auto"/>
        </w:rPr>
      </w:pPr>
    </w:p>
    <w:p>
      <w:pPr>
        <w:ind w:right="680" w:firstLine="648"/>
        <w:spacing w:after="0" w:line="260" w:lineRule="auto"/>
        <w:rPr>
          <w:sz w:val="20"/>
          <w:szCs w:val="20"/>
          <w:color w:val="auto"/>
        </w:rPr>
      </w:pPr>
      <w:r>
        <w:rPr>
          <w:rFonts w:ascii="Arial" w:cs="Arial" w:eastAsia="Arial" w:hAnsi="Arial"/>
          <w:sz w:val="20"/>
          <w:szCs w:val="20"/>
          <w:color w:val="auto"/>
        </w:rPr>
        <w:t>As of March 31, 2022, $41.0 million of unrecognized non-cash compensation expense in respect of RSUs and Class B2 units remained to be recognized over a weighted-average period of approximately 3.5 years.</w:t>
      </w:r>
    </w:p>
    <w:p>
      <w:pPr>
        <w:spacing w:after="0" w:line="177"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Company recognized tax benefits related to equity-based awards of $7.4 million for the year ended March 31, 2022. No tax benefits were recognized for the years ended March 31, 2021 and 2020.</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Income Taxes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income before income tax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w w:val="92"/>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income before income tax</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130,380</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income before income tax</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512,581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the Company’s provision for income taxes: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w w:val="92"/>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13,340</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r>
      <w:tr>
        <w:trPr>
          <w:trHeight w:val="236"/>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r>
      <w:tr>
        <w:trPr>
          <w:trHeight w:val="21"/>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reconciliation of the U.S. federal statutory income tax rate to the Company’s effective tax rate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1"/>
              </w:rPr>
              <w:t>Year Ended March 31,</w:t>
            </w:r>
          </w:p>
        </w:tc>
        <w:tc>
          <w:tcPr>
            <w:tcW w:w="1540" w:type="dxa"/>
            <w:vAlign w:val="bottom"/>
            <w:tcBorders>
              <w:bottom w:val="single" w:sz="8" w:color="auto"/>
            </w:tcBorders>
          </w:tcPr>
          <w:p>
            <w:pPr>
              <w:spacing w:after="0"/>
              <w:rPr>
                <w:sz w:val="20"/>
                <w:szCs w:val="20"/>
                <w:color w:val="auto"/>
              </w:rPr>
            </w:pPr>
          </w:p>
        </w:tc>
      </w:tr>
      <w:tr>
        <w:trPr>
          <w:trHeight w:val="223"/>
        </w:trPr>
        <w:tc>
          <w:tcPr>
            <w:tcW w:w="6420" w:type="dxa"/>
            <w:vAlign w:val="bottom"/>
          </w:tcPr>
          <w:p>
            <w:pPr>
              <w:spacing w:after="0"/>
              <w:rPr>
                <w:sz w:val="19"/>
                <w:szCs w:val="19"/>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State and local income tax (net of federal tax benefit)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0.7</w:t>
            </w: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passed through to limited partners</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w:t>
            </w:r>
          </w:p>
        </w:tc>
        <w:tc>
          <w:tcPr>
            <w:tcW w:w="1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Foreign income tax</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Other</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0.0</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Prior to the Reorganization and IPO, the Company operated as a partnership for U.S. federal income tax purposes and therefore was not subject to U.S. federal and state income taxes. Subsequent to the Reorganization and IPO, all income attributable to SSG is subject to U.S. corporate income taxes.</w:t>
      </w:r>
    </w:p>
    <w:p>
      <w:pPr>
        <w:spacing w:after="0" w:line="186" w:lineRule="exact"/>
        <w:rPr>
          <w:sz w:val="20"/>
          <w:szCs w:val="20"/>
          <w:color w:val="auto"/>
        </w:rPr>
      </w:pPr>
    </w:p>
    <w:p>
      <w:pPr>
        <w:ind w:right="160" w:firstLine="648"/>
        <w:spacing w:after="0" w:line="243" w:lineRule="auto"/>
        <w:rPr>
          <w:sz w:val="20"/>
          <w:szCs w:val="20"/>
          <w:color w:val="auto"/>
        </w:rPr>
      </w:pPr>
      <w:r>
        <w:rPr>
          <w:rFonts w:ascii="Arial" w:cs="Arial" w:eastAsia="Arial" w:hAnsi="Arial"/>
          <w:sz w:val="20"/>
          <w:szCs w:val="20"/>
          <w:color w:val="auto"/>
        </w:rPr>
        <w:t>The Company’s effective tax rate is dependent on many factors, including the estimated amount of income subject to tax. Consequently, the effective tax rate can vary from period to period. The Company’s overall effective tax rate in each of the periods above is less than the statutory rate primarily because (a) the Company was not subject to U.S. federal and state income taxes prior to the Reorganization and IPO and (b) a portion of income is allocated to non-controlling interests, as the tax liability on such income is borne by the holders of such non-controlling interests. The Company has elected to account for global intangible low-taxed income (“GILTI”) earned by foreign subsidiaries in the period the tax is incurred.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the Company’s deferred income tax assets and liabilities: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As of March 31,</w:t>
            </w:r>
          </w:p>
        </w:tc>
      </w:tr>
      <w:tr>
        <w:trPr>
          <w:trHeight w:val="223"/>
        </w:trPr>
        <w:tc>
          <w:tcPr>
            <w:tcW w:w="8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Investment in the Partnership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39,720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118,165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 deferred tax assets before valuation allowance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119,976</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(30,537)</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net deferred tax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89,439</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deferred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0" w:firstLine="648"/>
        <w:spacing w:after="0" w:line="304" w:lineRule="auto"/>
        <w:rPr>
          <w:sz w:val="20"/>
          <w:szCs w:val="20"/>
          <w:color w:val="auto"/>
        </w:rPr>
      </w:pPr>
      <w:r>
        <w:rPr>
          <w:rFonts w:ascii="Arial" w:cs="Arial" w:eastAsia="Arial" w:hAnsi="Arial"/>
          <w:sz w:val="16"/>
          <w:szCs w:val="16"/>
          <w:color w:val="auto"/>
        </w:rPr>
        <w:t>In connection with the exchanges of Class B units and Class C units of the Partnership for Class A common stock by certain limited partners of the Partnership during fiscal 2022 which increased the Company’s ownership in the Partnership, the Company recorded an overall increase to deferred tax assets as of March 31, 2022. As of September 30, 2021, primarily due to the Greenspring acquisition, the Company recorded a decrease to deferred tax assets of $137.4 million, and a net decrease in the valuation allowance of $32.4 million, of which</w:t>
      </w: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$5.0 million was recognized through equity and $27.4 million was recognized as an income tax benefit. Additionally, in connection with the exchange transactions, the Company recorded a corresponding Tax Receivable Agreements liability of $93.0 million, representing 85% of the incremental net cash tax savings for the Company due to the exchanging limited partners. As of March 31, 2022, the Company’s total Tax Receivable Agreements liability was $197.2 million. See notes 13 and 14 for more information.</w:t>
      </w:r>
    </w:p>
    <w:p>
      <w:pPr>
        <w:spacing w:after="0" w:line="182"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The Company evaluates the realizability of its deferred tax assets on a quarterly basis and adjusts the valuation allowance when it is more-likely-than-not that all or a portion of the deferred tax assets may not be realized. The total ending valuation allowance for the year ended March 31, 2022 was $13.4 million. Apart from the valuation allowance, the Company believes that the remaining deferred tax assets will be realized in full.</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summary of the change in valuation allowance by year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Valuation Allowance</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increase</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30,537</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30,537</w:t>
            </w:r>
          </w:p>
        </w:tc>
      </w:tr>
      <w:tr>
        <w:trPr>
          <w:trHeight w:val="230"/>
        </w:trPr>
        <w:tc>
          <w:tcPr>
            <w:tcW w:w="9000" w:type="dxa"/>
            <w:vAlign w:val="bottom"/>
          </w:tcPr>
          <w:p>
            <w:pPr>
              <w:ind w:left="240"/>
              <w:spacing w:after="0"/>
              <w:rPr>
                <w:sz w:val="20"/>
                <w:szCs w:val="20"/>
                <w:color w:val="auto"/>
              </w:rPr>
            </w:pPr>
            <w:r>
              <w:rPr>
                <w:rFonts w:ascii="Arial" w:cs="Arial" w:eastAsia="Arial" w:hAnsi="Arial"/>
                <w:sz w:val="18"/>
                <w:szCs w:val="18"/>
                <w:color w:val="auto"/>
              </w:rPr>
              <w:t>Income tax decrease</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(27,413)</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decrease</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r>
      <w:tr>
        <w:trPr>
          <w:trHeight w:val="230"/>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increase</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As of March 31, 2022, the Company has not recorded any unrecognized tax benefits and does not expect there to be any material changes to uncertain tax positions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The Company files income tax returns as required by the tax laws of the jurisdictions in which it operates. In the normal course of business, the Company may be subject to examination by U.S. federal and certain state and local tax authorities. Management has analyzed the Company’s tax positions taken with respect to all applicable income tax issues, for all open tax years, and for all jurisdictions in which the Company is required to file tax returns and has concluded that no provision for income taxes related to uncertain tax positions is required in the Company’s consolidated financial statements for the years ended March 31, 2022, 2021 and 2020.</w:t>
      </w:r>
    </w:p>
    <w:p>
      <w:pPr>
        <w:spacing w:after="0" w:line="165" w:lineRule="exact"/>
        <w:rPr>
          <w:sz w:val="20"/>
          <w:szCs w:val="20"/>
          <w:color w:val="auto"/>
        </w:rPr>
      </w:pPr>
    </w:p>
    <w:p>
      <w:pPr>
        <w:jc w:val="both"/>
        <w:ind w:right="280" w:firstLine="648"/>
        <w:spacing w:after="0" w:line="250" w:lineRule="auto"/>
        <w:rPr>
          <w:sz w:val="20"/>
          <w:szCs w:val="20"/>
          <w:color w:val="auto"/>
        </w:rPr>
      </w:pPr>
      <w:r>
        <w:rPr>
          <w:rFonts w:ascii="Arial" w:cs="Arial" w:eastAsia="Arial" w:hAnsi="Arial"/>
          <w:sz w:val="20"/>
          <w:szCs w:val="20"/>
          <w:color w:val="auto"/>
        </w:rPr>
        <w:t>The Company files U.S. federal, state, local and foreign tax returns on a calendar-year basis. With limited exception, returns filed prior to 2017 are no longer subject to examination by the applicable taxing authorities. There are currently no material examinations being conducted of the Company by tax authorities.</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Earnings Per Share</w:t>
      </w:r>
    </w:p>
    <w:p>
      <w:pPr>
        <w:spacing w:after="0" w:line="22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Basic and diluted earnings per share of Class A common stock are presented for the year ended March 31, 2022 and from September 16, 2020 through March 31, 2021, the period following the Reorganization and IPO. There were no shares of Class A common stock outstanding prior to September 16, 2020, therefore no earnings per share information has been presented for any period prior to that date.</w:t>
      </w:r>
    </w:p>
    <w:p>
      <w:pPr>
        <w:spacing w:after="0" w:line="118"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The following table sets forth reconciliations of the numerators and denominators used to compute basic and diluted earnings per share of Class A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 Ended March 31, 2022</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Period from IPO date to March</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tcPr>
          <w:p>
            <w:pPr>
              <w:jc w:val="right"/>
              <w:ind w:right="850"/>
              <w:spacing w:after="0"/>
              <w:rPr>
                <w:sz w:val="20"/>
                <w:szCs w:val="20"/>
                <w:color w:val="auto"/>
              </w:rPr>
            </w:pPr>
            <w:r>
              <w:rPr>
                <w:rFonts w:ascii="Arial" w:cs="Arial" w:eastAsia="Arial" w:hAnsi="Arial"/>
                <w:sz w:val="18"/>
                <w:szCs w:val="18"/>
                <w:b w:val="1"/>
                <w:bCs w:val="1"/>
                <w:color w:val="auto"/>
              </w:rPr>
              <w:t>31, 2021</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16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StepStone Group Inc.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193,885</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62,634</w:t>
            </w:r>
          </w:p>
        </w:tc>
        <w:tc>
          <w:tcPr>
            <w:tcW w:w="0" w:type="dxa"/>
            <w:vAlign w:val="bottom"/>
          </w:tcPr>
          <w:p>
            <w:pPr>
              <w:spacing w:after="0"/>
              <w:rPr>
                <w:sz w:val="1"/>
                <w:szCs w:val="1"/>
                <w:color w:val="auto"/>
              </w:rPr>
            </w:pPr>
          </w:p>
        </w:tc>
      </w:tr>
      <w:tr>
        <w:trPr>
          <w:trHeight w:val="229"/>
        </w:trPr>
        <w:tc>
          <w:tcPr>
            <w:tcW w:w="6120" w:type="dxa"/>
            <w:vAlign w:val="bottom"/>
          </w:tcPr>
          <w:p>
            <w:pPr>
              <w:ind w:left="460"/>
              <w:spacing w:after="0"/>
              <w:rPr>
                <w:sz w:val="20"/>
                <w:szCs w:val="20"/>
                <w:color w:val="auto"/>
              </w:rPr>
            </w:pPr>
            <w:r>
              <w:rPr>
                <w:rFonts w:ascii="Arial" w:cs="Arial" w:eastAsia="Arial" w:hAnsi="Arial"/>
                <w:sz w:val="18"/>
                <w:szCs w:val="18"/>
                <w:color w:val="auto"/>
              </w:rPr>
              <w:t>Incremental income from assumed vesting of RSUs</w:t>
            </w:r>
          </w:p>
        </w:tc>
        <w:tc>
          <w:tcPr>
            <w:tcW w:w="1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4,043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Incremental income from assumed vesting and exchange of Class B2 units</w:t>
            </w:r>
          </w:p>
        </w:tc>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37"/>
        </w:trPr>
        <w:tc>
          <w:tcPr>
            <w:tcW w:w="6120" w:type="dxa"/>
            <w:vAlign w:val="bottom"/>
          </w:tcPr>
          <w:p>
            <w:pPr>
              <w:ind w:left="240"/>
              <w:spacing w:after="0"/>
              <w:rPr>
                <w:sz w:val="20"/>
                <w:szCs w:val="20"/>
                <w:color w:val="auto"/>
              </w:rPr>
            </w:pPr>
            <w:r>
              <w:rPr>
                <w:rFonts w:ascii="Arial" w:cs="Arial" w:eastAsia="Arial" w:hAnsi="Arial"/>
                <w:sz w:val="18"/>
                <w:szCs w:val="18"/>
                <w:color w:val="auto"/>
              </w:rPr>
              <w:t>Net income attributable to StepStone Group Inc.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205,617</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68,411</w:t>
            </w: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shares of Class A common stock outstanding – Basic</w:t>
            </w:r>
          </w:p>
        </w:tc>
        <w:tc>
          <w:tcPr>
            <w:tcW w:w="160" w:type="dxa"/>
            <w:vAlign w:val="bottom"/>
            <w:shd w:val="clear" w:color="auto" w:fill="CCEEFF"/>
          </w:tcPr>
          <w:p>
            <w:pPr>
              <w:spacing w:after="0"/>
              <w:rPr>
                <w:sz w:val="22"/>
                <w:szCs w:val="22"/>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49,833,760</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29,657,805</w:t>
            </w:r>
          </w:p>
        </w:tc>
        <w:tc>
          <w:tcPr>
            <w:tcW w:w="0" w:type="dxa"/>
            <w:vAlign w:val="bottom"/>
          </w:tcPr>
          <w:p>
            <w:pPr>
              <w:spacing w:after="0"/>
              <w:rPr>
                <w:sz w:val="1"/>
                <w:szCs w:val="1"/>
                <w:color w:val="auto"/>
              </w:rPr>
            </w:pPr>
          </w:p>
        </w:tc>
      </w:tr>
      <w:tr>
        <w:trPr>
          <w:trHeight w:val="230"/>
        </w:trPr>
        <w:tc>
          <w:tcPr>
            <w:tcW w:w="6120" w:type="dxa"/>
            <w:vAlign w:val="bottom"/>
          </w:tcPr>
          <w:p>
            <w:pPr>
              <w:ind w:left="460"/>
              <w:spacing w:after="0"/>
              <w:rPr>
                <w:sz w:val="20"/>
                <w:szCs w:val="20"/>
                <w:color w:val="auto"/>
              </w:rPr>
            </w:pPr>
            <w:r>
              <w:rPr>
                <w:rFonts w:ascii="Arial" w:cs="Arial" w:eastAsia="Arial" w:hAnsi="Arial"/>
                <w:sz w:val="18"/>
                <w:szCs w:val="18"/>
                <w:color w:val="auto"/>
              </w:rPr>
              <w:t>Assumed vesting of RSUs</w:t>
            </w:r>
          </w:p>
        </w:tc>
        <w:tc>
          <w:tcPr>
            <w:tcW w:w="1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1,289,809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1,151,579</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and exchange of Class B2 units</w:t>
            </w:r>
          </w:p>
        </w:tc>
        <w:tc>
          <w:tcPr>
            <w:tcW w:w="1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2,476,681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2,465,420</w:t>
            </w:r>
          </w:p>
        </w:tc>
        <w:tc>
          <w:tcPr>
            <w:tcW w:w="0" w:type="dxa"/>
            <w:vAlign w:val="bottom"/>
          </w:tcPr>
          <w:p>
            <w:pPr>
              <w:spacing w:after="0"/>
              <w:rPr>
                <w:sz w:val="1"/>
                <w:szCs w:val="1"/>
                <w:color w:val="auto"/>
              </w:rPr>
            </w:pPr>
          </w:p>
        </w:tc>
      </w:tr>
      <w:tr>
        <w:trPr>
          <w:trHeight w:val="237"/>
        </w:trPr>
        <w:tc>
          <w:tcPr>
            <w:tcW w:w="6120" w:type="dxa"/>
            <w:vAlign w:val="bottom"/>
          </w:tcPr>
          <w:p>
            <w:pPr>
              <w:ind w:left="240"/>
              <w:spacing w:after="0"/>
              <w:rPr>
                <w:sz w:val="20"/>
                <w:szCs w:val="20"/>
                <w:color w:val="auto"/>
              </w:rPr>
            </w:pPr>
            <w:r>
              <w:rPr>
                <w:rFonts w:ascii="Arial" w:cs="Arial" w:eastAsia="Arial" w:hAnsi="Arial"/>
                <w:sz w:val="18"/>
                <w:szCs w:val="18"/>
                <w:color w:val="auto"/>
                <w:w w:val="99"/>
              </w:rPr>
              <w:t>Weighted-average shares of Class A common stock outstanding – Diluted</w:t>
            </w:r>
          </w:p>
        </w:tc>
        <w:tc>
          <w:tcPr>
            <w:tcW w:w="16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53,600,250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33,274,804</w:t>
            </w:r>
          </w:p>
        </w:tc>
        <w:tc>
          <w:tcPr>
            <w:tcW w:w="0" w:type="dxa"/>
            <w:vAlign w:val="bottom"/>
          </w:tcPr>
          <w:p>
            <w:pPr>
              <w:spacing w:after="0"/>
              <w:rPr>
                <w:sz w:val="1"/>
                <w:szCs w:val="1"/>
                <w:color w:val="auto"/>
              </w:rPr>
            </w:pPr>
          </w:p>
        </w:tc>
      </w:tr>
      <w:tr>
        <w:trPr>
          <w:trHeight w:val="270"/>
        </w:trPr>
        <w:tc>
          <w:tcPr>
            <w:tcW w:w="6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Earnings per share of Class A common stock</w:t>
            </w: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120" w:type="dxa"/>
            <w:vAlign w:val="bottom"/>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6"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color w:val="auto"/>
        </w:rPr>
        <w:t>The calculation of diluted earnings per share excludes 47,149,673 Class B units and 2,928,824 Class C units of the Partnership outstanding as of March 31, 2022, and 56,378,831 shares of Class B units of the Partnership outstanding as of March 31, 2021, which are exchangeable into Class A common stock under the if-converted method, as the inclusion of such shares would be anti-dilutive.</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$241.0 million, $171.0 million and $134.6 million for the years ended March 31, 2022, 2021 and 2020, respectively. Carried interest allocation revenues earned from the StepStone Funds totaled $786.6 million, $496.8 million and $208.0 million for the years ended March 31, 2022, 2021 and 2020, respectively. Legacy Greenspring carried interest allocation revenues earned from certain legacy Greenspring funds for which the Company has no direct economic interests totaled $187.1 million for the year ended March 31, 2022.</w:t>
      </w:r>
    </w:p>
    <w:p>
      <w:pPr>
        <w:spacing w:after="0" w:line="185" w:lineRule="exact"/>
        <w:rPr>
          <w:sz w:val="20"/>
          <w:szCs w:val="20"/>
          <w:color w:val="auto"/>
        </w:rPr>
      </w:pPr>
    </w:p>
    <w:p>
      <w:pPr>
        <w:ind w:right="200" w:firstLine="648"/>
        <w:spacing w:after="0" w:line="269" w:lineRule="auto"/>
        <w:rPr>
          <w:sz w:val="20"/>
          <w:szCs w:val="20"/>
          <w:color w:val="auto"/>
        </w:rPr>
      </w:pPr>
      <w:r>
        <w:rPr>
          <w:rFonts w:ascii="Arial" w:cs="Arial" w:eastAsia="Arial" w:hAnsi="Arial"/>
          <w:sz w:val="19"/>
          <w:szCs w:val="19"/>
          <w:color w:val="auto"/>
        </w:rPr>
        <w:t>Due from affiliates in the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As of March 31,</w:t>
            </w:r>
          </w:p>
        </w:tc>
        <w:tc>
          <w:tcPr>
            <w:tcW w:w="980" w:type="dxa"/>
            <w:vAlign w:val="bottom"/>
            <w:tcBorders>
              <w:bottom w:val="single" w:sz="8" w:color="auto"/>
            </w:tcBorders>
          </w:tcPr>
          <w:p>
            <w:pPr>
              <w:spacing w:after="0"/>
              <w:rPr>
                <w:sz w:val="18"/>
                <w:szCs w:val="18"/>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receivable from StepStone Funds</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19,027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receivable from employees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48"/>
        </w:trPr>
        <w:tc>
          <w:tcPr>
            <w:tcW w:w="8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due from affiliates</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19,369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Due to affiliates in the consolidated balance sheets consists primarily of amounts payable to certain non-controlling interest holders in connection with the Tax Receivable Agreements, amounts payable to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80" w:type="dxa"/>
            <w:vAlign w:val="bottom"/>
            <w:tcBorders>
              <w:bottom w:val="single" w:sz="8" w:color="auto"/>
            </w:tcBorders>
          </w:tcPr>
          <w:p>
            <w:pPr>
              <w:spacing w:after="0"/>
              <w:rPr>
                <w:sz w:val="18"/>
                <w:szCs w:val="18"/>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r>
      <w:tr>
        <w:trPr>
          <w:trHeight w:val="223"/>
        </w:trPr>
        <w:tc>
          <w:tcPr>
            <w:tcW w:w="808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199,355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113,522</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Company made payments of $0.8 million during the year ended March 31, 2022 under the Tax Receivable Agreements. No payments were made under the Tax Receivable Agreements during the year ended March 31,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Stockholders’ Equity</w:t>
      </w:r>
    </w:p>
    <w:p>
      <w:pPr>
        <w:spacing w:after="0" w:line="22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61"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In connection with the Greenspring acquisition, the limited partnership agreement of the Partnership was amended to create new Class C limited partnership interests and to admit the new limited partners that received Class C units as consideration for the Greenspring acquisition. 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has also entered into an agreement with the Class C limited partners of the Partnership to allow for the exchange of Class C units to shares of Class A common stock of the Company on a one-for-one basis, subject to certain restrictions.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March 31,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b w:val="1"/>
                <w:bCs w:val="1"/>
                <w:color w:val="auto"/>
              </w:rPr>
              <w:t>Class A Common</w:t>
            </w:r>
          </w:p>
        </w:tc>
        <w:tc>
          <w:tcPr>
            <w:tcW w:w="2420" w:type="dxa"/>
            <w:vAlign w:val="bottom"/>
          </w:tcPr>
          <w:p>
            <w:pPr>
              <w:jc w:val="right"/>
              <w:ind w:right="130"/>
              <w:spacing w:after="0"/>
              <w:rPr>
                <w:sz w:val="20"/>
                <w:szCs w:val="20"/>
                <w:color w:val="auto"/>
              </w:rPr>
            </w:pPr>
            <w:r>
              <w:rPr>
                <w:rFonts w:ascii="Arial" w:cs="Arial" w:eastAsia="Arial" w:hAnsi="Arial"/>
                <w:sz w:val="18"/>
                <w:szCs w:val="18"/>
                <w:b w:val="1"/>
                <w:bCs w:val="1"/>
                <w:color w:val="auto"/>
              </w:rPr>
              <w:t>Class B Common</w:t>
            </w:r>
          </w:p>
        </w:tc>
      </w:tr>
      <w:tr>
        <w:trPr>
          <w:trHeight w:val="230"/>
        </w:trPr>
        <w:tc>
          <w:tcPr>
            <w:tcW w:w="6280" w:type="dxa"/>
            <w:vAlign w:val="bottom"/>
          </w:tcPr>
          <w:p>
            <w:pPr>
              <w:spacing w:after="0"/>
              <w:rPr>
                <w:sz w:val="19"/>
                <w:szCs w:val="19"/>
                <w:color w:val="auto"/>
              </w:rPr>
            </w:pPr>
          </w:p>
        </w:tc>
        <w:tc>
          <w:tcPr>
            <w:tcW w:w="2540" w:type="dxa"/>
            <w:vAlign w:val="bottom"/>
            <w:gridSpan w:val="2"/>
          </w:tcPr>
          <w:p>
            <w:pPr>
              <w:ind w:left="980"/>
              <w:spacing w:after="0"/>
              <w:rPr>
                <w:sz w:val="20"/>
                <w:szCs w:val="20"/>
                <w:color w:val="auto"/>
              </w:rPr>
            </w:pPr>
            <w:r>
              <w:rPr>
                <w:rFonts w:ascii="Arial" w:cs="Arial" w:eastAsia="Arial" w:hAnsi="Arial"/>
                <w:sz w:val="18"/>
                <w:szCs w:val="18"/>
                <w:b w:val="1"/>
                <w:bCs w:val="1"/>
                <w:color w:val="auto"/>
              </w:rPr>
              <w:t>Stock</w:t>
            </w:r>
          </w:p>
        </w:tc>
        <w:tc>
          <w:tcPr>
            <w:tcW w:w="2420" w:type="dxa"/>
            <w:vAlign w:val="bottom"/>
          </w:tcPr>
          <w:p>
            <w:pPr>
              <w:jc w:val="right"/>
              <w:ind w:right="910"/>
              <w:spacing w:after="0"/>
              <w:rPr>
                <w:sz w:val="20"/>
                <w:szCs w:val="20"/>
                <w:color w:val="auto"/>
              </w:rPr>
            </w:pPr>
            <w:r>
              <w:rPr>
                <w:rFonts w:ascii="Arial" w:cs="Arial" w:eastAsia="Arial" w:hAnsi="Arial"/>
                <w:sz w:val="18"/>
                <w:szCs w:val="18"/>
                <w:b w:val="1"/>
                <w:bCs w:val="1"/>
                <w:color w:val="auto"/>
              </w:rPr>
              <w:t>Stock</w:t>
            </w:r>
          </w:p>
        </w:tc>
      </w:tr>
      <w:tr>
        <w:trPr>
          <w:trHeight w:val="223"/>
        </w:trPr>
        <w:tc>
          <w:tcPr>
            <w:tcW w:w="62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March 31, 2021</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38,437,500</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56,378,831</w:t>
            </w:r>
          </w:p>
        </w:tc>
      </w:tr>
      <w:tr>
        <w:trPr>
          <w:trHeight w:val="230"/>
        </w:trPr>
        <w:tc>
          <w:tcPr>
            <w:tcW w:w="6280" w:type="dxa"/>
            <w:vAlign w:val="bottom"/>
          </w:tcPr>
          <w:p>
            <w:pPr>
              <w:ind w:left="900"/>
              <w:spacing w:after="0"/>
              <w:rPr>
                <w:sz w:val="20"/>
                <w:szCs w:val="20"/>
                <w:color w:val="auto"/>
              </w:rPr>
            </w:pPr>
            <w:r>
              <w:rPr>
                <w:rFonts w:ascii="Arial" w:cs="Arial" w:eastAsia="Arial" w:hAnsi="Arial"/>
                <w:sz w:val="18"/>
                <w:szCs w:val="18"/>
                <w:color w:val="auto"/>
              </w:rPr>
              <w:t>Class A common stock issued for Greenspring acquisition</w:t>
            </w:r>
          </w:p>
        </w:tc>
        <w:tc>
          <w:tcPr>
            <w:tcW w:w="2400" w:type="dxa"/>
            <w:vAlign w:val="bottom"/>
          </w:tcPr>
          <w:p>
            <w:pPr>
              <w:jc w:val="right"/>
              <w:spacing w:after="0"/>
              <w:rPr>
                <w:sz w:val="20"/>
                <w:szCs w:val="20"/>
                <w:color w:val="auto"/>
              </w:rPr>
            </w:pPr>
            <w:r>
              <w:rPr>
                <w:rFonts w:ascii="Arial" w:cs="Arial" w:eastAsia="Arial" w:hAnsi="Arial"/>
                <w:sz w:val="18"/>
                <w:szCs w:val="18"/>
                <w:color w:val="auto"/>
              </w:rPr>
              <w:t>12,686,756</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issued in exchange for Class B Partnership units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9,229,158</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(9,229,158)</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Class A common stock issued in exchange for Class C Partnership units</w:t>
            </w:r>
          </w:p>
        </w:tc>
        <w:tc>
          <w:tcPr>
            <w:tcW w:w="2400" w:type="dxa"/>
            <w:vAlign w:val="bottom"/>
          </w:tcPr>
          <w:p>
            <w:pPr>
              <w:jc w:val="right"/>
              <w:spacing w:after="0"/>
              <w:rPr>
                <w:sz w:val="20"/>
                <w:szCs w:val="20"/>
                <w:color w:val="auto"/>
              </w:rPr>
            </w:pPr>
            <w:r>
              <w:rPr>
                <w:rFonts w:ascii="Arial" w:cs="Arial" w:eastAsia="Arial" w:hAnsi="Arial"/>
                <w:sz w:val="18"/>
                <w:szCs w:val="18"/>
                <w:color w:val="auto"/>
              </w:rPr>
              <w:t>142,695</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issued for vesting of RSUs</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645,197</w:t>
            </w:r>
          </w:p>
        </w:tc>
        <w:tc>
          <w:tcPr>
            <w:tcW w:w="14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Pr>
          <w:p>
            <w:pPr>
              <w:ind w:left="680"/>
              <w:spacing w:after="0"/>
              <w:rPr>
                <w:sz w:val="20"/>
                <w:szCs w:val="20"/>
                <w:color w:val="auto"/>
              </w:rPr>
            </w:pPr>
            <w:r>
              <w:rPr>
                <w:rFonts w:ascii="Arial" w:cs="Arial" w:eastAsia="Arial" w:hAnsi="Arial"/>
                <w:sz w:val="18"/>
                <w:szCs w:val="18"/>
                <w:color w:val="auto"/>
              </w:rPr>
              <w:t>March 31, 2022</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61,141,306</w:t>
            </w:r>
          </w:p>
        </w:tc>
        <w:tc>
          <w:tcPr>
            <w:tcW w:w="14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47,149,673</w:t>
            </w:r>
          </w:p>
        </w:tc>
      </w:tr>
      <w:tr>
        <w:trPr>
          <w:trHeight w:val="20"/>
        </w:trPr>
        <w:tc>
          <w:tcPr>
            <w:tcW w:w="62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500" w:firstLine="648"/>
        <w:spacing w:after="0" w:line="260" w:lineRule="auto"/>
        <w:rPr>
          <w:sz w:val="20"/>
          <w:szCs w:val="20"/>
          <w:color w:val="auto"/>
        </w:rPr>
      </w:pPr>
      <w:r>
        <w:rPr>
          <w:rFonts w:ascii="Arial" w:cs="Arial" w:eastAsia="Arial" w:hAnsi="Arial"/>
          <w:sz w:val="20"/>
          <w:szCs w:val="20"/>
          <w:color w:val="auto"/>
        </w:rPr>
        <w:t>The Company has 25,000,000 authorized shares of preferred stock, par value of $0.001 per share, and as of March 31, 2022, no shares of preferred stock were issued or outstanding.</w:t>
      </w:r>
    </w:p>
    <w:p>
      <w:pPr>
        <w:spacing w:after="0" w:line="177" w:lineRule="exact"/>
        <w:rPr>
          <w:sz w:val="20"/>
          <w:szCs w:val="20"/>
          <w:color w:val="auto"/>
        </w:rPr>
      </w:pPr>
    </w:p>
    <w:p>
      <w:pPr>
        <w:ind w:right="200" w:firstLine="648"/>
        <w:spacing w:after="0" w:line="291" w:lineRule="auto"/>
        <w:rPr>
          <w:sz w:val="20"/>
          <w:szCs w:val="20"/>
          <w:color w:val="auto"/>
        </w:rPr>
      </w:pPr>
      <w:r>
        <w:rPr>
          <w:rFonts w:ascii="Arial" w:cs="Arial" w:eastAsia="Arial" w:hAnsi="Arial"/>
          <w:sz w:val="18"/>
          <w:szCs w:val="18"/>
          <w:color w:val="auto"/>
        </w:rPr>
        <w:t>The Company records a reallocation adjustment between SSG stockholders’ equity, non-controlling interests in the Partnership and non-controlling interests in subsidiaries to reflect the impact of changes in economic ownership percentages during the period and adjust previously recorded equity transactions to the economic ownership percentage as of the end of each reporting period.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Equity Transactions Subsequent to the IPO</w:t>
      </w:r>
    </w:p>
    <w:p>
      <w:pPr>
        <w:spacing w:after="0" w:line="216"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In March 2022, the Company issued 350,000 shares of Class A common stock to a limited partner of the Partnership in exchange for 350,000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In February 2022, the Partnership completed a transaction to repurchase partnership interests in SRA from a former partner for approximately $0.3 million, and subsequently sold an equal number of partnership interests to certain employees of SRA for approximately $0.3 million, resulting in no net proceeds to the Partnership.</w:t>
      </w:r>
    </w:p>
    <w:p>
      <w:pPr>
        <w:spacing w:after="0" w:line="18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In December 2021, the Company issued 935,235 shares of Class A common stock to certain limited partners of the Partnership in exchange for 935,235 Class B units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spacing w:after="0" w:line="161"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In November 2021, the Company conducted an underwritten public offering of 4,500,000 shares of Class A common stock sold by selling stockholders at a public offering price of $51.83 per share. In connection with the offering, the Company issued 3,958,204 shares of Class A common stock to certain selling stockholders in exchange for 3,958,204 Class B units. A corresponding number of shares of Class B common stock were automatically redeemed at par value and canceled in connection with such exchange and a corresponding number of Class A units of the Partnership were issued to the Company. The Company also issued 142,695 shares of Class A common stock to certain selling stockholders in exchange for 142,695 Class C units and a corresponding number of Class A units of the Partnership were issued to the Company. The Company did not receive any proceeds from the sale of shares by the selling stockholders.</w:t>
      </w:r>
    </w:p>
    <w:p>
      <w:pPr>
        <w:spacing w:after="0" w:line="16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In September 2021, the Company issued 2,087,281 shares of Class A common stock to certain limited partners of the Partnership in exchange for 2,087,281 Class B units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spacing w:after="0" w:line="161"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Earlier in September 2021, the Company issued 12,686,756 shares of Class A common stock and 3,071,519 Class C units of the Partnership as partial consideration for the Greenspring acquisition. See note 15 for more information.</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19"/>
          <w:szCs w:val="19"/>
          <w:color w:val="auto"/>
        </w:rPr>
        <w:t>In June 2021, the Company issued 1,898,438 shares of Class A common stock to certain limited partners of the Partnership in exchange for 1,898,438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spacing w:after="0" w:line="176"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In March 2021, the Company conducted an underwritten public offering of 9,200,000 shares of Class A common stock, including 1,200,000 shares pursuant to the full exercise of the underwriters’ option to purchase additional shares, sold by selling stockholders at a public offering price of $29.50 per share. In connection with the offering, the Company issued 9,200,000 shares of Class A common stock to the selling stockholders in exchange for 9,200,000 Class B units. A corresponding number of shares of Class B common stock were automatically redeemed at par value and canceled in connection with such exchange and a corresponding number of Class A units of the Partnership were issued to the Company. The Company did not receive any proceeds from the sale of shares by the selling stockholders.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Equity Transactions in Connection with and Prior to the Reorganization and IPO</w:t>
      </w:r>
    </w:p>
    <w:p>
      <w:pPr>
        <w:spacing w:after="0" w:line="21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In connection with the consummation of the IPO, the Partnership issued new partnership interests to certain StepStone professionals at SRA in exchange for their partnership interests in SRA, which increased the Partnership’s interest in SRA to approximately 49% and decreased the StepStone professionals’ interest in SRA to approximately 51%.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In June 2020, SRA completed a transaction to repurchase partnership interests in SRA from a former partner for approximately $3.3 million, and subsequently sold an equal number of partnership interests to certain employees of SRA for approximately $3.3 million, resulting in no net proceeds to SRA.</w:t>
      </w:r>
    </w:p>
    <w:p>
      <w:pPr>
        <w:spacing w:after="0" w:line="186"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In August 2019, the Company completed a series of transactions resulting in the unitization of its equity and the combination of certain classes of the Company’s equity to facilitate the sale of newly issued equity interests in the Company to certain institutional investors (the “2019 Transaction”). The Company received approximately $110.8 million in net proceeds from the sale of equity to institutional investors and used all of the proceeds to repurchase an equal number of equity interests from certain existing partners of the Company. In addition, the Company repurchased additional Class D partnership interests from a former employee for $2.3 million, which will be paid to the former employee at such time carried interest allocations are realized by the Company. In connection with the 2019 Transaction, the previously existing Class A1, Class B, Class C and Class D partnership interests were canceled and combined with and into the existing Class A partnership interests of the Company as a single class with equal value (without substantive changes to economic rights associated therewith), with each partner participating ratably in all distributions, including carried interest.</w:t>
      </w:r>
    </w:p>
    <w:p>
      <w:pPr>
        <w:spacing w:after="0" w:line="170" w:lineRule="exact"/>
        <w:rPr>
          <w:sz w:val="20"/>
          <w:szCs w:val="20"/>
          <w:color w:val="auto"/>
        </w:rPr>
      </w:pPr>
    </w:p>
    <w:p>
      <w:pPr>
        <w:ind w:right="320" w:firstLine="648"/>
        <w:spacing w:after="0" w:line="250" w:lineRule="auto"/>
        <w:rPr>
          <w:sz w:val="20"/>
          <w:szCs w:val="20"/>
          <w:color w:val="auto"/>
        </w:rPr>
      </w:pPr>
      <w:r>
        <w:rPr>
          <w:rFonts w:ascii="Arial" w:cs="Arial" w:eastAsia="Arial" w:hAnsi="Arial"/>
          <w:sz w:val="20"/>
          <w:szCs w:val="20"/>
          <w:color w:val="auto"/>
        </w:rPr>
        <w:t>Prior to the 2019 Transaction, the Company had several classes of partnership interests outstanding: Class A, Class A1, Class A2, Class B, Class C and Class D. Holders of Class A1, Class B and Class C partnership interests generally had similar rights, including the sharing of economics, with certain exceptions.</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 part of the Reorganization, the previously existing Class A partnership interests of the Company were reclassified as Class B units and previously granted awards of Class A2 unvested partnership units were reclassified as Class B2 units.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Dividends and Distributions</w:t>
      </w:r>
    </w:p>
    <w:p>
      <w:pPr>
        <w:spacing w:after="0" w:line="21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Dividends and distributions are reflected in the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following table presents information regarding quarterly dividends on Class A common shares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Quarterly Fiscal Period</w:t>
            </w:r>
            <w:r>
              <w:rPr>
                <w:rFonts w:ascii="Arial" w:cs="Arial" w:eastAsia="Arial" w:hAnsi="Arial"/>
                <w:sz w:val="23"/>
                <w:szCs w:val="23"/>
                <w:b w:val="1"/>
                <w:bCs w:val="1"/>
                <w:color w:val="auto"/>
                <w:w w:val="91"/>
                <w:vertAlign w:val="superscript"/>
              </w:rPr>
              <w:t>1</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Dividend Payment Date</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Dividend Per Share of Class A Common Stock</w:t>
            </w:r>
          </w:p>
        </w:tc>
      </w:tr>
      <w:tr>
        <w:trPr>
          <w:trHeight w:val="223"/>
        </w:trPr>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First quarter</w:t>
            </w:r>
          </w:p>
        </w:tc>
        <w:tc>
          <w:tcPr>
            <w:tcW w:w="14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Second quarter</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80" w:type="dxa"/>
            <w:vAlign w:val="bottom"/>
          </w:tcPr>
          <w:p>
            <w:pPr>
              <w:jc w:val="right"/>
              <w:ind w:right="1590"/>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Third quarter</w:t>
            </w:r>
          </w:p>
        </w:tc>
        <w:tc>
          <w:tcPr>
            <w:tcW w:w="3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1"/>
              </w:rPr>
              <w:t>Fourth quarter</w:t>
            </w:r>
          </w:p>
        </w:tc>
        <w:tc>
          <w:tcPr>
            <w:tcW w:w="37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1"/>
              </w:rPr>
              <w:t>March 12, 2021</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Total dividends paid in FY2021</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First quarter</w:t>
            </w:r>
          </w:p>
        </w:tc>
        <w:tc>
          <w:tcPr>
            <w:tcW w:w="3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July 15, 2021</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Second quarter</w:t>
            </w:r>
          </w:p>
        </w:tc>
        <w:tc>
          <w:tcPr>
            <w:tcW w:w="3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15, 2021</w:t>
            </w:r>
          </w:p>
        </w:tc>
        <w:tc>
          <w:tcPr>
            <w:tcW w:w="88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Third quarter</w:t>
            </w:r>
          </w:p>
        </w:tc>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December 15, 2021</w:t>
            </w:r>
          </w:p>
        </w:tc>
        <w:tc>
          <w:tcPr>
            <w:tcW w:w="88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29"/>
        </w:trPr>
        <w:tc>
          <w:tcPr>
            <w:tcW w:w="37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1"/>
              </w:rPr>
              <w:t>Fourth quarter</w:t>
            </w:r>
          </w:p>
        </w:tc>
        <w:tc>
          <w:tcPr>
            <w:tcW w:w="37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1"/>
              </w:rPr>
              <w:t>March 15, 2022</w:t>
            </w:r>
          </w:p>
        </w:tc>
        <w:tc>
          <w:tcPr>
            <w:tcW w:w="8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48"/>
        </w:trPr>
        <w:tc>
          <w:tcPr>
            <w:tcW w:w="3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Total dividends paid in FY2022</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jc w:val="both"/>
        <w:ind w:left="660" w:right="60" w:hanging="652"/>
        <w:spacing w:after="0" w:line="277" w:lineRule="auto"/>
        <w:tabs>
          <w:tab w:leader="none" w:pos="654"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Prior to the Company’s IPO on September 16, 2020, it was a wholly-owned subsidiary of the Partnership, had a single class of common stock and did not pay dividends. As such, there is no quarterly dividend information reported for the quarter ended September 30, 2020 or any periods prior. Dividends paid, as reported in this table, relate to the preceding quarterly period in which they were earned.</w:t>
      </w:r>
    </w:p>
    <w:p>
      <w:pPr>
        <w:spacing w:after="0" w:line="164" w:lineRule="exact"/>
        <w:rPr>
          <w:sz w:val="20"/>
          <w:szCs w:val="20"/>
          <w:color w:val="auto"/>
        </w:rPr>
      </w:pPr>
    </w:p>
    <w:p>
      <w:pPr>
        <w:ind w:left="660" w:right="8480" w:hanging="652"/>
        <w:spacing w:after="0" w:line="585" w:lineRule="auto"/>
        <w:tabs>
          <w:tab w:leader="none" w:pos="457"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Greenspring Acquisition</w:t>
      </w:r>
    </w:p>
    <w:p>
      <w:pPr>
        <w:ind w:firstLine="648"/>
        <w:spacing w:after="0" w:line="272" w:lineRule="auto"/>
        <w:rPr>
          <w:sz w:val="20"/>
          <w:szCs w:val="20"/>
          <w:color w:val="auto"/>
        </w:rPr>
      </w:pPr>
      <w:r>
        <w:rPr>
          <w:rFonts w:ascii="Arial" w:cs="Arial" w:eastAsia="Arial" w:hAnsi="Arial"/>
          <w:sz w:val="18"/>
          <w:szCs w:val="18"/>
          <w:color w:val="auto"/>
        </w:rPr>
        <w:t>On September 20, 2021, the Company completed the acquisition of 100% of the equity of Greenspring Associates, Inc. and certain of its affiliates (collectively, “Greenspring”) in exchange for (i) cash consideration of approximately $185 million, net of an agreed upon adjustment based upon Greenspring’s net working capital balance at the closing date, (ii) 12,686,756 shares of Class A common stock and</w:t>
      </w:r>
    </w:p>
    <w:p>
      <w:pPr>
        <w:spacing w:after="0" w:line="1" w:lineRule="exact"/>
        <w:rPr>
          <w:sz w:val="20"/>
          <w:szCs w:val="20"/>
          <w:color w:val="auto"/>
        </w:rPr>
      </w:pPr>
    </w:p>
    <w:p>
      <w:pPr>
        <w:ind w:right="100" w:firstLine="8"/>
        <w:spacing w:after="0"/>
        <w:tabs>
          <w:tab w:leader="none" w:pos="346" w:val="left"/>
        </w:tabs>
        <w:numPr>
          <w:ilvl w:val="0"/>
          <w:numId w:val="83"/>
        </w:numPr>
        <w:rPr>
          <w:rFonts w:ascii="Arial" w:cs="Arial" w:eastAsia="Arial" w:hAnsi="Arial"/>
          <w:sz w:val="20"/>
          <w:szCs w:val="20"/>
          <w:color w:val="auto"/>
        </w:rPr>
      </w:pPr>
      <w:r>
        <w:rPr>
          <w:rFonts w:ascii="Arial" w:cs="Arial" w:eastAsia="Arial" w:hAnsi="Arial"/>
          <w:sz w:val="20"/>
          <w:szCs w:val="20"/>
          <w:color w:val="auto"/>
        </w:rPr>
        <w:t>3,071,519 newly issued Class C units of the Partnership (the “Greenspring acquisition”). The transaction agreement also included an earn-out of payment up to $75 million that is payable in 2025 subject to the achievement of certain management fee revenue targets for calendar year 2024. The results of Greenspring’s operations have been included in the consolidated financial statements effective September 20, 2021. The acquisition of Greenspring is expected to expand the Company’s continued growth of its private markets capabilities across asset classes, geographies and sectors.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The aggregate purchase price for the acquisition of Greenspring and the estimated fair values of the assets acquired and liabilities assumed at the acquisition date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Acquisition date fair value of consideration transferred:</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Cash consideration</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186,577</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common stock</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558,598</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Class C units of the Partnership</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135,239</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w:t>
            </w:r>
          </w:p>
        </w:tc>
      </w:tr>
      <w:tr>
        <w:trPr>
          <w:trHeight w:val="223"/>
        </w:trPr>
        <w:tc>
          <w:tcPr>
            <w:tcW w:w="9000" w:type="dxa"/>
            <w:vAlign w:val="bottom"/>
          </w:tcPr>
          <w:p>
            <w:pPr>
              <w:ind w:left="680"/>
              <w:spacing w:after="0"/>
              <w:rPr>
                <w:sz w:val="20"/>
                <w:szCs w:val="20"/>
                <w:color w:val="auto"/>
              </w:rPr>
            </w:pPr>
            <w:r>
              <w:rPr>
                <w:rFonts w:ascii="Arial" w:cs="Arial" w:eastAsia="Arial" w:hAnsi="Arial"/>
                <w:sz w:val="18"/>
                <w:szCs w:val="18"/>
                <w:color w:val="auto"/>
              </w:rPr>
              <w:t>Total purchase price</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898,183</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90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Estimated fair value of assets acquired and liabilities assumed:</w:t>
            </w:r>
          </w:p>
        </w:tc>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receivables</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r>
      <w:tr>
        <w:trPr>
          <w:trHeight w:val="229"/>
        </w:trPr>
        <w:tc>
          <w:tcPr>
            <w:tcW w:w="9000" w:type="dxa"/>
            <w:vAlign w:val="bottom"/>
          </w:tcPr>
          <w:p>
            <w:pPr>
              <w:ind w:left="360"/>
              <w:spacing w:after="0" w:line="230" w:lineRule="exact"/>
              <w:rPr>
                <w:sz w:val="20"/>
                <w:szCs w:val="20"/>
                <w:color w:val="auto"/>
              </w:rPr>
            </w:pPr>
            <w:r>
              <w:rPr>
                <w:rFonts w:ascii="Arial" w:cs="Arial" w:eastAsia="Arial" w:hAnsi="Arial"/>
                <w:sz w:val="18"/>
                <w:szCs w:val="18"/>
                <w:color w:val="auto"/>
              </w:rPr>
              <w:t>Legacy Greenspring investments in funds and accrued carried interest allocations</w:t>
            </w:r>
            <w:r>
              <w:rPr>
                <w:rFonts w:ascii="Arial" w:cs="Arial" w:eastAsia="Arial" w:hAnsi="Arial"/>
                <w:sz w:val="23"/>
                <w:szCs w:val="23"/>
                <w:color w:val="auto"/>
                <w:vertAlign w:val="superscript"/>
              </w:rPr>
              <w:t>(1)</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1,203,299</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right-of-use assets, net</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Other assets and receivables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2,146</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assets—contractual rights: management contracts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310,944</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Finite-lived intangible assets—client relationships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96,650</w:t>
            </w:r>
          </w:p>
        </w:tc>
      </w:tr>
      <w:tr>
        <w:trPr>
          <w:trHeight w:val="229"/>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Finite-lived intangible assets—contractual rights: service agreements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573,750</w:t>
            </w: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(95,884)</w:t>
            </w:r>
          </w:p>
        </w:tc>
      </w:tr>
      <w:tr>
        <w:trPr>
          <w:trHeight w:val="229"/>
        </w:trPr>
        <w:tc>
          <w:tcPr>
            <w:tcW w:w="900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(4,685)</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Legacy Greenspring accrued carried interest-related compensation</w:t>
            </w:r>
            <w:r>
              <w:rPr>
                <w:rFonts w:ascii="Arial" w:cs="Arial" w:eastAsia="Arial" w:hAnsi="Arial"/>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(1,045,157)</w:t>
            </w: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(2,585)</w:t>
            </w:r>
          </w:p>
        </w:tc>
      </w:tr>
      <w:tr>
        <w:trPr>
          <w:trHeight w:val="230"/>
        </w:trPr>
        <w:tc>
          <w:tcPr>
            <w:tcW w:w="90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Non-controlling interests in legacy Greenspring entities</w:t>
            </w:r>
            <w:r>
              <w:rPr>
                <w:rFonts w:ascii="Arial" w:cs="Arial" w:eastAsia="Arial" w:hAnsi="Arial"/>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(158,142)</w:t>
            </w:r>
          </w:p>
        </w:tc>
      </w:tr>
      <w:tr>
        <w:trPr>
          <w:trHeight w:val="223"/>
        </w:trPr>
        <w:tc>
          <w:tcPr>
            <w:tcW w:w="9000" w:type="dxa"/>
            <w:vAlign w:val="bottom"/>
          </w:tcPr>
          <w:p>
            <w:pPr>
              <w:ind w:left="68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898,183</w:t>
            </w:r>
          </w:p>
        </w:tc>
      </w:tr>
      <w:tr>
        <w:trPr>
          <w:trHeight w:val="20"/>
        </w:trPr>
        <w:tc>
          <w:tcPr>
            <w:tcW w:w="9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jc w:val="both"/>
        <w:ind w:left="660" w:right="400" w:hanging="652"/>
        <w:spacing w:after="0" w:line="277" w:lineRule="auto"/>
        <w:tabs>
          <w:tab w:leader="none" w:pos="654"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Represents investments in funds and carried interest allocations attributable to consolidated VIEs for which the Company did not acquire any direct economic interests. Such amounts are attributable to employees and therefore have been reflected as non-controlling interests in legacy Greenspring entities and legacy Greenspring accrued carried interest-related compensation, respectively.</w:t>
      </w:r>
    </w:p>
    <w:p>
      <w:pPr>
        <w:spacing w:after="0" w:line="170"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For the year ended March 31, 2022, the Company incurred $13.8 million of acquisition-related costs that were expensed as incurred and included in general, administrative and other expenses in the consolidated statements of income.</w:t>
      </w:r>
    </w:p>
    <w:p>
      <w:pPr>
        <w:spacing w:after="0" w:line="177"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The Company allocated $320.5 million and $96.7 million of the purchase price to the fair value of contractual rights and client relationships, respectively, which will be amortized over a weighted-average amortization period of 10.0 years. The $573.8 million of goodwill primarily related to Greenspring’s assembled workforce and business synergies expected to be realized from the transaction. This goodwill is not expected to be deductible for tax purposes.</w:t>
      </w:r>
    </w:p>
    <w:p>
      <w:pPr>
        <w:spacing w:after="0" w:line="191"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The amount of revenues and net income of Greenspring (including amounts attributable to legacy Greenspring entities) since the acquisition date were approximately $230 million and $54 million,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supplemental unaudited pro forma information assumes the Greenspring acquisition, as well as the Reorganization and</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IPO, had been consummated as of April 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Year Ended March 31,</w:t>
            </w:r>
          </w:p>
        </w:tc>
      </w:tr>
      <w:tr>
        <w:trPr>
          <w:trHeight w:val="223"/>
        </w:trPr>
        <w:tc>
          <w:tcPr>
            <w:tcW w:w="74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1,866,986</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1,362,067</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income attributable to StepStone Group Inc.</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168,653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80,743</w:t>
            </w:r>
          </w:p>
        </w:tc>
      </w:tr>
    </w:tbl>
    <w:p>
      <w:pPr>
        <w:spacing w:after="0" w:line="293"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The Company’s fiscal year ends on March 31, and prior to the transaction, Greenspring’s fiscal year ended on December 31. To comply with SEC rules and regulations for companies with different fiscal year ends, the pro forma combined financial information has been prepared utilizing periods that differ by less than 93 days. The unaudited pro forma information for the year ended March 31, 2022 combines the Company’s historical audited consolidated statement of income for the year ended March 31, 2022 and Greenspring’s historical unaudited combined statement of income for the 12 months ended March 31, 2022. The unaudited pro forma information for the year ended March 31, 2021 combines the Company’s historical audited consolidated statement of income for the year ended March 31, 2021 and Greenspring’s historical audited combined statement of income for the fiscal year ended December 31, 2020.</w:t>
      </w:r>
    </w:p>
    <w:p>
      <w:pPr>
        <w:spacing w:after="0" w:line="168" w:lineRule="exact"/>
        <w:rPr>
          <w:sz w:val="20"/>
          <w:szCs w:val="20"/>
          <w:color w:val="auto"/>
        </w:rPr>
      </w:pPr>
    </w:p>
    <w:p>
      <w:pPr>
        <w:ind w:right="280" w:firstLine="648"/>
        <w:spacing w:after="0" w:line="278" w:lineRule="auto"/>
        <w:rPr>
          <w:sz w:val="20"/>
          <w:szCs w:val="20"/>
          <w:color w:val="auto"/>
        </w:rPr>
      </w:pPr>
      <w:r>
        <w:rPr>
          <w:rFonts w:ascii="Arial" w:cs="Arial" w:eastAsia="Arial" w:hAnsi="Arial"/>
          <w:sz w:val="18"/>
          <w:szCs w:val="18"/>
          <w:color w:val="auto"/>
        </w:rPr>
        <w:t>The supplemental unaudited pro forma information is based on estimates and assumptions believed reasonable and are not necessarily indicative of the Company’s consolidated results in future periods or the results that actually would have been realized had the Greenspring acquisition been a combined entity during the periods presented. The pro forma amounts have been calculated after reflecting the following adjustments that were directly attributable to the Reorganization, IPO, Greenspring acquisition and the related debt issuance used to fund a portion of the cash consideration, as if the transactions were consummated on April 1,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Reorganization and IPO</w:t>
      </w:r>
    </w:p>
    <w:p>
      <w:pPr>
        <w:spacing w:after="0" w:line="216" w:lineRule="exact"/>
        <w:rPr>
          <w:sz w:val="20"/>
          <w:szCs w:val="20"/>
          <w:color w:val="auto"/>
        </w:rPr>
      </w:pPr>
    </w:p>
    <w:p>
      <w:pPr>
        <w:ind w:left="640" w:hanging="308"/>
        <w:spacing w:after="0"/>
        <w:tabs>
          <w:tab w:leader="none" w:pos="6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adjustments to include compensation expense associated with the 2.5 million RSUs issued in connection with the IPO;</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adjustments on interest expense to reflect the repayment of outstanding debt using a portion of the IPO proceeds;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adjustments to include federal and state income taxes for the Company’s share of taxable income generated by the Partnership; and</w:t>
      </w:r>
    </w:p>
    <w:p>
      <w:pPr>
        <w:spacing w:after="0" w:line="238" w:lineRule="exact"/>
        <w:rPr>
          <w:rFonts w:ascii="Arial" w:cs="Arial" w:eastAsia="Arial" w:hAnsi="Arial"/>
          <w:sz w:val="18"/>
          <w:szCs w:val="18"/>
          <w:color w:val="auto"/>
        </w:rPr>
      </w:pPr>
    </w:p>
    <w:p>
      <w:pPr>
        <w:ind w:left="660" w:right="3940" w:hanging="328"/>
        <w:spacing w:after="0" w:line="464" w:lineRule="auto"/>
        <w:tabs>
          <w:tab w:leader="none" w:pos="648"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adjustments to reflect the pro-rata economic ownership attributable to the Company. </w:t>
      </w:r>
      <w:r>
        <w:rPr>
          <w:rFonts w:ascii="Arial" w:cs="Arial" w:eastAsia="Arial" w:hAnsi="Arial"/>
          <w:sz w:val="20"/>
          <w:szCs w:val="20"/>
          <w:i w:val="1"/>
          <w:iCs w:val="1"/>
          <w:color w:val="auto"/>
        </w:rPr>
        <w:t>Debt Financing</w:t>
      </w:r>
    </w:p>
    <w:p>
      <w:pPr>
        <w:spacing w:after="0" w:line="1" w:lineRule="exact"/>
        <w:rPr>
          <w:rFonts w:ascii="Arial" w:cs="Arial" w:eastAsia="Arial" w:hAnsi="Arial"/>
          <w:sz w:val="20"/>
          <w:szCs w:val="20"/>
          <w:color w:val="auto"/>
        </w:rPr>
      </w:pPr>
    </w:p>
    <w:p>
      <w:pPr>
        <w:ind w:left="660" w:right="1780" w:hanging="328"/>
        <w:spacing w:after="0" w:line="464" w:lineRule="auto"/>
        <w:tabs>
          <w:tab w:leader="none" w:pos="648"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adjustments to include interest expense related to the Revolver used to fund a portion of the cash consideration. </w:t>
      </w:r>
      <w:r>
        <w:rPr>
          <w:rFonts w:ascii="Arial" w:cs="Arial" w:eastAsia="Arial" w:hAnsi="Arial"/>
          <w:sz w:val="20"/>
          <w:szCs w:val="20"/>
          <w:i w:val="1"/>
          <w:iCs w:val="1"/>
          <w:color w:val="auto"/>
        </w:rPr>
        <w:t>Greenspring Acquisition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adjustments to include the impact of additional amortization of acquired intangible assets that would have been charged;</w:t>
      </w:r>
    </w:p>
    <w:p>
      <w:pPr>
        <w:spacing w:after="0" w:line="227" w:lineRule="exact"/>
        <w:rPr>
          <w:rFonts w:ascii="Arial" w:cs="Arial" w:eastAsia="Arial" w:hAnsi="Arial"/>
          <w:sz w:val="19"/>
          <w:szCs w:val="19"/>
          <w:color w:val="auto"/>
        </w:rPr>
      </w:pPr>
    </w:p>
    <w:p>
      <w:pPr>
        <w:ind w:left="660" w:right="180" w:hanging="328"/>
        <w:spacing w:after="0" w:line="260" w:lineRule="auto"/>
        <w:tabs>
          <w:tab w:leader="none" w:pos="648" w:val="left"/>
        </w:tabs>
        <w:numPr>
          <w:ilvl w:val="0"/>
          <w:numId w:val="85"/>
        </w:numPr>
        <w:rPr>
          <w:rFonts w:ascii="Arial" w:cs="Arial" w:eastAsia="Arial" w:hAnsi="Arial"/>
          <w:sz w:val="20"/>
          <w:szCs w:val="20"/>
          <w:color w:val="auto"/>
        </w:rPr>
      </w:pPr>
      <w:r>
        <w:rPr>
          <w:rFonts w:ascii="Arial" w:cs="Arial" w:eastAsia="Arial" w:hAnsi="Arial"/>
          <w:sz w:val="20"/>
          <w:szCs w:val="20"/>
          <w:color w:val="auto"/>
        </w:rPr>
        <w:t>adjustments to include the issuance of Class A common stock of the Company and Class C units of the Partnership as consideration for the transaction;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left="640" w:hanging="308"/>
        <w:spacing w:after="0"/>
        <w:tabs>
          <w:tab w:leader="none" w:pos="640" w:val="left"/>
        </w:tabs>
        <w:numPr>
          <w:ilvl w:val="1"/>
          <w:numId w:val="86"/>
        </w:numPr>
        <w:rPr>
          <w:rFonts w:ascii="Arial" w:cs="Arial" w:eastAsia="Arial" w:hAnsi="Arial"/>
          <w:sz w:val="20"/>
          <w:szCs w:val="20"/>
          <w:color w:val="auto"/>
        </w:rPr>
      </w:pPr>
      <w:r>
        <w:rPr>
          <w:rFonts w:ascii="Arial" w:cs="Arial" w:eastAsia="Arial" w:hAnsi="Arial"/>
          <w:sz w:val="20"/>
          <w:szCs w:val="20"/>
          <w:color w:val="auto"/>
        </w:rPr>
        <w:t>adjustments to reflect the pro-rata economic ownership attributable to the Company;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1"/>
          <w:numId w:val="86"/>
        </w:numPr>
        <w:rPr>
          <w:rFonts w:ascii="Arial" w:cs="Arial" w:eastAsia="Arial" w:hAnsi="Arial"/>
          <w:sz w:val="19"/>
          <w:szCs w:val="19"/>
          <w:color w:val="auto"/>
        </w:rPr>
      </w:pPr>
      <w:r>
        <w:rPr>
          <w:rFonts w:ascii="Arial" w:cs="Arial" w:eastAsia="Arial" w:hAnsi="Arial"/>
          <w:sz w:val="19"/>
          <w:szCs w:val="19"/>
          <w:color w:val="auto"/>
        </w:rPr>
        <w:t>adjustments to reflect the tax effects of the Greenspring acquisition and including Greenspring in the Company’s results; and</w:t>
      </w:r>
    </w:p>
    <w:p>
      <w:pPr>
        <w:spacing w:after="0" w:line="227" w:lineRule="exact"/>
        <w:rPr>
          <w:rFonts w:ascii="Arial" w:cs="Arial" w:eastAsia="Arial" w:hAnsi="Arial"/>
          <w:sz w:val="19"/>
          <w:szCs w:val="19"/>
          <w:color w:val="auto"/>
        </w:rPr>
      </w:pPr>
    </w:p>
    <w:p>
      <w:pPr>
        <w:ind w:left="640" w:hanging="308"/>
        <w:spacing w:after="0"/>
        <w:tabs>
          <w:tab w:leader="none" w:pos="640" w:val="left"/>
        </w:tabs>
        <w:numPr>
          <w:ilvl w:val="1"/>
          <w:numId w:val="86"/>
        </w:numPr>
        <w:rPr>
          <w:rFonts w:ascii="Arial" w:cs="Arial" w:eastAsia="Arial" w:hAnsi="Arial"/>
          <w:sz w:val="20"/>
          <w:szCs w:val="20"/>
          <w:color w:val="auto"/>
        </w:rPr>
      </w:pPr>
      <w:r>
        <w:rPr>
          <w:rFonts w:ascii="Arial" w:cs="Arial" w:eastAsia="Arial" w:hAnsi="Arial"/>
          <w:sz w:val="20"/>
          <w:szCs w:val="20"/>
          <w:color w:val="auto"/>
        </w:rPr>
        <w:t>adjustments to include acquisition-related transaction costs in earnings for the year ended March 31, 2021.</w:t>
      </w:r>
    </w:p>
    <w:p>
      <w:pPr>
        <w:spacing w:after="0" w:line="209" w:lineRule="exact"/>
        <w:rPr>
          <w:rFonts w:ascii="Arial" w:cs="Arial" w:eastAsia="Arial" w:hAnsi="Arial"/>
          <w:sz w:val="20"/>
          <w:szCs w:val="20"/>
          <w:color w:val="auto"/>
        </w:rPr>
      </w:pPr>
    </w:p>
    <w:p>
      <w:pPr>
        <w:ind w:left="460" w:hanging="452"/>
        <w:spacing w:after="0"/>
        <w:tabs>
          <w:tab w:leader="none" w:pos="46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Litigation</w:t>
      </w:r>
    </w:p>
    <w:p>
      <w:pPr>
        <w:spacing w:after="0" w:line="2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consolidated financial statements as of March 31, 2022.</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22"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The Company leases offices in 23 cities in the United States, Canada, South America, Europe, Asia and Australia, and certain equipment subject to operating lease agreements expiring through 2031, some of which may include options to extend or terminate the lease. As of March 31, 2022, there were no finance leases outstanding.</w:t>
      </w:r>
    </w:p>
    <w:p>
      <w:pPr>
        <w:spacing w:after="0" w:line="186" w:lineRule="exact"/>
        <w:rPr>
          <w:sz w:val="20"/>
          <w:szCs w:val="20"/>
          <w:color w:val="auto"/>
        </w:rPr>
      </w:pPr>
    </w:p>
    <w:p>
      <w:pPr>
        <w:ind w:right="240" w:firstLine="648"/>
        <w:spacing w:after="0" w:line="246" w:lineRule="auto"/>
        <w:rPr>
          <w:sz w:val="20"/>
          <w:szCs w:val="20"/>
          <w:color w:val="auto"/>
        </w:rPr>
      </w:pPr>
      <w:r>
        <w:rPr>
          <w:rFonts w:ascii="Arial" w:cs="Arial" w:eastAsia="Arial" w:hAnsi="Arial"/>
          <w:sz w:val="20"/>
          <w:szCs w:val="20"/>
          <w:color w:val="auto"/>
        </w:rPr>
        <w:t>In June 2021, the Company executed an agreement to lease additional office space for its La Jolla office. The Company gained access to the additional space in April 2022 following the completion of the build out by the lessor. The Company established a ROU asset and lease liability for the new lease upon lease commencement in April 2022, with the total future lease payments expected to be approximately $3.3 million over approximately 9 years.</w:t>
      </w:r>
    </w:p>
    <w:p>
      <w:pPr>
        <w:spacing w:after="0" w:line="191"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In February 2022, the Company executed an agreement to lease additional office space for its U.K. office. The lessor is currently undergoing the build out for the additional office space and the Company expects to gain access to the additional space in June 2022. At that time, the Company will establish a ROU asset and lease liability for the new lease. Upon lease commencement, total future lease payments are expected to be approximately $21.7 million over approximately 10 years.</w:t>
      </w:r>
    </w:p>
    <w:p>
      <w:pPr>
        <w:spacing w:after="0" w:line="191"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The components of lease expense included in general, administrative and other expenses in the consolidated statements of income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Year Ended March 31,</w:t>
            </w:r>
          </w:p>
        </w:tc>
      </w:tr>
      <w:tr>
        <w:trPr>
          <w:trHeight w:val="223"/>
        </w:trPr>
        <w:tc>
          <w:tcPr>
            <w:tcW w:w="87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2022</w:t>
            </w:r>
          </w:p>
        </w:tc>
      </w:tr>
      <w:tr>
        <w:trPr>
          <w:trHeight w:val="223"/>
        </w:trPr>
        <w:tc>
          <w:tcPr>
            <w:tcW w:w="87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23"/>
        </w:trPr>
        <w:tc>
          <w:tcPr>
            <w:tcW w:w="876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w:t>
            </w:r>
          </w:p>
        </w:tc>
      </w:tr>
      <w:tr>
        <w:trPr>
          <w:trHeight w:val="21"/>
        </w:trPr>
        <w:tc>
          <w:tcPr>
            <w:tcW w:w="8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Operating lease cost includes an immaterial amount of short-term leases.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84"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Occupancy expense related to office facility operating leases totaled $9.3 million and $8.7 million for the years ended March 31, 2021 and 2020,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Supplemental cash flow information related to leases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Borders>
              <w:bottom w:val="single" w:sz="8" w:color="CCEEFF"/>
            </w:tcBorders>
          </w:tcPr>
          <w:p>
            <w:pPr>
              <w:spacing w:after="0"/>
              <w:rPr>
                <w:sz w:val="20"/>
                <w:szCs w:val="20"/>
                <w:color w:val="auto"/>
              </w:rPr>
            </w:pPr>
          </w:p>
        </w:tc>
        <w:tc>
          <w:tcPr>
            <w:tcW w:w="29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Year Ended March 31, 2022</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Operating cash flows used for operating leases</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10,319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for operating leases (in years)</w:t>
            </w: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Weighted-average discount rate for operating leases</w:t>
            </w: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543"/>
        </w:trPr>
        <w:tc>
          <w:tcPr>
            <w:tcW w:w="8260" w:type="dxa"/>
            <w:vAlign w:val="bottom"/>
          </w:tcPr>
          <w:p>
            <w:pPr>
              <w:ind w:left="660"/>
              <w:spacing w:after="0"/>
              <w:rPr>
                <w:sz w:val="20"/>
                <w:szCs w:val="20"/>
                <w:color w:val="auto"/>
              </w:rPr>
            </w:pPr>
            <w:r>
              <w:rPr>
                <w:rFonts w:ascii="Arial" w:cs="Arial" w:eastAsia="Arial" w:hAnsi="Arial"/>
                <w:sz w:val="20"/>
                <w:szCs w:val="20"/>
                <w:color w:val="auto"/>
              </w:rPr>
              <w:t>As of March 31, 2022, maturities of operating lease liabilities were as follows: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5"/>
        </w:trPr>
        <w:tc>
          <w:tcPr>
            <w:tcW w:w="8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FY2023</w:t>
            </w:r>
          </w:p>
        </w:tc>
        <w:tc>
          <w:tcPr>
            <w:tcW w:w="20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FY2024</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11,582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w:t>
            </w: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FY2026</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10,227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FY2027</w:t>
            </w: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29,602</w:t>
            </w:r>
          </w:p>
        </w:tc>
      </w:tr>
      <w:tr>
        <w:trPr>
          <w:trHeight w:val="223"/>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82,069</w:t>
            </w:r>
          </w:p>
        </w:tc>
      </w:tr>
      <w:tr>
        <w:trPr>
          <w:trHeight w:val="230"/>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Imputed interest</w:t>
            </w: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(11,104)</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22"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As of March 31, 2022 and 2021, the Company, generally in its capacity as general partner or managing member of the StepStone Funds, had unfunded commitments totaling $68.2 million and $60.5 million, respectively. The $68.2 million of unfunded commitments as of March 31, 2022 excludes $40.5 million related to commitments held by the legacy Greenspring general partner entities in legacy Greenspring funds for which the Company does not hold any direct economic interests.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22" w:lineRule="exact"/>
        <w:rPr>
          <w:sz w:val="20"/>
          <w:szCs w:val="20"/>
          <w:color w:val="auto"/>
        </w:rPr>
      </w:pPr>
    </w:p>
    <w:p>
      <w:pPr>
        <w:ind w:right="20" w:firstLine="648"/>
        <w:spacing w:after="0" w:line="255" w:lineRule="auto"/>
        <w:rPr>
          <w:sz w:val="20"/>
          <w:szCs w:val="20"/>
          <w:color w:val="auto"/>
        </w:rPr>
      </w:pPr>
      <w:r>
        <w:rPr>
          <w:rFonts w:ascii="Arial" w:cs="Arial" w:eastAsia="Arial" w:hAnsi="Arial"/>
          <w:sz w:val="19"/>
          <w:szCs w:val="19"/>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2022 and 2021, no material amounts for potential clawback obligations had been accrued. This contingent obligation is normally reduced by income taxes that the Company has paid related to the carried interest allocations. As of March 31, 2022, the maximum amount of carried interest allocations (excluding legacy Greenspring carried interest allocations) attributable to the Company subject to contingent repayment was an estimated $204.8 million, net of tax, assuming the fair value of all investments was zero, a possibility that the Company views as remote.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consolidated balance sheets as of March 31, 2022 and 2021. Based on past experience, management believes that the risk of loss related to these indemnities is remote.</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Employee Benefits</w:t>
      </w:r>
    </w:p>
    <w:p>
      <w:pPr>
        <w:spacing w:after="0" w:line="222" w:lineRule="exact"/>
        <w:rPr>
          <w:sz w:val="20"/>
          <w:szCs w:val="20"/>
          <w:color w:val="auto"/>
        </w:rPr>
      </w:pPr>
    </w:p>
    <w:p>
      <w:pPr>
        <w:ind w:right="80" w:firstLine="648"/>
        <w:spacing w:after="0" w:line="263" w:lineRule="auto"/>
        <w:rPr>
          <w:sz w:val="20"/>
          <w:szCs w:val="20"/>
          <w:color w:val="auto"/>
        </w:rPr>
      </w:pPr>
      <w:r>
        <w:rPr>
          <w:rFonts w:ascii="Arial" w:cs="Arial" w:eastAsia="Arial" w:hAnsi="Arial"/>
          <w:sz w:val="19"/>
          <w:szCs w:val="19"/>
          <w:color w:val="auto"/>
        </w:rPr>
        <w:t>The Company provides defined contribution plans covering employees subject to minimum age and service guidelines. Eligible employees may contribute a percentage of their annual compensation subject to statutory guidelines. The Company makes non-discretionary contributions to the plans, which amounted to $4.3 million, $3.2 million and $2.7 million for the years ended March 31, 2022, 2021 and 2020, respectively, and are included in cash-based compensation in the consolidated statements of income.</w:t>
      </w:r>
    </w:p>
    <w:p>
      <w:pPr>
        <w:spacing w:after="0" w:line="17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8"/>
          <w:szCs w:val="18"/>
          <w:color w:val="auto"/>
        </w:rPr>
        <w:t>One of the Company’s subsidiaries with non-U.S. operations maintains a defined benefit pension plan (the “Plan”). The Plan covers certain non-U.S. employees and provides benefits to such employees upon retirement, disability and/or death. As of March 31, 2022 and</w:t>
      </w:r>
    </w:p>
    <w:p>
      <w:pPr>
        <w:spacing w:after="0" w:line="1" w:lineRule="exact"/>
        <w:rPr>
          <w:sz w:val="20"/>
          <w:szCs w:val="20"/>
          <w:color w:val="auto"/>
        </w:rPr>
      </w:pPr>
    </w:p>
    <w:p>
      <w:pPr>
        <w:ind w:right="560"/>
        <w:spacing w:after="0" w:line="244" w:lineRule="auto"/>
        <w:rPr>
          <w:sz w:val="20"/>
          <w:szCs w:val="20"/>
          <w:color w:val="auto"/>
        </w:rPr>
      </w:pPr>
      <w:r>
        <w:rPr>
          <w:rFonts w:ascii="Arial" w:cs="Arial" w:eastAsia="Arial" w:hAnsi="Arial"/>
          <w:sz w:val="20"/>
          <w:szCs w:val="20"/>
          <w:color w:val="auto"/>
        </w:rPr>
        <w:t>2021, the Plan’s assets totaled $23.8 million and $21.7 million, respectively. As of March 31, 2022 and 2021, the underfunded pension obligation, based on the latest actuarial determination, was $2.2 million and $3.8 million, respectively, and is included in accrued compensation and benefits in the consolidated balance sheets. Net period benefit cost recognized was $1.1 million, $0.9 million and $0.4 million for the years ended March 31, 2022, 2021 and 2020, respectively, which is included in cash-based compensation in the consolidated statements of income.</w:t>
      </w:r>
    </w:p>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6"/>
          <w:szCs w:val="16"/>
          <w:b w:val="1"/>
          <w:bCs w:val="1"/>
          <w:color w:val="auto"/>
        </w:rPr>
        <w:t>Subsequent Events</w:t>
      </w:r>
    </w:p>
    <w:p>
      <w:pPr>
        <w:spacing w:after="0" w:line="222"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On May 26, 2022, the Company announced a quarterly cash dividend of $0.20 per share of Class A common stock, payable on June 30, 2022 to holders of record as of the close of business on June 15, 2022.</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ind w:right="60" w:firstLine="648"/>
        <w:spacing w:after="0" w:line="255" w:lineRule="auto"/>
        <w:rPr>
          <w:sz w:val="20"/>
          <w:szCs w:val="20"/>
          <w:color w:val="auto"/>
        </w:rPr>
      </w:pPr>
      <w:r>
        <w:rPr>
          <w:rFonts w:ascii="Arial" w:cs="Arial" w:eastAsia="Arial" w:hAnsi="Arial"/>
          <w:sz w:val="19"/>
          <w:szCs w:val="19"/>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68"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As of September 20, 2021, we consolidated Greenspring (as discussed in Note 15 to the accompanying audited consolidated financial statements). The internal controls over financial reporting of Greenspring were excluded from the evaluation of the effectiveness of our disclosure controls and procedures as of March 31, 2022.</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2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the financial statements for external purposes in accordance with U.S. GAAP.</w:t>
      </w:r>
    </w:p>
    <w:p>
      <w:pPr>
        <w:spacing w:after="0" w:line="186" w:lineRule="exact"/>
        <w:rPr>
          <w:sz w:val="20"/>
          <w:szCs w:val="20"/>
          <w:color w:val="auto"/>
        </w:rPr>
      </w:pPr>
    </w:p>
    <w:p>
      <w:pPr>
        <w:ind w:right="380" w:firstLine="648"/>
        <w:spacing w:after="0" w:line="269"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internal control over financial reporting includes policies and procedures that:</w:t>
      </w:r>
    </w:p>
    <w:p>
      <w:pPr>
        <w:spacing w:after="0" w:line="216" w:lineRule="exact"/>
        <w:rPr>
          <w:sz w:val="20"/>
          <w:szCs w:val="20"/>
          <w:color w:val="auto"/>
        </w:rPr>
      </w:pPr>
    </w:p>
    <w:p>
      <w:pPr>
        <w:ind w:left="660" w:right="320" w:hanging="328"/>
        <w:spacing w:after="0" w:line="260" w:lineRule="auto"/>
        <w:tabs>
          <w:tab w:leader="none" w:pos="648" w:val="left"/>
        </w:tabs>
        <w:numPr>
          <w:ilvl w:val="0"/>
          <w:numId w:val="88"/>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our assets;</w:t>
      </w:r>
    </w:p>
    <w:p>
      <w:pPr>
        <w:spacing w:after="0" w:line="176" w:lineRule="exact"/>
        <w:rPr>
          <w:rFonts w:ascii="Arial" w:cs="Arial" w:eastAsia="Arial" w:hAnsi="Arial"/>
          <w:sz w:val="20"/>
          <w:szCs w:val="20"/>
          <w:color w:val="auto"/>
        </w:rPr>
      </w:pPr>
    </w:p>
    <w:p>
      <w:pPr>
        <w:ind w:left="660" w:right="140" w:hanging="328"/>
        <w:spacing w:after="0" w:line="250" w:lineRule="auto"/>
        <w:tabs>
          <w:tab w:leader="none" w:pos="648" w:val="left"/>
        </w:tabs>
        <w:numPr>
          <w:ilvl w:val="0"/>
          <w:numId w:val="88"/>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financial statements in accordance with GAAP, and that receipts and expenditures are being made only in accordance with authorizations of management and the directors; and</w:t>
      </w:r>
    </w:p>
    <w:p>
      <w:pPr>
        <w:spacing w:after="0" w:line="185"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88"/>
        </w:numPr>
        <w:rPr>
          <w:rFonts w:ascii="Arial" w:cs="Arial" w:eastAsia="Arial" w:hAnsi="Arial"/>
          <w:sz w:val="20"/>
          <w:szCs w:val="20"/>
          <w:color w:val="auto"/>
        </w:rPr>
      </w:pPr>
      <w:r>
        <w:rPr>
          <w:rFonts w:ascii="Arial" w:cs="Arial" w:eastAsia="Arial" w:hAnsi="Arial"/>
          <w:sz w:val="20"/>
          <w:szCs w:val="20"/>
          <w:color w:val="auto"/>
        </w:rPr>
        <w:t>Provide reasonable assurance regarding prevention or timely detection of unauthorized acquisition, use, or disposition of our assets that could have a material effect on the consolidated financial statements.</w:t>
      </w:r>
    </w:p>
    <w:p>
      <w:pPr>
        <w:spacing w:after="0" w:line="17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Our management, with the participation of our Chief Executive Officer and Chief Financial Officer, evaluated the effectiveness of our internal control over financial reporting as of March 31, 2022, based on the criteria described in the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Based on the results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management concluded that our internal control over financial reporting was effective as of March 31, 2022.</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As of September 20, 2021, we consolidated Greenspring (as discussed in Note 15 to the accompanying audited consolidated financial statements). We are in the process of evaluating the internal controls of the consolidated entity. However, as permitted by related SEC Staff interpretive guidance for newly consolidated entities, we excluded the internal control over financial reporting of the consolidated entity from management’s annual assessment of the effectiveness of our internal control over financial reporting as of March 31, 2022. In the aggregate, this entity represented approximately 32% of our total consolidated assets and approximately 11% of our total consolidated net income as of and for the fiscal year ended March 31, 2022.</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March 31, 2022, that have materially affected, or are reasonably likely to materially affect, our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Attestation Report of the Independent Registered Public Accounting Firm</w:t>
      </w:r>
    </w:p>
    <w:p>
      <w:pPr>
        <w:spacing w:after="0" w:line="22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Ernst &amp; Young LLP, our independent registered public accounting firm, has audited the Company’s consolidated financial statements included in this annual report and issued its report on the effectiveness of our internal control over financial reporting as of March 31, 2022, which is included in Item 8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2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9"/>
          <w:szCs w:val="19"/>
          <w:color w:val="auto"/>
        </w:rPr>
        <w:t>We have adopted a Code of Conduct and Ethics that applies to all directors, officers and employees, which is available on our website at www.stepstonegroup.com. If we make any amendments to our Code of Conduct and Ethics that require disclosure under the rules of the Securities and Exchange Commission or the rules of the Nasdaq Global Select Market or grant any waivers to our directors or executive officers, we will disclose any such amendment and/or waiver on our website listed above.</w:t>
      </w:r>
    </w:p>
    <w:p>
      <w:pPr>
        <w:spacing w:after="0" w:line="176"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2022 Annual Meeting of Stockholders, which will be filed with the Securities and Exchange Commission no later than 120 days after March 31, 2022.</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22" w:lineRule="exact"/>
        <w:rPr>
          <w:sz w:val="20"/>
          <w:szCs w:val="20"/>
          <w:color w:val="auto"/>
        </w:rPr>
      </w:pPr>
    </w:p>
    <w:p>
      <w:pPr>
        <w:ind w:right="80" w:firstLine="648"/>
        <w:spacing w:after="0" w:line="31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Securities and Exchange Commission no later than 120 days after March 31, 2022.</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2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The information regarding the beneficial ownership of our common stock required by this item is incorporated by reference to the definitive Proxy Statement for our 2022 Annual Meeting of Stockholders, which will be filed with the Securities and Exchange Commission no later than 120 days after March 31, 2022.</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set forth below provides information concerning the awards that may be issued under the LTIP as of March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23"/>
        <w:spacing w:after="0" w:line="235" w:lineRule="auto"/>
        <w:rPr>
          <w:sz w:val="20"/>
          <w:szCs w:val="20"/>
          <w:color w:val="auto"/>
        </w:rPr>
      </w:pPr>
      <w:r>
        <w:rPr>
          <w:rFonts w:ascii="Arial" w:cs="Arial" w:eastAsia="Arial" w:hAnsi="Arial"/>
          <w:sz w:val="18"/>
          <w:szCs w:val="18"/>
          <w:color w:val="auto"/>
        </w:rPr>
        <w:t>Equity compensation plans approved by security holders</w:t>
      </w:r>
    </w:p>
    <w:p>
      <w:pPr>
        <w:ind w:left="360" w:right="340" w:hanging="323"/>
        <w:spacing w:after="0" w:line="234" w:lineRule="auto"/>
        <w:rPr>
          <w:sz w:val="20"/>
          <w:szCs w:val="20"/>
          <w:color w:val="auto"/>
        </w:rPr>
      </w:pPr>
      <w:r>
        <w:rPr>
          <w:rFonts w:ascii="Arial" w:cs="Arial" w:eastAsia="Arial" w:hAnsi="Arial"/>
          <w:sz w:val="18"/>
          <w:szCs w:val="18"/>
          <w:color w:val="auto"/>
        </w:rPr>
        <w:t>Equity compensation plans not approved by security holders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Number of securities to be</w:t>
            </w:r>
          </w:p>
        </w:tc>
        <w:tc>
          <w:tcPr>
            <w:tcW w:w="2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Weighted-average</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 remaining</w:t>
            </w:r>
          </w:p>
        </w:tc>
        <w:tc>
          <w:tcPr>
            <w:tcW w:w="0" w:type="dxa"/>
            <w:vAlign w:val="bottom"/>
          </w:tcPr>
          <w:p>
            <w:pPr>
              <w:spacing w:after="0"/>
              <w:rPr>
                <w:sz w:val="1"/>
                <w:szCs w:val="1"/>
                <w:color w:val="auto"/>
              </w:rPr>
            </w:pPr>
          </w:p>
        </w:tc>
      </w:tr>
      <w:tr>
        <w:trPr>
          <w:trHeight w:val="175"/>
        </w:trPr>
        <w:tc>
          <w:tcPr>
            <w:tcW w:w="2500" w:type="dxa"/>
            <w:vAlign w:val="bottom"/>
            <w:gridSpan w:val="2"/>
            <w:vMerge w:val="continue"/>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available for future issuance</w:t>
            </w:r>
          </w:p>
        </w:tc>
        <w:tc>
          <w:tcPr>
            <w:tcW w:w="0" w:type="dxa"/>
            <w:vAlign w:val="bottom"/>
          </w:tcPr>
          <w:p>
            <w:pPr>
              <w:spacing w:after="0"/>
              <w:rPr>
                <w:sz w:val="1"/>
                <w:szCs w:val="1"/>
                <w:color w:val="auto"/>
              </w:rPr>
            </w:pPr>
          </w:p>
        </w:tc>
      </w:tr>
      <w:tr>
        <w:trPr>
          <w:trHeight w:val="175"/>
        </w:trPr>
        <w:tc>
          <w:tcPr>
            <w:tcW w:w="25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5"/>
              </w:rPr>
              <w:t>issued upon exercise of</w:t>
            </w:r>
          </w:p>
        </w:tc>
        <w:tc>
          <w:tcPr>
            <w:tcW w:w="22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2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under equity compensation plans</w:t>
            </w:r>
          </w:p>
        </w:tc>
        <w:tc>
          <w:tcPr>
            <w:tcW w:w="0" w:type="dxa"/>
            <w:vAlign w:val="bottom"/>
          </w:tcPr>
          <w:p>
            <w:pPr>
              <w:spacing w:after="0"/>
              <w:rPr>
                <w:sz w:val="1"/>
                <w:szCs w:val="1"/>
                <w:color w:val="auto"/>
              </w:rPr>
            </w:pPr>
          </w:p>
        </w:tc>
      </w:tr>
      <w:tr>
        <w:trPr>
          <w:trHeight w:val="176"/>
        </w:trPr>
        <w:tc>
          <w:tcPr>
            <w:tcW w:w="25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2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6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(excluding securities reflected in</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 xml:space="preserve">warrants and rights (a) </w:t>
            </w:r>
            <w:r>
              <w:rPr>
                <w:rFonts w:ascii="Arial" w:cs="Arial" w:eastAsia="Arial" w:hAnsi="Arial"/>
                <w:sz w:val="23"/>
                <w:szCs w:val="23"/>
                <w:b w:val="1"/>
                <w:bCs w:val="1"/>
                <w:color w:val="auto"/>
                <w:w w:val="89"/>
                <w:vertAlign w:val="superscript"/>
              </w:rPr>
              <w:t>(1)</w:t>
            </w:r>
          </w:p>
        </w:tc>
        <w:tc>
          <w:tcPr>
            <w:tcW w:w="26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80" w:type="dxa"/>
            <w:vAlign w:val="bottom"/>
          </w:tcPr>
          <w:p>
            <w:pPr>
              <w:spacing w:after="0"/>
              <w:rPr>
                <w:sz w:val="19"/>
                <w:szCs w:val="19"/>
                <w:color w:val="auto"/>
              </w:rPr>
            </w:pPr>
          </w:p>
        </w:tc>
        <w:tc>
          <w:tcPr>
            <w:tcW w:w="2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9"/>
              </w:rPr>
              <w:t xml:space="preserve">column (a)) </w:t>
            </w:r>
            <w:r>
              <w:rPr>
                <w:rFonts w:ascii="Arial" w:cs="Arial" w:eastAsia="Arial" w:hAnsi="Arial"/>
                <w:sz w:val="23"/>
                <w:szCs w:val="23"/>
                <w:b w:val="1"/>
                <w:bCs w:val="1"/>
                <w:color w:val="auto"/>
                <w:w w:val="89"/>
                <w:vertAlign w:val="superscript"/>
              </w:rPr>
              <w:t>(2)</w:t>
            </w:r>
          </w:p>
        </w:tc>
        <w:tc>
          <w:tcPr>
            <w:tcW w:w="0" w:type="dxa"/>
            <w:vAlign w:val="bottom"/>
          </w:tcPr>
          <w:p>
            <w:pPr>
              <w:spacing w:after="0"/>
              <w:rPr>
                <w:sz w:val="1"/>
                <w:szCs w:val="1"/>
                <w:color w:val="auto"/>
              </w:rPr>
            </w:pPr>
          </w:p>
        </w:tc>
      </w:tr>
      <w:tr>
        <w:trPr>
          <w:trHeight w:val="385"/>
        </w:trPr>
        <w:tc>
          <w:tcPr>
            <w:tcW w:w="2240" w:type="dxa"/>
            <w:vAlign w:val="bottom"/>
          </w:tcPr>
          <w:p>
            <w:pPr>
              <w:jc w:val="right"/>
              <w:spacing w:after="0"/>
              <w:rPr>
                <w:sz w:val="20"/>
                <w:szCs w:val="20"/>
                <w:color w:val="auto"/>
              </w:rPr>
            </w:pPr>
            <w:r>
              <w:rPr>
                <w:rFonts w:ascii="Arial" w:cs="Arial" w:eastAsia="Arial" w:hAnsi="Arial"/>
                <w:sz w:val="18"/>
                <w:szCs w:val="18"/>
                <w:color w:val="auto"/>
              </w:rPr>
              <w:t>2,087,324</w:t>
            </w:r>
          </w:p>
        </w:tc>
        <w:tc>
          <w:tcPr>
            <w:tcW w:w="260" w:type="dxa"/>
            <w:vAlign w:val="bottom"/>
          </w:tcPr>
          <w:p>
            <w:pPr>
              <w:spacing w:after="0"/>
              <w:rPr>
                <w:sz w:val="24"/>
                <w:szCs w:val="24"/>
                <w:color w:val="auto"/>
              </w:rPr>
            </w:pPr>
          </w:p>
        </w:tc>
        <w:tc>
          <w:tcPr>
            <w:tcW w:w="2200" w:type="dxa"/>
            <w:vAlign w:val="bottom"/>
            <w:gridSpan w:val="2"/>
          </w:tcPr>
          <w:p>
            <w:pPr>
              <w:jc w:val="center"/>
              <w:ind w:left="1210"/>
              <w:spacing w:after="0"/>
              <w:rPr>
                <w:sz w:val="20"/>
                <w:szCs w:val="20"/>
                <w:color w:val="auto"/>
              </w:rPr>
            </w:pPr>
            <w:r>
              <w:rPr>
                <w:rFonts w:ascii="Arial" w:cs="Arial" w:eastAsia="Arial" w:hAnsi="Arial"/>
                <w:sz w:val="18"/>
                <w:szCs w:val="18"/>
                <w:color w:val="auto"/>
                <w:w w:val="99"/>
              </w:rPr>
              <w:t>N/A</w:t>
            </w:r>
          </w:p>
        </w:tc>
        <w:tc>
          <w:tcPr>
            <w:tcW w:w="2600" w:type="dxa"/>
            <w:vAlign w:val="bottom"/>
          </w:tcPr>
          <w:p>
            <w:pPr>
              <w:jc w:val="right"/>
              <w:spacing w:after="0"/>
              <w:rPr>
                <w:sz w:val="20"/>
                <w:szCs w:val="20"/>
                <w:color w:val="auto"/>
              </w:rPr>
            </w:pPr>
            <w:r>
              <w:rPr>
                <w:rFonts w:ascii="Arial" w:cs="Arial" w:eastAsia="Arial" w:hAnsi="Arial"/>
                <w:sz w:val="18"/>
                <w:szCs w:val="18"/>
                <w:color w:val="auto"/>
              </w:rPr>
              <w:t>12,422,413</w:t>
            </w:r>
          </w:p>
        </w:tc>
        <w:tc>
          <w:tcPr>
            <w:tcW w:w="0" w:type="dxa"/>
            <w:vAlign w:val="bottom"/>
          </w:tcPr>
          <w:p>
            <w:pPr>
              <w:spacing w:after="0"/>
              <w:rPr>
                <w:sz w:val="1"/>
                <w:szCs w:val="1"/>
                <w:color w:val="auto"/>
              </w:rPr>
            </w:pPr>
          </w:p>
        </w:tc>
      </w:tr>
      <w:tr>
        <w:trPr>
          <w:trHeight w:val="405"/>
        </w:trPr>
        <w:tc>
          <w:tcPr>
            <w:tcW w:w="2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center"/>
              <w:ind w:left="1250"/>
              <w:spacing w:after="0"/>
              <w:rPr>
                <w:sz w:val="20"/>
                <w:szCs w:val="20"/>
                <w:color w:val="auto"/>
              </w:rPr>
            </w:pPr>
            <w:r>
              <w:rPr>
                <w:rFonts w:ascii="Arial" w:cs="Arial" w:eastAsia="Arial" w:hAnsi="Arial"/>
                <w:sz w:val="18"/>
                <w:szCs w:val="18"/>
                <w:color w:val="auto"/>
                <w:w w:val="99"/>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2,087,324</w:t>
            </w:r>
          </w:p>
        </w:tc>
        <w:tc>
          <w:tcPr>
            <w:tcW w:w="26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center"/>
              <w:ind w:left="149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2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12,422,413</w:t>
            </w: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-702310</wp:posOffset>
            </wp:positionV>
            <wp:extent cx="7132320" cy="2571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-187960</wp:posOffset>
            </wp:positionV>
            <wp:extent cx="713232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3520" w:space="420"/>
            <w:col w:w="730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Reflects the outstanding RSUs granted under the LTIP as of March 31, 2022.</w:t>
      </w:r>
    </w:p>
    <w:p>
      <w:pPr>
        <w:spacing w:after="0" w:line="9" w:lineRule="exact"/>
        <w:rPr>
          <w:rFonts w:ascii="Arial" w:cs="Arial" w:eastAsia="Arial" w:hAnsi="Arial"/>
          <w:sz w:val="18"/>
          <w:szCs w:val="18"/>
          <w:color w:val="auto"/>
        </w:rPr>
      </w:pPr>
    </w:p>
    <w:p>
      <w:pPr>
        <w:ind w:left="660" w:right="40" w:hanging="652"/>
        <w:spacing w:after="0" w:line="253" w:lineRule="auto"/>
        <w:tabs>
          <w:tab w:leader="none" w:pos="65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aggregate number of our shares available for future issuance under the LTIP will automatically increase on January 1st of each year beginning in 2021 and ending with a final increase on January 1, 2030, in an amount equal to 5% of the total number of shares of stock outstanding on December 31st of the preceding calendar year. The Board may provide that there will be no January 1st increase in the shares available for future issuance for any such year or that the increase in the shares available for future issuance for any such year will be a smaller number of shares than would otherwise occur under the automatic increase.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2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Securities and Exchange Commission no later than 120 days after March 31, 2022.</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2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Securities and Exchange Commission no later than 120 days after March 31, 2022.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IV</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 and Financial Statement Schedules.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9"/>
          <w:szCs w:val="19"/>
          <w:color w:val="auto"/>
        </w:rPr>
        <w:t>The following documents are filed as part of this Form 10-K:</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(1) Financial statements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12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rFonts w:ascii="Arial" w:cs="Arial" w:eastAsia="Arial" w:hAnsi="Arial"/>
                <w:sz w:val="18"/>
                <w:szCs w:val="18"/>
                <w:color w:val="0000FF"/>
              </w:rPr>
            </w:pPr>
            <w:hyperlink w:anchor="page119">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42)</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center"/>
              <w:spacing w:after="0" w:line="182" w:lineRule="exact"/>
              <w:rPr>
                <w:rFonts w:ascii="Arial" w:cs="Arial" w:eastAsia="Arial" w:hAnsi="Arial"/>
                <w:sz w:val="18"/>
                <w:szCs w:val="18"/>
                <w:color w:val="0000FF"/>
                <w:w w:val="86"/>
              </w:rPr>
            </w:pPr>
            <w:hyperlink w:anchor="page119">
              <w:r>
                <w:rPr>
                  <w:rFonts w:ascii="Arial" w:cs="Arial" w:eastAsia="Arial" w:hAnsi="Arial"/>
                  <w:sz w:val="18"/>
                  <w:szCs w:val="18"/>
                  <w:color w:val="0000FF"/>
                  <w:w w:val="86"/>
                </w:rPr>
                <w:t>120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24">
              <w:r>
                <w:rPr>
                  <w:rFonts w:ascii="Arial" w:cs="Arial" w:eastAsia="Arial" w:hAnsi="Arial"/>
                  <w:sz w:val="18"/>
                  <w:szCs w:val="18"/>
                  <w:color w:val="0000FF"/>
                </w:rPr>
                <w:t>Consolidated Balance Sheets as of March 31, 2022 and 2021</w:t>
              </w:r>
            </w:hyperlink>
          </w:p>
        </w:tc>
        <w:tc>
          <w:tcPr>
            <w:tcW w:w="1100" w:type="dxa"/>
            <w:vAlign w:val="bottom"/>
            <w:gridSpan w:val="3"/>
          </w:tcPr>
          <w:p>
            <w:pPr>
              <w:jc w:val="center"/>
              <w:spacing w:after="0" w:line="189" w:lineRule="exact"/>
              <w:rPr>
                <w:rFonts w:ascii="Arial" w:cs="Arial" w:eastAsia="Arial" w:hAnsi="Arial"/>
                <w:sz w:val="18"/>
                <w:szCs w:val="18"/>
                <w:color w:val="0000FF"/>
                <w:w w:val="86"/>
              </w:rPr>
            </w:pPr>
            <w:hyperlink w:anchor="page124">
              <w:r>
                <w:rPr>
                  <w:rFonts w:ascii="Arial" w:cs="Arial" w:eastAsia="Arial" w:hAnsi="Arial"/>
                  <w:sz w:val="18"/>
                  <w:szCs w:val="18"/>
                  <w:color w:val="0000FF"/>
                  <w:w w:val="86"/>
                </w:rPr>
                <w:t>125</w:t>
              </w:r>
            </w:hyperlink>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rFonts w:ascii="Arial" w:cs="Arial" w:eastAsia="Arial" w:hAnsi="Arial"/>
                <w:sz w:val="18"/>
                <w:szCs w:val="18"/>
                <w:color w:val="0000FF"/>
              </w:rPr>
            </w:pPr>
            <w:hyperlink w:anchor="page126">
              <w:r>
                <w:rPr>
                  <w:rFonts w:ascii="Arial" w:cs="Arial" w:eastAsia="Arial" w:hAnsi="Arial"/>
                  <w:sz w:val="18"/>
                  <w:szCs w:val="18"/>
                  <w:color w:val="0000FF"/>
                </w:rPr>
                <w:t xml:space="preserve">Consolidated Statements of Income for the Years Ended March 31, 2022, 2021 and </w:t>
              </w:r>
            </w:hyperlink>
            <w:r>
              <w:rPr>
                <w:rFonts w:ascii="Arial" w:cs="Arial" w:eastAsia="Arial" w:hAnsi="Arial"/>
                <w:sz w:val="18"/>
                <w:szCs w:val="18"/>
                <w:color w:val="0000FF"/>
              </w:rPr>
              <w:t>2020</w:t>
            </w:r>
          </w:p>
        </w:tc>
        <w:tc>
          <w:tcPr>
            <w:tcW w:w="1100" w:type="dxa"/>
            <w:vAlign w:val="bottom"/>
            <w:gridSpan w:val="3"/>
            <w:shd w:val="clear" w:color="auto" w:fill="CCEEFF"/>
          </w:tcPr>
          <w:p>
            <w:pPr>
              <w:jc w:val="center"/>
              <w:spacing w:after="0" w:line="189" w:lineRule="exact"/>
              <w:rPr>
                <w:rFonts w:ascii="Arial" w:cs="Arial" w:eastAsia="Arial" w:hAnsi="Arial"/>
                <w:sz w:val="18"/>
                <w:szCs w:val="18"/>
                <w:color w:val="0000FF"/>
                <w:w w:val="86"/>
              </w:rPr>
            </w:pPr>
            <w:hyperlink w:anchor="page126">
              <w:r>
                <w:rPr>
                  <w:rFonts w:ascii="Arial" w:cs="Arial" w:eastAsia="Arial" w:hAnsi="Arial"/>
                  <w:sz w:val="18"/>
                  <w:szCs w:val="18"/>
                  <w:color w:val="0000FF"/>
                  <w:w w:val="86"/>
                </w:rPr>
                <w:t>127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rFonts w:ascii="Arial" w:cs="Arial" w:eastAsia="Arial" w:hAnsi="Arial"/>
                <w:sz w:val="18"/>
                <w:szCs w:val="18"/>
                <w:color w:val="0000FF"/>
              </w:rPr>
            </w:pPr>
            <w:hyperlink w:anchor="page127">
              <w:r>
                <w:rPr>
                  <w:rFonts w:ascii="Arial" w:cs="Arial" w:eastAsia="Arial" w:hAnsi="Arial"/>
                  <w:sz w:val="18"/>
                  <w:szCs w:val="18"/>
                  <w:color w:val="0000FF"/>
                </w:rPr>
                <w:t xml:space="preserve">Consolidated Statements of Comprehensive Income for the Years Ended March 31, 2022, 2021 and </w:t>
              </w:r>
            </w:hyperlink>
            <w:r>
              <w:rPr>
                <w:rFonts w:ascii="Arial" w:cs="Arial" w:eastAsia="Arial" w:hAnsi="Arial"/>
                <w:sz w:val="18"/>
                <w:szCs w:val="18"/>
                <w:color w:val="0000FF"/>
              </w:rPr>
              <w:t>2020</w:t>
            </w:r>
          </w:p>
        </w:tc>
        <w:tc>
          <w:tcPr>
            <w:tcW w:w="1100" w:type="dxa"/>
            <w:vAlign w:val="bottom"/>
            <w:gridSpan w:val="3"/>
          </w:tcPr>
          <w:p>
            <w:pPr>
              <w:jc w:val="center"/>
              <w:spacing w:after="0" w:line="189" w:lineRule="exact"/>
              <w:rPr>
                <w:rFonts w:ascii="Arial" w:cs="Arial" w:eastAsia="Arial" w:hAnsi="Arial"/>
                <w:sz w:val="18"/>
                <w:szCs w:val="18"/>
                <w:color w:val="0000FF"/>
                <w:w w:val="86"/>
              </w:rPr>
            </w:pPr>
            <w:hyperlink w:anchor="page127">
              <w:r>
                <w:rPr>
                  <w:rFonts w:ascii="Arial" w:cs="Arial" w:eastAsia="Arial" w:hAnsi="Arial"/>
                  <w:sz w:val="18"/>
                  <w:szCs w:val="18"/>
                  <w:color w:val="0000FF"/>
                  <w:w w:val="86"/>
                </w:rPr>
                <w:t>128</w:t>
              </w:r>
            </w:hyperlink>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380" w:type="dxa"/>
            <w:vAlign w:val="bottom"/>
            <w:gridSpan w:val="6"/>
            <w:shd w:val="clear" w:color="auto" w:fill="CCEEFF"/>
          </w:tcPr>
          <w:p>
            <w:pPr>
              <w:spacing w:after="0" w:line="189" w:lineRule="exact"/>
              <w:rPr>
                <w:rFonts w:ascii="Arial" w:cs="Arial" w:eastAsia="Arial" w:hAnsi="Arial"/>
                <w:sz w:val="18"/>
                <w:szCs w:val="18"/>
                <w:color w:val="0000FF"/>
                <w:w w:val="90"/>
              </w:rPr>
            </w:pPr>
            <w:hyperlink w:anchor="page128">
              <w:r>
                <w:rPr>
                  <w:rFonts w:ascii="Arial" w:cs="Arial" w:eastAsia="Arial" w:hAnsi="Arial"/>
                  <w:sz w:val="18"/>
                  <w:szCs w:val="18"/>
                  <w:color w:val="0000FF"/>
                  <w:w w:val="90"/>
                </w:rPr>
                <w:t xml:space="preserve">Consolidated Statements of Stockholders’ Equity for the Years Ended March 31, 2022, 2021 and </w:t>
              </w:r>
            </w:hyperlink>
            <w:r>
              <w:rPr>
                <w:rFonts w:ascii="Arial" w:cs="Arial" w:eastAsia="Arial" w:hAnsi="Arial"/>
                <w:sz w:val="18"/>
                <w:szCs w:val="18"/>
                <w:color w:val="0000FF"/>
                <w:w w:val="90"/>
              </w:rPr>
              <w:t>2020</w:t>
            </w:r>
          </w:p>
        </w:tc>
        <w:tc>
          <w:tcPr>
            <w:tcW w:w="2740" w:type="dxa"/>
            <w:vAlign w:val="bottom"/>
            <w:gridSpan w:val="3"/>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rFonts w:ascii="Arial" w:cs="Arial" w:eastAsia="Arial" w:hAnsi="Arial"/>
                <w:sz w:val="18"/>
                <w:szCs w:val="18"/>
                <w:color w:val="0000FF"/>
                <w:w w:val="86"/>
              </w:rPr>
            </w:pPr>
            <w:hyperlink w:anchor="page128">
              <w:r>
                <w:rPr>
                  <w:rFonts w:ascii="Arial" w:cs="Arial" w:eastAsia="Arial" w:hAnsi="Arial"/>
                  <w:sz w:val="18"/>
                  <w:szCs w:val="18"/>
                  <w:color w:val="0000FF"/>
                  <w:w w:val="86"/>
                </w:rPr>
                <w:t>129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gridSpan w:val="6"/>
          </w:tcPr>
          <w:p>
            <w:pPr>
              <w:spacing w:after="0" w:line="189" w:lineRule="exact"/>
              <w:rPr>
                <w:rFonts w:ascii="Arial" w:cs="Arial" w:eastAsia="Arial" w:hAnsi="Arial"/>
                <w:sz w:val="18"/>
                <w:szCs w:val="18"/>
                <w:color w:val="0000FF"/>
                <w:w w:val="98"/>
              </w:rPr>
            </w:pPr>
            <w:hyperlink w:anchor="page130">
              <w:r>
                <w:rPr>
                  <w:rFonts w:ascii="Arial" w:cs="Arial" w:eastAsia="Arial" w:hAnsi="Arial"/>
                  <w:sz w:val="18"/>
                  <w:szCs w:val="18"/>
                  <w:color w:val="0000FF"/>
                  <w:w w:val="98"/>
                </w:rPr>
                <w:t xml:space="preserve">Consolidated Statements of Cash Flows for the Years Ended March 31, 2022, 2021 and </w:t>
              </w:r>
            </w:hyperlink>
            <w:r>
              <w:rPr>
                <w:rFonts w:ascii="Arial" w:cs="Arial" w:eastAsia="Arial" w:hAnsi="Arial"/>
                <w:sz w:val="18"/>
                <w:szCs w:val="18"/>
                <w:color w:val="0000FF"/>
                <w:w w:val="98"/>
              </w:rPr>
              <w:t>2020</w:t>
            </w:r>
          </w:p>
        </w:tc>
        <w:tc>
          <w:tcPr>
            <w:tcW w:w="2740" w:type="dxa"/>
            <w:vAlign w:val="bottom"/>
            <w:gridSpan w:val="3"/>
          </w:tcPr>
          <w:p>
            <w:pPr>
              <w:spacing w:after="0"/>
              <w:rPr>
                <w:sz w:val="16"/>
                <w:szCs w:val="16"/>
                <w:color w:val="auto"/>
              </w:rPr>
            </w:pPr>
          </w:p>
        </w:tc>
        <w:tc>
          <w:tcPr>
            <w:tcW w:w="1100" w:type="dxa"/>
            <w:vAlign w:val="bottom"/>
            <w:gridSpan w:val="3"/>
          </w:tcPr>
          <w:p>
            <w:pPr>
              <w:jc w:val="center"/>
              <w:spacing w:after="0" w:line="189" w:lineRule="exact"/>
              <w:rPr>
                <w:rFonts w:ascii="Arial" w:cs="Arial" w:eastAsia="Arial" w:hAnsi="Arial"/>
                <w:sz w:val="18"/>
                <w:szCs w:val="18"/>
                <w:color w:val="0000FF"/>
                <w:w w:val="86"/>
              </w:rPr>
            </w:pPr>
            <w:hyperlink w:anchor="page130">
              <w:r>
                <w:rPr>
                  <w:rFonts w:ascii="Arial" w:cs="Arial" w:eastAsia="Arial" w:hAnsi="Arial"/>
                  <w:sz w:val="18"/>
                  <w:szCs w:val="18"/>
                  <w:color w:val="0000FF"/>
                  <w:w w:val="86"/>
                </w:rPr>
                <w:t>131</w:t>
              </w:r>
            </w:hyperlink>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rFonts w:ascii="Arial" w:cs="Arial" w:eastAsia="Arial" w:hAnsi="Arial"/>
                <w:sz w:val="18"/>
                <w:szCs w:val="18"/>
                <w:color w:val="0000FF"/>
              </w:rPr>
            </w:pPr>
            <w:hyperlink w:anchor="page132">
              <w:r>
                <w:rPr>
                  <w:rFonts w:ascii="Arial" w:cs="Arial" w:eastAsia="Arial" w:hAnsi="Arial"/>
                  <w:sz w:val="18"/>
                  <w:szCs w:val="18"/>
                  <w:color w:val="0000FF"/>
                </w:rPr>
                <w:t>Notes to Consolidated Financial Statements</w:t>
              </w:r>
            </w:hyperlink>
          </w:p>
        </w:tc>
        <w:tc>
          <w:tcPr>
            <w:tcW w:w="1100" w:type="dxa"/>
            <w:vAlign w:val="bottom"/>
            <w:gridSpan w:val="3"/>
            <w:shd w:val="clear" w:color="auto" w:fill="CCEEFF"/>
          </w:tcPr>
          <w:p>
            <w:pPr>
              <w:jc w:val="center"/>
              <w:spacing w:after="0" w:line="189" w:lineRule="exact"/>
              <w:rPr>
                <w:rFonts w:ascii="Arial" w:cs="Arial" w:eastAsia="Arial" w:hAnsi="Arial"/>
                <w:sz w:val="18"/>
                <w:szCs w:val="18"/>
                <w:color w:val="0000FF"/>
                <w:w w:val="86"/>
              </w:rPr>
            </w:pPr>
            <w:hyperlink w:anchor="page132">
              <w:r>
                <w:rPr>
                  <w:rFonts w:ascii="Arial" w:cs="Arial" w:eastAsia="Arial" w:hAnsi="Arial"/>
                  <w:sz w:val="18"/>
                  <w:szCs w:val="18"/>
                  <w:color w:val="0000FF"/>
                  <w:w w:val="86"/>
                </w:rPr>
                <w:t>133</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(2) Financial statement schedules</w:t>
      </w:r>
    </w:p>
    <w:p>
      <w:pPr>
        <w:spacing w:after="0" w:line="216" w:lineRule="exact"/>
        <w:rPr>
          <w:sz w:val="20"/>
          <w:szCs w:val="20"/>
          <w:color w:val="auto"/>
        </w:rPr>
      </w:pPr>
    </w:p>
    <w:p>
      <w:pPr>
        <w:ind w:right="660" w:firstLine="648"/>
        <w:spacing w:after="0" w:line="316"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has been otherwise included in the consolidated financial statements or accompanying notes to the consolidated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(3) Exhibits: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4720" w:type="dxa"/>
            <w:vAlign w:val="bottom"/>
            <w:tcBorders>
              <w:bottom w:val="single" w:sz="8" w:color="auto"/>
            </w:tcBorders>
            <w:gridSpan w:val="19"/>
          </w:tcPr>
          <w:p>
            <w:pPr>
              <w:spacing w:after="0"/>
              <w:rPr>
                <w:sz w:val="20"/>
                <w:szCs w:val="20"/>
                <w:color w:val="auto"/>
              </w:rPr>
            </w:pPr>
            <w:r>
              <w:rPr>
                <w:rFonts w:ascii="Arial" w:cs="Arial" w:eastAsia="Arial" w:hAnsi="Arial"/>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Arial" w:cs="Arial" w:eastAsia="Arial" w:hAnsi="Arial"/>
                <w:sz w:val="18"/>
                <w:szCs w:val="18"/>
                <w:color w:val="0000FF"/>
                <w:w w:val="87"/>
              </w:rPr>
            </w:pPr>
            <w:hyperlink r:id="rId19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720" w:type="dxa"/>
            <w:vAlign w:val="bottom"/>
            <w:gridSpan w:val="19"/>
          </w:tcPr>
          <w:p>
            <w:pPr>
              <w:spacing w:after="0" w:line="182"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Amended and Restated Certificate of Incorporation of StepStone</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Group Inc.</w:t>
              </w:r>
            </w:hyperlink>
          </w:p>
        </w:tc>
        <w:tc>
          <w:tcPr>
            <w:tcW w:w="38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rFonts w:ascii="Arial" w:cs="Arial" w:eastAsia="Arial" w:hAnsi="Arial"/>
                <w:sz w:val="18"/>
                <w:szCs w:val="18"/>
                <w:color w:val="0000FF"/>
                <w:w w:val="87"/>
              </w:rPr>
            </w:pPr>
            <w:hyperlink r:id="rId19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19"/>
          </w:tcPr>
          <w:p>
            <w:pPr>
              <w:spacing w:after="0"/>
              <w:rPr>
                <w:rFonts w:ascii="Arial" w:cs="Arial" w:eastAsia="Arial" w:hAnsi="Arial"/>
                <w:sz w:val="18"/>
                <w:szCs w:val="18"/>
                <w:color w:val="0000FF"/>
              </w:rPr>
            </w:pPr>
            <w:hyperlink r:id="rId193">
              <w:r>
                <w:rPr>
                  <w:rFonts w:ascii="Arial" w:cs="Arial" w:eastAsia="Arial" w:hAnsi="Arial"/>
                  <w:sz w:val="18"/>
                  <w:szCs w:val="18"/>
                  <w:color w:val="0000FF"/>
                </w:rPr>
                <w:t>Amended and Restated Bylaws of StepStone Group Inc.</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rFonts w:ascii="Arial" w:cs="Arial" w:eastAsia="Arial" w:hAnsi="Arial"/>
                <w:sz w:val="18"/>
                <w:szCs w:val="18"/>
                <w:color w:val="0000FF"/>
                <w:w w:val="87"/>
              </w:rPr>
            </w:pPr>
            <w:hyperlink r:id="rId19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40" w:type="dxa"/>
            <w:vAlign w:val="bottom"/>
            <w:tcBorders>
              <w:top w:val="single" w:sz="8" w:color="0000FF"/>
            </w:tcBorders>
            <w:gridSpan w:val="6"/>
          </w:tcPr>
          <w:p>
            <w:pPr>
              <w:spacing w:after="0"/>
              <w:rPr>
                <w:rFonts w:ascii="Arial" w:cs="Arial" w:eastAsia="Arial" w:hAnsi="Arial"/>
                <w:sz w:val="18"/>
                <w:szCs w:val="18"/>
                <w:color w:val="0000FF"/>
              </w:rPr>
            </w:pPr>
            <w:hyperlink r:id="rId194">
              <w:r>
                <w:rPr>
                  <w:rFonts w:ascii="Arial" w:cs="Arial" w:eastAsia="Arial" w:hAnsi="Arial"/>
                  <w:sz w:val="18"/>
                  <w:szCs w:val="18"/>
                  <w:color w:val="0000FF"/>
                </w:rPr>
                <w:t>Description of Securities</w:t>
              </w:r>
            </w:hyperlink>
          </w:p>
        </w:tc>
        <w:tc>
          <w:tcPr>
            <w:tcW w:w="680" w:type="dxa"/>
            <w:vAlign w:val="bottom"/>
            <w:gridSpan w:val="13"/>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6/23/2021</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4"/>
          </w:tcPr>
          <w:p>
            <w:pPr>
              <w:ind w:left="20"/>
              <w:spacing w:after="0"/>
              <w:rPr>
                <w:rFonts w:ascii="Arial" w:cs="Arial" w:eastAsia="Arial" w:hAnsi="Arial"/>
                <w:sz w:val="18"/>
                <w:szCs w:val="18"/>
                <w:color w:val="0000FF"/>
              </w:rPr>
            </w:pPr>
            <w:hyperlink r:id="rId19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720" w:type="dxa"/>
            <w:vAlign w:val="bottom"/>
            <w:gridSpan w:val="19"/>
          </w:tcPr>
          <w:p>
            <w:pPr>
              <w:spacing w:after="0"/>
              <w:rPr>
                <w:rFonts w:ascii="Arial" w:cs="Arial" w:eastAsia="Arial" w:hAnsi="Arial"/>
                <w:sz w:val="18"/>
                <w:szCs w:val="18"/>
                <w:color w:val="0000FF"/>
                <w:w w:val="92"/>
              </w:rPr>
            </w:pPr>
            <w:hyperlink r:id="rId195">
              <w:r>
                <w:rPr>
                  <w:rFonts w:ascii="Arial" w:cs="Arial" w:eastAsia="Arial" w:hAnsi="Arial"/>
                  <w:sz w:val="18"/>
                  <w:szCs w:val="18"/>
                  <w:color w:val="0000FF"/>
                  <w:w w:val="92"/>
                </w:rPr>
                <w:t>Ninth Amended and Restated Limited Partnership Agreement of</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64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195">
              <w:r>
                <w:rPr>
                  <w:rFonts w:ascii="Arial" w:cs="Arial" w:eastAsia="Arial" w:hAnsi="Arial"/>
                  <w:sz w:val="18"/>
                  <w:szCs w:val="18"/>
                  <w:color w:val="0000FF"/>
                  <w:w w:val="92"/>
                </w:rPr>
                <w:t>StepStone Group LP, dated as of September 20, 2021, by and</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r:id="rId195">
              <w:r>
                <w:rPr>
                  <w:rFonts w:ascii="Arial" w:cs="Arial" w:eastAsia="Arial" w:hAnsi="Arial"/>
                  <w:sz w:val="18"/>
                  <w:szCs w:val="18"/>
                  <w:color w:val="0000FF"/>
                  <w:w w:val="91"/>
                </w:rPr>
                <w:t>among StepStone Group Holdings LLC, as General Partner,</w:t>
              </w:r>
            </w:hyperlink>
          </w:p>
        </w:tc>
        <w:tc>
          <w:tcPr>
            <w:tcW w:w="320" w:type="dxa"/>
            <w:vAlign w:val="bottom"/>
            <w:gridSpan w:val="8"/>
          </w:tcPr>
          <w:p>
            <w:pPr>
              <w:spacing w:after="0" w:line="156"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and</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9/20/2021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195">
              <w:r>
                <w:rPr>
                  <w:rFonts w:ascii="Arial" w:cs="Arial" w:eastAsia="Arial" w:hAnsi="Arial"/>
                  <w:sz w:val="18"/>
                  <w:szCs w:val="18"/>
                  <w:color w:val="0000FF"/>
                  <w:w w:val="88"/>
                </w:rPr>
                <w:t>each of the other persons and entities parties thereto</w:t>
              </w:r>
            </w:hyperlink>
          </w:p>
        </w:tc>
        <w:tc>
          <w:tcPr>
            <w:tcW w:w="88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gridSpan w:val="4"/>
          </w:tcPr>
          <w:p>
            <w:pPr>
              <w:ind w:left="20"/>
              <w:spacing w:after="0"/>
              <w:rPr>
                <w:rFonts w:ascii="Arial" w:cs="Arial" w:eastAsia="Arial" w:hAnsi="Arial"/>
                <w:sz w:val="18"/>
                <w:szCs w:val="18"/>
                <w:color w:val="0000FF"/>
              </w:rPr>
            </w:pPr>
            <w:hyperlink r:id="rId19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720" w:type="dxa"/>
            <w:vAlign w:val="bottom"/>
            <w:gridSpan w:val="19"/>
          </w:tcPr>
          <w:p>
            <w:pPr>
              <w:spacing w:after="0"/>
              <w:rPr>
                <w:rFonts w:ascii="Arial" w:cs="Arial" w:eastAsia="Arial" w:hAnsi="Arial"/>
                <w:sz w:val="18"/>
                <w:szCs w:val="18"/>
                <w:color w:val="0000FF"/>
                <w:w w:val="91"/>
              </w:rPr>
            </w:pPr>
            <w:hyperlink r:id="rId196">
              <w:r>
                <w:rPr>
                  <w:rFonts w:ascii="Arial" w:cs="Arial" w:eastAsia="Arial" w:hAnsi="Arial"/>
                  <w:sz w:val="18"/>
                  <w:szCs w:val="18"/>
                  <w:color w:val="0000FF"/>
                  <w:w w:val="91"/>
                </w:rPr>
                <w:t>Tax Receivable Agreement (Exchanges), dated as of September</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7"/>
              </w:rPr>
            </w:pPr>
            <w:hyperlink r:id="rId196">
              <w:r>
                <w:rPr>
                  <w:rFonts w:ascii="Arial" w:cs="Arial" w:eastAsia="Arial" w:hAnsi="Arial"/>
                  <w:sz w:val="18"/>
                  <w:szCs w:val="18"/>
                  <w:color w:val="0000FF"/>
                  <w:w w:val="87"/>
                </w:rPr>
                <w:t>18, 2020, by and among StepStone Group Inc., StepStone Group</w:t>
              </w:r>
            </w:hyperlink>
          </w:p>
        </w:tc>
        <w:tc>
          <w:tcPr>
            <w:tcW w:w="100" w:type="dxa"/>
            <w:vAlign w:val="bottom"/>
            <w:tcBorders>
              <w:bottom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20" w:type="dxa"/>
            <w:vAlign w:val="bottom"/>
            <w:tcBorders>
              <w:bottom w:val="single" w:sz="8" w:color="0000FF"/>
            </w:tcBorders>
            <w:gridSpan w:val="10"/>
          </w:tcPr>
          <w:p>
            <w:pPr>
              <w:spacing w:after="0" w:line="156" w:lineRule="exact"/>
              <w:rPr>
                <w:rFonts w:ascii="Arial" w:cs="Arial" w:eastAsia="Arial" w:hAnsi="Arial"/>
                <w:sz w:val="18"/>
                <w:szCs w:val="18"/>
                <w:color w:val="0000FF"/>
                <w:w w:val="88"/>
              </w:rPr>
            </w:pPr>
            <w:hyperlink r:id="rId196">
              <w:r>
                <w:rPr>
                  <w:rFonts w:ascii="Arial" w:cs="Arial" w:eastAsia="Arial" w:hAnsi="Arial"/>
                  <w:sz w:val="18"/>
                  <w:szCs w:val="18"/>
                  <w:color w:val="0000FF"/>
                  <w:w w:val="88"/>
                </w:rPr>
                <w:t>LP, and each of the other persons and entities parties thereto</w:t>
              </w:r>
            </w:hyperlink>
          </w:p>
        </w:tc>
        <w:tc>
          <w:tcPr>
            <w:tcW w:w="360" w:type="dxa"/>
            <w:vAlign w:val="bottom"/>
            <w:gridSpan w:val="8"/>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3"/>
          </w:tcPr>
          <w:p>
            <w:pPr>
              <w:spacing w:after="0"/>
              <w:rPr>
                <w:rFonts w:ascii="Arial" w:cs="Arial" w:eastAsia="Arial" w:hAnsi="Arial"/>
                <w:sz w:val="18"/>
                <w:szCs w:val="18"/>
                <w:color w:val="0000FF"/>
              </w:rPr>
            </w:pPr>
            <w:hyperlink r:id="rId19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4720" w:type="dxa"/>
            <w:vAlign w:val="bottom"/>
            <w:gridSpan w:val="19"/>
          </w:tcPr>
          <w:p>
            <w:pPr>
              <w:spacing w:after="0"/>
              <w:rPr>
                <w:rFonts w:ascii="Arial" w:cs="Arial" w:eastAsia="Arial" w:hAnsi="Arial"/>
                <w:sz w:val="18"/>
                <w:szCs w:val="18"/>
                <w:color w:val="0000FF"/>
              </w:rPr>
            </w:pPr>
            <w:hyperlink r:id="rId197">
              <w:r>
                <w:rPr>
                  <w:rFonts w:ascii="Arial" w:cs="Arial" w:eastAsia="Arial" w:hAnsi="Arial"/>
                  <w:sz w:val="18"/>
                  <w:szCs w:val="18"/>
                  <w:color w:val="0000FF"/>
                </w:rPr>
                <w:t>Tax Receivable Agreement (Reorganization), dated as of</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0" w:type="dxa"/>
            <w:vAlign w:val="bottom"/>
            <w:tcBorders>
              <w:bottom w:val="single" w:sz="8" w:color="0000FF"/>
            </w:tcBorders>
            <w:gridSpan w:val="8"/>
          </w:tcPr>
          <w:p>
            <w:pPr>
              <w:spacing w:after="0" w:line="156" w:lineRule="exact"/>
              <w:rPr>
                <w:rFonts w:ascii="Arial" w:cs="Arial" w:eastAsia="Arial" w:hAnsi="Arial"/>
                <w:sz w:val="18"/>
                <w:szCs w:val="18"/>
                <w:color w:val="0000FF"/>
                <w:w w:val="88"/>
              </w:rPr>
            </w:pPr>
            <w:hyperlink r:id="rId197">
              <w:r>
                <w:rPr>
                  <w:rFonts w:ascii="Arial" w:cs="Arial" w:eastAsia="Arial" w:hAnsi="Arial"/>
                  <w:sz w:val="18"/>
                  <w:szCs w:val="18"/>
                  <w:color w:val="0000FF"/>
                  <w:w w:val="88"/>
                </w:rPr>
                <w:t>September 18, 2020, by and among StepStone Group Inc.,</w:t>
              </w:r>
            </w:hyperlink>
          </w:p>
        </w:tc>
        <w:tc>
          <w:tcPr>
            <w:tcW w:w="520" w:type="dxa"/>
            <w:vAlign w:val="bottom"/>
            <w:gridSpan w:val="11"/>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720" w:type="dxa"/>
            <w:vAlign w:val="bottom"/>
            <w:gridSpan w:val="19"/>
          </w:tcPr>
          <w:p>
            <w:pPr>
              <w:spacing w:after="0" w:line="156"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StepStone Group LP, and each of the other persons and entities</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97">
              <w:r>
                <w:rPr>
                  <w:rFonts w:ascii="Arial" w:cs="Arial" w:eastAsia="Arial" w:hAnsi="Arial"/>
                  <w:sz w:val="18"/>
                  <w:szCs w:val="18"/>
                  <w:color w:val="0000FF"/>
                  <w:w w:val="86"/>
                </w:rPr>
                <w:t>parties thereto</w:t>
              </w:r>
            </w:hyperlink>
          </w:p>
        </w:tc>
        <w:tc>
          <w:tcPr>
            <w:tcW w:w="3500" w:type="dxa"/>
            <w:vAlign w:val="bottom"/>
            <w:tcBorders>
              <w:top w:val="single" w:sz="8" w:color="0000FF"/>
            </w:tcBorders>
            <w:gridSpan w:val="11"/>
          </w:tcPr>
          <w:p>
            <w:pPr>
              <w:spacing w:after="0"/>
              <w:rPr>
                <w:sz w:val="13"/>
                <w:szCs w:val="13"/>
                <w:color w:val="auto"/>
              </w:rPr>
            </w:pPr>
          </w:p>
        </w:tc>
        <w:tc>
          <w:tcPr>
            <w:tcW w:w="200" w:type="dxa"/>
            <w:vAlign w:val="bottom"/>
            <w:gridSpan w:val="6"/>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gridSpan w:val="4"/>
          </w:tcPr>
          <w:p>
            <w:pPr>
              <w:ind w:left="20"/>
              <w:spacing w:after="0"/>
              <w:rPr>
                <w:rFonts w:ascii="Arial" w:cs="Arial" w:eastAsia="Arial" w:hAnsi="Arial"/>
                <w:sz w:val="18"/>
                <w:szCs w:val="18"/>
                <w:color w:val="0000FF"/>
              </w:rPr>
            </w:pPr>
            <w:hyperlink r:id="rId19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4720" w:type="dxa"/>
            <w:vAlign w:val="bottom"/>
            <w:gridSpan w:val="19"/>
          </w:tcPr>
          <w:p>
            <w:pPr>
              <w:spacing w:after="0"/>
              <w:rPr>
                <w:rFonts w:ascii="Arial" w:cs="Arial" w:eastAsia="Arial" w:hAnsi="Arial"/>
                <w:sz w:val="18"/>
                <w:szCs w:val="18"/>
                <w:color w:val="0000FF"/>
                <w:w w:val="93"/>
              </w:rPr>
            </w:pPr>
            <w:hyperlink r:id="rId198">
              <w:r>
                <w:rPr>
                  <w:rFonts w:ascii="Arial" w:cs="Arial" w:eastAsia="Arial" w:hAnsi="Arial"/>
                  <w:sz w:val="18"/>
                  <w:szCs w:val="18"/>
                  <w:color w:val="0000FF"/>
                  <w:w w:val="93"/>
                </w:rPr>
                <w:t>Exchange Agreement, dated as of September 18, 2020, by and</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8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r:id="rId198">
              <w:r>
                <w:rPr>
                  <w:rFonts w:ascii="Arial" w:cs="Arial" w:eastAsia="Arial" w:hAnsi="Arial"/>
                  <w:sz w:val="18"/>
                  <w:szCs w:val="18"/>
                  <w:color w:val="0000FF"/>
                  <w:w w:val="93"/>
                </w:rPr>
                <w:t>among the Company, the Partnership, and each of the other</w:t>
              </w:r>
            </w:hyperlink>
          </w:p>
        </w:tc>
        <w:tc>
          <w:tcPr>
            <w:tcW w:w="240" w:type="dxa"/>
            <w:vAlign w:val="bottom"/>
            <w:gridSpan w:val="7"/>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98">
              <w:r>
                <w:rPr>
                  <w:rFonts w:ascii="Arial" w:cs="Arial" w:eastAsia="Arial" w:hAnsi="Arial"/>
                  <w:sz w:val="18"/>
                  <w:szCs w:val="18"/>
                  <w:color w:val="0000FF"/>
                  <w:w w:val="88"/>
                </w:rPr>
                <w:t>persons and entities party thereto</w:t>
              </w:r>
            </w:hyperlink>
          </w:p>
        </w:tc>
        <w:tc>
          <w:tcPr>
            <w:tcW w:w="1880" w:type="dxa"/>
            <w:vAlign w:val="bottom"/>
            <w:tcBorders>
              <w:top w:val="single" w:sz="8" w:color="0000FF"/>
            </w:tcBorders>
            <w:gridSpan w:val="5"/>
          </w:tcPr>
          <w:p>
            <w:pPr>
              <w:spacing w:after="0"/>
              <w:rPr>
                <w:sz w:val="13"/>
                <w:szCs w:val="13"/>
                <w:color w:val="auto"/>
              </w:rPr>
            </w:pPr>
          </w:p>
        </w:tc>
        <w:tc>
          <w:tcPr>
            <w:tcW w:w="460" w:type="dxa"/>
            <w:vAlign w:val="bottom"/>
            <w:gridSpan w:val="10"/>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80" w:type="dxa"/>
            <w:vAlign w:val="bottom"/>
            <w:gridSpan w:val="14"/>
          </w:tcPr>
          <w:p>
            <w:pPr>
              <w:ind w:left="4260"/>
              <w:spacing w:after="0"/>
              <w:rPr>
                <w:sz w:val="20"/>
                <w:szCs w:val="20"/>
                <w:color w:val="auto"/>
              </w:rPr>
            </w:pPr>
            <w:r>
              <w:rPr>
                <w:rFonts w:ascii="Arial" w:cs="Arial" w:eastAsia="Arial" w:hAnsi="Arial"/>
                <w:sz w:val="18"/>
                <w:szCs w:val="18"/>
                <w:color w:val="auto"/>
                <w:w w:val="99"/>
              </w:rPr>
              <w:t>176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rFonts w:ascii="Arial" w:cs="Arial" w:eastAsia="Arial" w:hAnsi="Arial"/>
                <w:sz w:val="18"/>
                <w:szCs w:val="18"/>
                <w:color w:val="0000FF"/>
                <w:w w:val="85"/>
              </w:rPr>
            </w:pPr>
            <w:hyperlink r:id="rId20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60" w:type="dxa"/>
            <w:vAlign w:val="bottom"/>
            <w:gridSpan w:val="24"/>
          </w:tcPr>
          <w:p>
            <w:pPr>
              <w:spacing w:after="0"/>
              <w:rPr>
                <w:rFonts w:ascii="Arial" w:cs="Arial" w:eastAsia="Arial" w:hAnsi="Arial"/>
                <w:sz w:val="18"/>
                <w:szCs w:val="18"/>
                <w:color w:val="0000FF"/>
                <w:w w:val="93"/>
              </w:rPr>
            </w:pPr>
            <w:hyperlink r:id="rId201">
              <w:r>
                <w:rPr>
                  <w:rFonts w:ascii="Arial" w:cs="Arial" w:eastAsia="Arial" w:hAnsi="Arial"/>
                  <w:sz w:val="18"/>
                  <w:szCs w:val="18"/>
                  <w:color w:val="0000FF"/>
                  <w:w w:val="93"/>
                </w:rPr>
                <w:t>Amended and Restated Registration Rights Agreement, dated as</w:t>
              </w:r>
            </w:hyperlink>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4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201">
              <w:r>
                <w:rPr>
                  <w:rFonts w:ascii="Arial" w:cs="Arial" w:eastAsia="Arial" w:hAnsi="Arial"/>
                  <w:sz w:val="18"/>
                  <w:szCs w:val="18"/>
                  <w:color w:val="0000FF"/>
                  <w:w w:val="95"/>
                </w:rPr>
                <w:t>of September 20, 2021, by and among the Company and the</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8-K</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10.4</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9/20/2021</w:t>
            </w:r>
          </w:p>
        </w:tc>
        <w:tc>
          <w:tcPr>
            <w:tcW w:w="1740" w:type="dxa"/>
            <w:vAlign w:val="bottom"/>
            <w:vMerge w:val="restart"/>
          </w:tcPr>
          <w:p>
            <w:pPr>
              <w:jc w:val="center"/>
              <w:ind w:right="43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3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other persons and entities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rFonts w:ascii="Arial" w:cs="Arial" w:eastAsia="Arial" w:hAnsi="Arial"/>
                <w:sz w:val="18"/>
                <w:szCs w:val="18"/>
                <w:color w:val="0000FF"/>
                <w:w w:val="85"/>
              </w:rPr>
            </w:pPr>
            <w:hyperlink r:id="rId20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FF"/>
                <w:w w:val="98"/>
              </w:rPr>
            </w:pPr>
            <w:hyperlink r:id="rId202">
              <w:r>
                <w:rPr>
                  <w:rFonts w:ascii="Arial" w:cs="Arial" w:eastAsia="Arial" w:hAnsi="Arial"/>
                  <w:sz w:val="18"/>
                  <w:szCs w:val="18"/>
                  <w:color w:val="0000FF"/>
                  <w:w w:val="98"/>
                </w:rPr>
                <w:t>Amended and Restated Stockholders Agreement, dated as of</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8"/>
              </w:rPr>
            </w:pPr>
            <w:hyperlink r:id="rId202">
              <w:r>
                <w:rPr>
                  <w:rFonts w:ascii="Arial" w:cs="Arial" w:eastAsia="Arial" w:hAnsi="Arial"/>
                  <w:sz w:val="18"/>
                  <w:szCs w:val="18"/>
                  <w:color w:val="0000FF"/>
                  <w:w w:val="88"/>
                </w:rPr>
                <w:t>September 20, 2021, by and among the Company, the</w:t>
              </w:r>
            </w:hyperlink>
          </w:p>
        </w:tc>
        <w:tc>
          <w:tcPr>
            <w:tcW w:w="50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8-K</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10.2</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9/20/2021</w:t>
            </w:r>
          </w:p>
        </w:tc>
        <w:tc>
          <w:tcPr>
            <w:tcW w:w="1740" w:type="dxa"/>
            <w:vAlign w:val="bottom"/>
            <w:vMerge w:val="restart"/>
          </w:tcPr>
          <w:p>
            <w:pPr>
              <w:jc w:val="center"/>
              <w:ind w:right="43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60" w:type="dxa"/>
            <w:vAlign w:val="bottom"/>
            <w:gridSpan w:val="24"/>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Partnership and the other persons and entities party thereto</w:t>
              </w:r>
            </w:hyperlink>
          </w:p>
        </w:tc>
        <w:tc>
          <w:tcPr>
            <w:tcW w:w="8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4"/>
          </w:tcPr>
          <w:p>
            <w:pPr>
              <w:spacing w:after="0"/>
              <w:rPr>
                <w:rFonts w:ascii="Arial" w:cs="Arial" w:eastAsia="Arial" w:hAnsi="Arial"/>
                <w:sz w:val="18"/>
                <w:szCs w:val="18"/>
                <w:color w:val="0000FF"/>
              </w:rPr>
            </w:pPr>
            <w:hyperlink r:id="rId203">
              <w:r>
                <w:rPr>
                  <w:rFonts w:ascii="Arial" w:cs="Arial" w:eastAsia="Arial" w:hAnsi="Arial"/>
                  <w:sz w:val="18"/>
                  <w:szCs w:val="18"/>
                  <w:color w:val="0000FF"/>
                </w:rPr>
                <w:t>10.</w:t>
              </w:r>
              <w:r>
                <w:rPr>
                  <w:rFonts w:ascii="Arial" w:cs="Arial" w:eastAsia="Arial" w:hAnsi="Arial"/>
                  <w:sz w:val="18"/>
                  <w:szCs w:val="18"/>
                  <w:u w:val="single" w:color="auto"/>
                  <w:color w:val="0000FF"/>
                </w:rPr>
                <w:t>7</w:t>
              </w:r>
            </w:hyperlink>
            <w:r>
              <w:rPr>
                <w:rFonts w:ascii="Arial" w:cs="Arial" w:eastAsia="Arial" w:hAnsi="Arial"/>
                <w:sz w:val="18"/>
                <w:szCs w:val="18"/>
                <w:color w:val="000000"/>
              </w:rPr>
              <w:t>†</w:t>
            </w:r>
          </w:p>
        </w:tc>
        <w:tc>
          <w:tcPr>
            <w:tcW w:w="4220" w:type="dxa"/>
            <w:vAlign w:val="bottom"/>
            <w:tcBorders>
              <w:top w:val="single" w:sz="8" w:color="0000FF"/>
            </w:tcBorders>
            <w:gridSpan w:val="11"/>
          </w:tcPr>
          <w:p>
            <w:pPr>
              <w:spacing w:after="0"/>
              <w:rPr>
                <w:rFonts w:ascii="Arial" w:cs="Arial" w:eastAsia="Arial" w:hAnsi="Arial"/>
                <w:sz w:val="18"/>
                <w:szCs w:val="18"/>
                <w:color w:val="0000FF"/>
                <w:w w:val="97"/>
              </w:rPr>
            </w:pPr>
            <w:hyperlink r:id="rId203">
              <w:r>
                <w:rPr>
                  <w:rFonts w:ascii="Arial" w:cs="Arial" w:eastAsia="Arial" w:hAnsi="Arial"/>
                  <w:sz w:val="18"/>
                  <w:szCs w:val="18"/>
                  <w:color w:val="0000FF"/>
                  <w:w w:val="97"/>
                </w:rPr>
                <w:t>StepStone Group Inc. 2020 Long-Term Incentive Plan</w:t>
              </w:r>
            </w:hyperlink>
          </w:p>
        </w:tc>
        <w:tc>
          <w:tcPr>
            <w:tcW w:w="640" w:type="dxa"/>
            <w:vAlign w:val="bottom"/>
            <w:gridSpan w:val="13"/>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8-K</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9/18/2020</w:t>
            </w:r>
          </w:p>
        </w:tc>
        <w:tc>
          <w:tcPr>
            <w:tcW w:w="1740" w:type="dxa"/>
            <w:vAlign w:val="bottom"/>
          </w:tcPr>
          <w:p>
            <w:pPr>
              <w:jc w:val="center"/>
              <w:ind w:right="43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4"/>
          </w:tcPr>
          <w:p>
            <w:pPr>
              <w:spacing w:after="0"/>
              <w:rPr>
                <w:rFonts w:ascii="Arial" w:cs="Arial" w:eastAsia="Arial" w:hAnsi="Arial"/>
                <w:sz w:val="18"/>
                <w:szCs w:val="18"/>
                <w:color w:val="0000FF"/>
              </w:rPr>
            </w:pPr>
            <w:hyperlink r:id="rId204">
              <w:r>
                <w:rPr>
                  <w:rFonts w:ascii="Arial" w:cs="Arial" w:eastAsia="Arial" w:hAnsi="Arial"/>
                  <w:sz w:val="18"/>
                  <w:szCs w:val="18"/>
                  <w:color w:val="0000FF"/>
                </w:rPr>
                <w:t>10.</w:t>
              </w:r>
              <w:r>
                <w:rPr>
                  <w:rFonts w:ascii="Arial" w:cs="Arial" w:eastAsia="Arial" w:hAnsi="Arial"/>
                  <w:sz w:val="18"/>
                  <w:szCs w:val="18"/>
                  <w:u w:val="single" w:color="auto"/>
                  <w:color w:val="0000FF"/>
                </w:rPr>
                <w:t>8</w:t>
              </w:r>
            </w:hyperlink>
            <w:r>
              <w:rPr>
                <w:rFonts w:ascii="Arial" w:cs="Arial" w:eastAsia="Arial" w:hAnsi="Arial"/>
                <w:sz w:val="18"/>
                <w:szCs w:val="18"/>
                <w:color w:val="000000"/>
              </w:rPr>
              <w:t>†</w:t>
            </w:r>
          </w:p>
        </w:tc>
        <w:tc>
          <w:tcPr>
            <w:tcW w:w="4860" w:type="dxa"/>
            <w:vAlign w:val="bottom"/>
            <w:gridSpan w:val="24"/>
          </w:tcPr>
          <w:p>
            <w:pPr>
              <w:spacing w:after="0"/>
              <w:rPr>
                <w:rFonts w:ascii="Arial" w:cs="Arial" w:eastAsia="Arial" w:hAnsi="Arial"/>
                <w:sz w:val="18"/>
                <w:szCs w:val="18"/>
                <w:color w:val="0000FF"/>
                <w:w w:val="94"/>
              </w:rPr>
            </w:pPr>
            <w:hyperlink r:id="rId204">
              <w:r>
                <w:rPr>
                  <w:rFonts w:ascii="Arial" w:cs="Arial" w:eastAsia="Arial" w:hAnsi="Arial"/>
                  <w:sz w:val="18"/>
                  <w:szCs w:val="18"/>
                  <w:color w:val="0000FF"/>
                  <w:w w:val="94"/>
                </w:rPr>
                <w:t>Form of Restricted Stock Unit Award Agreement under the 2020</w:t>
              </w:r>
            </w:hyperlink>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S-1</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10.8</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8/24/2020</w:t>
            </w:r>
          </w:p>
        </w:tc>
        <w:tc>
          <w:tcPr>
            <w:tcW w:w="1740" w:type="dxa"/>
            <w:vAlign w:val="bottom"/>
            <w:vMerge w:val="restart"/>
          </w:tcPr>
          <w:p>
            <w:pPr>
              <w:jc w:val="center"/>
              <w:ind w:right="450"/>
              <w:spacing w:after="0"/>
              <w:rPr>
                <w:sz w:val="20"/>
                <w:szCs w:val="20"/>
                <w:color w:val="auto"/>
              </w:rPr>
            </w:pPr>
            <w:r>
              <w:rPr>
                <w:rFonts w:ascii="Arial" w:cs="Arial" w:eastAsia="Arial" w:hAnsi="Arial"/>
                <w:sz w:val="18"/>
                <w:szCs w:val="18"/>
                <w:color w:val="auto"/>
                <w:w w:val="91"/>
              </w:rPr>
              <w:t>333-248313</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Long-Term Incentive Plan</w:t>
              </w:r>
            </w:hyperlink>
          </w:p>
        </w:tc>
        <w:tc>
          <w:tcPr>
            <w:tcW w:w="2760" w:type="dxa"/>
            <w:vAlign w:val="bottom"/>
            <w:tcBorders>
              <w:top w:val="single" w:sz="8" w:color="0000FF"/>
            </w:tcBorders>
            <w:gridSpan w:val="20"/>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4"/>
          </w:tcPr>
          <w:p>
            <w:pPr>
              <w:spacing w:after="0"/>
              <w:rPr>
                <w:rFonts w:ascii="Arial" w:cs="Arial" w:eastAsia="Arial" w:hAnsi="Arial"/>
                <w:sz w:val="18"/>
                <w:szCs w:val="18"/>
                <w:color w:val="0000FF"/>
              </w:rPr>
            </w:pPr>
            <w:hyperlink r:id="rId205">
              <w:r>
                <w:rPr>
                  <w:rFonts w:ascii="Arial" w:cs="Arial" w:eastAsia="Arial" w:hAnsi="Arial"/>
                  <w:sz w:val="18"/>
                  <w:szCs w:val="18"/>
                  <w:color w:val="0000FF"/>
                </w:rPr>
                <w:t>10.</w:t>
              </w:r>
              <w:r>
                <w:rPr>
                  <w:rFonts w:ascii="Arial" w:cs="Arial" w:eastAsia="Arial" w:hAnsi="Arial"/>
                  <w:sz w:val="18"/>
                  <w:szCs w:val="18"/>
                  <w:u w:val="single" w:color="auto"/>
                  <w:color w:val="0000FF"/>
                </w:rPr>
                <w:t>9</w:t>
              </w:r>
            </w:hyperlink>
            <w:r>
              <w:rPr>
                <w:rFonts w:ascii="Arial" w:cs="Arial" w:eastAsia="Arial" w:hAnsi="Arial"/>
                <w:sz w:val="18"/>
                <w:szCs w:val="18"/>
                <w:color w:val="000000"/>
              </w:rPr>
              <w:t>†</w:t>
            </w:r>
          </w:p>
        </w:tc>
        <w:tc>
          <w:tcPr>
            <w:tcW w:w="4860" w:type="dxa"/>
            <w:vAlign w:val="bottom"/>
            <w:gridSpan w:val="24"/>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Indemnification Agreement for directors and officers</w:t>
              </w:r>
            </w:hyperlink>
          </w:p>
        </w:tc>
        <w:tc>
          <w:tcPr>
            <w:tcW w:w="800" w:type="dxa"/>
            <w:vAlign w:val="bottom"/>
          </w:tcPr>
          <w:p>
            <w:pPr>
              <w:ind w:left="180"/>
              <w:spacing w:after="0"/>
              <w:rPr>
                <w:sz w:val="20"/>
                <w:szCs w:val="20"/>
                <w:color w:val="auto"/>
              </w:rPr>
            </w:pPr>
            <w:r>
              <w:rPr>
                <w:rFonts w:ascii="Arial" w:cs="Arial" w:eastAsia="Arial" w:hAnsi="Arial"/>
                <w:sz w:val="18"/>
                <w:szCs w:val="18"/>
                <w:color w:val="auto"/>
              </w:rPr>
              <w:t>S-1</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8/24/2020</w:t>
            </w:r>
          </w:p>
        </w:tc>
        <w:tc>
          <w:tcPr>
            <w:tcW w:w="1740" w:type="dxa"/>
            <w:vAlign w:val="bottom"/>
          </w:tcPr>
          <w:p>
            <w:pPr>
              <w:jc w:val="center"/>
              <w:ind w:right="450"/>
              <w:spacing w:after="0"/>
              <w:rPr>
                <w:sz w:val="20"/>
                <w:szCs w:val="20"/>
                <w:color w:val="auto"/>
              </w:rPr>
            </w:pPr>
            <w:r>
              <w:rPr>
                <w:rFonts w:ascii="Arial" w:cs="Arial" w:eastAsia="Arial" w:hAnsi="Arial"/>
                <w:sz w:val="18"/>
                <w:szCs w:val="18"/>
                <w:color w:val="auto"/>
                <w:w w:val="91"/>
              </w:rPr>
              <w:t>333-248313</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4"/>
          </w:tcPr>
          <w:p>
            <w:pPr>
              <w:spacing w:after="0"/>
              <w:rPr>
                <w:rFonts w:ascii="Arial" w:cs="Arial" w:eastAsia="Arial" w:hAnsi="Arial"/>
                <w:sz w:val="18"/>
                <w:szCs w:val="18"/>
                <w:color w:val="0000FF"/>
              </w:rPr>
            </w:pPr>
            <w:hyperlink r:id="rId206">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4860" w:type="dxa"/>
            <w:vAlign w:val="bottom"/>
            <w:gridSpan w:val="24"/>
          </w:tcPr>
          <w:p>
            <w:pPr>
              <w:spacing w:after="0"/>
              <w:rPr>
                <w:rFonts w:ascii="Arial" w:cs="Arial" w:eastAsia="Arial" w:hAnsi="Arial"/>
                <w:sz w:val="18"/>
                <w:szCs w:val="18"/>
                <w:color w:val="0000FF"/>
                <w:w w:val="94"/>
              </w:rPr>
            </w:pPr>
            <w:hyperlink r:id="rId206">
              <w:r>
                <w:rPr>
                  <w:rFonts w:ascii="Arial" w:cs="Arial" w:eastAsia="Arial" w:hAnsi="Arial"/>
                  <w:sz w:val="18"/>
                  <w:szCs w:val="18"/>
                  <w:color w:val="0000FF"/>
                  <w:w w:val="94"/>
                </w:rPr>
                <w:t>Class C Exchange Agreement, dated as of September 20, 2021,</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560" w:type="dxa"/>
            <w:vAlign w:val="bottom"/>
            <w:tcBorders>
              <w:top w:val="single" w:sz="8" w:color="0000FF"/>
            </w:tcBorders>
            <w:gridSpan w:val="19"/>
          </w:tcPr>
          <w:p>
            <w:pPr>
              <w:spacing w:after="0" w:line="156" w:lineRule="exact"/>
              <w:rPr>
                <w:rFonts w:ascii="Arial" w:cs="Arial" w:eastAsia="Arial" w:hAnsi="Arial"/>
                <w:sz w:val="18"/>
                <w:szCs w:val="18"/>
                <w:color w:val="0000FF"/>
                <w:w w:val="96"/>
              </w:rPr>
            </w:pPr>
            <w:hyperlink r:id="rId206">
              <w:r>
                <w:rPr>
                  <w:rFonts w:ascii="Arial" w:cs="Arial" w:eastAsia="Arial" w:hAnsi="Arial"/>
                  <w:sz w:val="18"/>
                  <w:szCs w:val="18"/>
                  <w:color w:val="0000FF"/>
                  <w:w w:val="96"/>
                </w:rPr>
                <w:t>by and among the Company, the Partnership and the other</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8-K</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10.5</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9/20/2021</w:t>
            </w:r>
          </w:p>
        </w:tc>
        <w:tc>
          <w:tcPr>
            <w:tcW w:w="1740" w:type="dxa"/>
            <w:vAlign w:val="bottom"/>
            <w:vMerge w:val="restart"/>
          </w:tcPr>
          <w:p>
            <w:pPr>
              <w:jc w:val="center"/>
              <w:ind w:right="43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206">
              <w:r>
                <w:rPr>
                  <w:rFonts w:ascii="Arial" w:cs="Arial" w:eastAsia="Arial" w:hAnsi="Arial"/>
                  <w:sz w:val="18"/>
                  <w:szCs w:val="18"/>
                  <w:color w:val="0000FF"/>
                  <w:w w:val="88"/>
                </w:rPr>
                <w:t>persons and entities party thereto</w:t>
              </w:r>
            </w:hyperlink>
          </w:p>
        </w:tc>
        <w:tc>
          <w:tcPr>
            <w:tcW w:w="178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8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0" w:type="dxa"/>
            <w:vAlign w:val="bottom"/>
            <w:gridSpan w:val="3"/>
          </w:tcPr>
          <w:p>
            <w:pPr>
              <w:spacing w:after="0"/>
              <w:rPr>
                <w:rFonts w:ascii="Arial" w:cs="Arial" w:eastAsia="Arial" w:hAnsi="Arial"/>
                <w:sz w:val="18"/>
                <w:szCs w:val="18"/>
                <w:color w:val="0000FF"/>
                <w:w w:val="88"/>
              </w:rPr>
            </w:pPr>
            <w:hyperlink r:id="rId20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78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FF"/>
              </w:rPr>
            </w:pPr>
            <w:hyperlink r:id="rId207">
              <w:r>
                <w:rPr>
                  <w:rFonts w:ascii="Arial" w:cs="Arial" w:eastAsia="Arial" w:hAnsi="Arial"/>
                  <w:sz w:val="18"/>
                  <w:szCs w:val="18"/>
                  <w:color w:val="0000FF"/>
                </w:rPr>
                <w:t>Credit Agreement, dated as of September 20, 2021, by and</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60" w:type="dxa"/>
            <w:vAlign w:val="bottom"/>
            <w:gridSpan w:val="24"/>
          </w:tcPr>
          <w:p>
            <w:pPr>
              <w:spacing w:after="0" w:line="156" w:lineRule="exact"/>
              <w:rPr>
                <w:rFonts w:ascii="Arial" w:cs="Arial" w:eastAsia="Arial" w:hAnsi="Arial"/>
                <w:sz w:val="18"/>
                <w:szCs w:val="18"/>
                <w:color w:val="0000FF"/>
                <w:w w:val="96"/>
              </w:rPr>
            </w:pPr>
            <w:hyperlink r:id="rId207">
              <w:r>
                <w:rPr>
                  <w:rFonts w:ascii="Arial" w:cs="Arial" w:eastAsia="Arial" w:hAnsi="Arial"/>
                  <w:sz w:val="18"/>
                  <w:szCs w:val="18"/>
                  <w:color w:val="0000FF"/>
                  <w:w w:val="96"/>
                </w:rPr>
                <w:t>among StepStone Group Inc., StepStone Group LP, JPMorgan</w:t>
              </w:r>
            </w:hyperlink>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88"/>
              </w:rPr>
            </w:pPr>
            <w:hyperlink r:id="rId207">
              <w:r>
                <w:rPr>
                  <w:rFonts w:ascii="Arial" w:cs="Arial" w:eastAsia="Arial" w:hAnsi="Arial"/>
                  <w:sz w:val="18"/>
                  <w:szCs w:val="18"/>
                  <w:color w:val="0000FF"/>
                  <w:w w:val="88"/>
                </w:rPr>
                <w:t>Chase Bank, N.A., as administrative agent and collateral agent,</w:t>
              </w:r>
            </w:hyperlink>
          </w:p>
        </w:tc>
        <w:tc>
          <w:tcPr>
            <w:tcW w:w="6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8-K</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color w:val="auto"/>
              </w:rPr>
              <w:t>10.1</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9/20/2021</w:t>
            </w:r>
          </w:p>
        </w:tc>
        <w:tc>
          <w:tcPr>
            <w:tcW w:w="1740" w:type="dxa"/>
            <w:vAlign w:val="bottom"/>
            <w:vMerge w:val="restart"/>
          </w:tcPr>
          <w:p>
            <w:pPr>
              <w:jc w:val="center"/>
              <w:ind w:right="430"/>
              <w:spacing w:after="0"/>
              <w:rPr>
                <w:sz w:val="20"/>
                <w:szCs w:val="20"/>
                <w:color w:val="auto"/>
              </w:rPr>
            </w:pPr>
            <w:r>
              <w:rPr>
                <w:rFonts w:ascii="Arial" w:cs="Arial" w:eastAsia="Arial" w:hAnsi="Arial"/>
                <w:sz w:val="18"/>
                <w:szCs w:val="18"/>
                <w:color w:val="auto"/>
                <w:w w:val="90"/>
              </w:rPr>
              <w:t>001-39510</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40" w:type="dxa"/>
            <w:vAlign w:val="bottom"/>
            <w:gridSpan w:val="18"/>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and certain other lenders party thereto</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8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80">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180">
              <w:r>
                <w:rPr>
                  <w:rFonts w:ascii="Arial" w:cs="Arial" w:eastAsia="Arial" w:hAnsi="Arial"/>
                  <w:sz w:val="18"/>
                  <w:szCs w:val="18"/>
                  <w:color w:val="0000FF"/>
                  <w:w w:val="91"/>
                </w:rPr>
                <w:t>List of Subsidiaries</w:t>
              </w:r>
            </w:hyperlink>
          </w:p>
        </w:tc>
        <w:tc>
          <w:tcPr>
            <w:tcW w:w="1380" w:type="dxa"/>
            <w:vAlign w:val="bottom"/>
            <w:tcBorders>
              <w:top w:val="single" w:sz="8" w:color="0000FF"/>
            </w:tcBorders>
            <w:gridSpan w:val="5"/>
          </w:tcPr>
          <w:p>
            <w:pPr>
              <w:spacing w:after="0"/>
              <w:rPr>
                <w:sz w:val="18"/>
                <w:szCs w:val="18"/>
                <w:color w:val="auto"/>
              </w:rPr>
            </w:pPr>
          </w:p>
        </w:tc>
        <w:tc>
          <w:tcPr>
            <w:tcW w:w="2080" w:type="dxa"/>
            <w:vAlign w:val="bottom"/>
            <w:gridSpan w:val="17"/>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320" w:type="dxa"/>
            <w:vAlign w:val="bottom"/>
          </w:tcPr>
          <w:p>
            <w:pPr>
              <w:spacing w:after="0"/>
              <w:rPr>
                <w:rFonts w:ascii="Arial" w:cs="Arial" w:eastAsia="Arial" w:hAnsi="Arial"/>
                <w:sz w:val="18"/>
                <w:szCs w:val="18"/>
                <w:color w:val="0000FF"/>
                <w:w w:val="85"/>
              </w:rPr>
            </w:pPr>
            <w:hyperlink w:anchor="page186">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Consent of Ernst &amp; Young LLP</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rFonts w:ascii="Arial" w:cs="Arial" w:eastAsia="Arial" w:hAnsi="Arial"/>
                <w:sz w:val="18"/>
                <w:szCs w:val="18"/>
                <w:color w:val="0000FF"/>
                <w:w w:val="85"/>
              </w:rPr>
            </w:pPr>
            <w:hyperlink w:anchor="page18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FF"/>
              </w:rPr>
            </w:pPr>
            <w:hyperlink w:anchor="page187">
              <w:r>
                <w:rPr>
                  <w:rFonts w:ascii="Arial" w:cs="Arial" w:eastAsia="Arial" w:hAnsi="Arial"/>
                  <w:sz w:val="18"/>
                  <w:szCs w:val="18"/>
                  <w:color w:val="0000FF"/>
                </w:rPr>
                <w:t>Certification of Chief Executive Officer pursuant to Rule 13a-</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6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w:anchor="page187">
              <w:r>
                <w:rPr>
                  <w:rFonts w:ascii="Arial" w:cs="Arial" w:eastAsia="Arial" w:hAnsi="Arial"/>
                  <w:sz w:val="18"/>
                  <w:szCs w:val="18"/>
                  <w:color w:val="0000FF"/>
                  <w:w w:val="92"/>
                </w:rPr>
                <w:t>14(a) and Rule 15d-14(a) of the Securities Exchange Act, as</w:t>
              </w:r>
            </w:hyperlink>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3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87">
              <w:r>
                <w:rPr>
                  <w:rFonts w:ascii="Arial" w:cs="Arial" w:eastAsia="Arial" w:hAnsi="Arial"/>
                  <w:sz w:val="18"/>
                  <w:szCs w:val="18"/>
                  <w:color w:val="0000FF"/>
                </w:rPr>
                <w:t>amended</w:t>
              </w:r>
            </w:hyperlink>
          </w:p>
        </w:tc>
        <w:tc>
          <w:tcPr>
            <w:tcW w:w="10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rFonts w:ascii="Arial" w:cs="Arial" w:eastAsia="Arial" w:hAnsi="Arial"/>
                <w:sz w:val="18"/>
                <w:szCs w:val="18"/>
                <w:color w:val="0000FF"/>
                <w:w w:val="85"/>
              </w:rPr>
            </w:pPr>
            <w:hyperlink w:anchor="page18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FF"/>
              </w:rPr>
            </w:pPr>
            <w:hyperlink w:anchor="page188">
              <w:r>
                <w:rPr>
                  <w:rFonts w:ascii="Arial" w:cs="Arial" w:eastAsia="Arial" w:hAnsi="Arial"/>
                  <w:sz w:val="18"/>
                  <w:szCs w:val="18"/>
                  <w:color w:val="0000FF"/>
                </w:rPr>
                <w:t>Certification of Chief Financial Officer pursuant to Rule 13a-</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4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w:anchor="page188">
              <w:r>
                <w:rPr>
                  <w:rFonts w:ascii="Arial" w:cs="Arial" w:eastAsia="Arial" w:hAnsi="Arial"/>
                  <w:sz w:val="18"/>
                  <w:szCs w:val="18"/>
                  <w:color w:val="0000FF"/>
                  <w:w w:val="91"/>
                </w:rPr>
                <w:t>14(a) and Rule 15d-14(a) of the Securities Exchange Act, as</w:t>
              </w:r>
            </w:hyperlink>
          </w:p>
        </w:tc>
        <w:tc>
          <w:tcPr>
            <w:tcW w:w="14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3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88">
              <w:r>
                <w:rPr>
                  <w:rFonts w:ascii="Arial" w:cs="Arial" w:eastAsia="Arial" w:hAnsi="Arial"/>
                  <w:sz w:val="18"/>
                  <w:szCs w:val="18"/>
                  <w:color w:val="0000FF"/>
                </w:rPr>
                <w:t>amended</w:t>
              </w:r>
            </w:hyperlink>
          </w:p>
        </w:tc>
        <w:tc>
          <w:tcPr>
            <w:tcW w:w="24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rFonts w:ascii="Arial" w:cs="Arial" w:eastAsia="Arial" w:hAnsi="Arial"/>
                <w:sz w:val="18"/>
                <w:szCs w:val="18"/>
                <w:color w:val="0000FF"/>
                <w:w w:val="85"/>
              </w:rPr>
            </w:pPr>
            <w:hyperlink w:anchor="page18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FF"/>
                <w:w w:val="97"/>
              </w:rPr>
            </w:pPr>
            <w:hyperlink w:anchor="page189">
              <w:r>
                <w:rPr>
                  <w:rFonts w:ascii="Arial" w:cs="Arial" w:eastAsia="Arial" w:hAnsi="Arial"/>
                  <w:sz w:val="18"/>
                  <w:szCs w:val="18"/>
                  <w:color w:val="0000FF"/>
                  <w:w w:val="97"/>
                </w:rPr>
                <w:t>Certification of Chief Executive Officer pursuant to Section 906</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189">
              <w:r>
                <w:rPr>
                  <w:rFonts w:ascii="Arial" w:cs="Arial" w:eastAsia="Arial" w:hAnsi="Arial"/>
                  <w:sz w:val="18"/>
                  <w:szCs w:val="18"/>
                  <w:color w:val="0000FF"/>
                </w:rPr>
                <w:t>of the Sarbanes-Oxley Act of 2002</w:t>
              </w:r>
            </w:hyperlink>
          </w:p>
        </w:tc>
        <w:tc>
          <w:tcPr>
            <w:tcW w:w="2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rFonts w:ascii="Arial" w:cs="Arial" w:eastAsia="Arial" w:hAnsi="Arial"/>
                <w:sz w:val="18"/>
                <w:szCs w:val="18"/>
                <w:color w:val="0000FF"/>
                <w:w w:val="85"/>
              </w:rPr>
            </w:pPr>
            <w:hyperlink w:anchor="page19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FF"/>
                <w:w w:val="98"/>
              </w:rPr>
            </w:pPr>
            <w:hyperlink w:anchor="page190">
              <w:r>
                <w:rPr>
                  <w:rFonts w:ascii="Arial" w:cs="Arial" w:eastAsia="Arial" w:hAnsi="Arial"/>
                  <w:sz w:val="18"/>
                  <w:szCs w:val="18"/>
                  <w:color w:val="0000FF"/>
                  <w:w w:val="98"/>
                </w:rPr>
                <w:t>Certification of Chief Financial Officer pursuant to Section 906</w:t>
              </w:r>
            </w:hyperlink>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190">
              <w:r>
                <w:rPr>
                  <w:rFonts w:ascii="Arial" w:cs="Arial" w:eastAsia="Arial" w:hAnsi="Arial"/>
                  <w:sz w:val="18"/>
                  <w:szCs w:val="18"/>
                  <w:color w:val="0000FF"/>
                </w:rPr>
                <w:t>of the Sarbanes-Oxley Act of 2002</w:t>
              </w:r>
            </w:hyperlink>
          </w:p>
        </w:tc>
        <w:tc>
          <w:tcPr>
            <w:tcW w:w="28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2360" w:type="dxa"/>
            <w:vAlign w:val="bottom"/>
            <w:gridSpan w:val="1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w w:val="98"/>
              </w:rPr>
              <w:t>The following financial information in Part II, Item 8, “Financial</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60" w:type="dxa"/>
            <w:vAlign w:val="bottom"/>
            <w:gridSpan w:val="24"/>
          </w:tcPr>
          <w:p>
            <w:pPr>
              <w:spacing w:after="0" w:line="189" w:lineRule="exact"/>
              <w:rPr>
                <w:sz w:val="20"/>
                <w:szCs w:val="20"/>
                <w:color w:val="auto"/>
              </w:rPr>
            </w:pPr>
            <w:r>
              <w:rPr>
                <w:rFonts w:ascii="Arial" w:cs="Arial" w:eastAsia="Arial" w:hAnsi="Arial"/>
                <w:sz w:val="18"/>
                <w:szCs w:val="18"/>
                <w:color w:val="auto"/>
                <w:w w:val="98"/>
              </w:rPr>
              <w:t>Statements and Supplementary Data” from our Annual Report</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60" w:type="dxa"/>
            <w:vAlign w:val="bottom"/>
            <w:gridSpan w:val="24"/>
          </w:tcPr>
          <w:p>
            <w:pPr>
              <w:spacing w:after="0" w:line="189" w:lineRule="exact"/>
              <w:rPr>
                <w:sz w:val="20"/>
                <w:szCs w:val="20"/>
                <w:color w:val="auto"/>
              </w:rPr>
            </w:pPr>
            <w:r>
              <w:rPr>
                <w:rFonts w:ascii="Arial" w:cs="Arial" w:eastAsia="Arial" w:hAnsi="Arial"/>
                <w:sz w:val="18"/>
                <w:szCs w:val="18"/>
                <w:color w:val="auto"/>
                <w:w w:val="98"/>
              </w:rPr>
              <w:t>on Form 10-K for the year ended March 31, 2022 formatted in</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60" w:type="dxa"/>
            <w:vAlign w:val="bottom"/>
            <w:gridSpan w:val="24"/>
          </w:tcPr>
          <w:p>
            <w:pPr>
              <w:spacing w:after="0" w:line="189" w:lineRule="exact"/>
              <w:rPr>
                <w:sz w:val="20"/>
                <w:szCs w:val="20"/>
                <w:color w:val="auto"/>
              </w:rPr>
            </w:pPr>
            <w:r>
              <w:rPr>
                <w:rFonts w:ascii="Arial" w:cs="Arial" w:eastAsia="Arial" w:hAnsi="Arial"/>
                <w:sz w:val="18"/>
                <w:szCs w:val="18"/>
                <w:color w:val="auto"/>
                <w:w w:val="97"/>
              </w:rPr>
              <w:t>Inline XBRL (Extensible Business Reporting Language): (i) the</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60" w:type="dxa"/>
            <w:vAlign w:val="bottom"/>
            <w:gridSpan w:val="24"/>
          </w:tcPr>
          <w:p>
            <w:pPr>
              <w:spacing w:after="0" w:line="189" w:lineRule="exact"/>
              <w:rPr>
                <w:sz w:val="20"/>
                <w:szCs w:val="20"/>
                <w:color w:val="auto"/>
              </w:rPr>
            </w:pPr>
            <w:r>
              <w:rPr>
                <w:rFonts w:ascii="Arial" w:cs="Arial" w:eastAsia="Arial" w:hAnsi="Arial"/>
                <w:sz w:val="18"/>
                <w:szCs w:val="18"/>
                <w:color w:val="auto"/>
                <w:w w:val="92"/>
              </w:rPr>
              <w:t>Consolidated Balance Sheets; (ii) the Consolidated Statements of</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60" w:type="dxa"/>
            <w:vAlign w:val="bottom"/>
            <w:gridSpan w:val="24"/>
          </w:tcPr>
          <w:p>
            <w:pPr>
              <w:spacing w:after="0" w:line="189" w:lineRule="exact"/>
              <w:rPr>
                <w:sz w:val="20"/>
                <w:szCs w:val="20"/>
                <w:color w:val="auto"/>
              </w:rPr>
            </w:pPr>
            <w:r>
              <w:rPr>
                <w:rFonts w:ascii="Arial" w:cs="Arial" w:eastAsia="Arial" w:hAnsi="Arial"/>
                <w:sz w:val="18"/>
                <w:szCs w:val="18"/>
                <w:color w:val="auto"/>
              </w:rPr>
              <w:t>Income; (iii) the Consolidated Statements of Comprehensive</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60" w:type="dxa"/>
            <w:vAlign w:val="bottom"/>
            <w:gridSpan w:val="24"/>
          </w:tcPr>
          <w:p>
            <w:pPr>
              <w:spacing w:after="0" w:line="189" w:lineRule="exact"/>
              <w:rPr>
                <w:sz w:val="20"/>
                <w:szCs w:val="20"/>
                <w:color w:val="auto"/>
              </w:rPr>
            </w:pPr>
            <w:r>
              <w:rPr>
                <w:rFonts w:ascii="Arial" w:cs="Arial" w:eastAsia="Arial" w:hAnsi="Arial"/>
                <w:sz w:val="18"/>
                <w:szCs w:val="18"/>
                <w:color w:val="auto"/>
              </w:rPr>
              <w:t>Income; (iv) the Consolidated Statements of Stockholders’</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60" w:type="dxa"/>
            <w:vAlign w:val="bottom"/>
            <w:gridSpan w:val="24"/>
          </w:tcPr>
          <w:p>
            <w:pPr>
              <w:spacing w:after="0" w:line="189" w:lineRule="exact"/>
              <w:rPr>
                <w:sz w:val="20"/>
                <w:szCs w:val="20"/>
                <w:color w:val="auto"/>
              </w:rPr>
            </w:pPr>
            <w:r>
              <w:rPr>
                <w:rFonts w:ascii="Arial" w:cs="Arial" w:eastAsia="Arial" w:hAnsi="Arial"/>
                <w:sz w:val="18"/>
                <w:szCs w:val="18"/>
                <w:color w:val="auto"/>
                <w:w w:val="95"/>
              </w:rPr>
              <w:t>Equity; (v) the Consolidated Statements of Cash Flows; and (vi)</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Notes to Consolidated Financial Statements.</w:t>
            </w: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320" w:type="dxa"/>
            <w:vAlign w:val="bottom"/>
          </w:tcPr>
          <w:p>
            <w:pPr>
              <w:spacing w:after="0" w:line="176" w:lineRule="exact"/>
              <w:rPr>
                <w:sz w:val="20"/>
                <w:szCs w:val="20"/>
                <w:color w:val="auto"/>
              </w:rPr>
            </w:pPr>
            <w:r>
              <w:rPr>
                <w:rFonts w:ascii="Arial" w:cs="Arial" w:eastAsia="Arial" w:hAnsi="Arial"/>
                <w:sz w:val="18"/>
                <w:szCs w:val="18"/>
                <w:color w:val="auto"/>
                <w:w w:val="99"/>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60" w:type="dxa"/>
            <w:vAlign w:val="bottom"/>
            <w:gridSpan w:val="24"/>
          </w:tcPr>
          <w:p>
            <w:pPr>
              <w:spacing w:after="0" w:line="176" w:lineRule="exact"/>
              <w:rPr>
                <w:sz w:val="20"/>
                <w:szCs w:val="20"/>
                <w:color w:val="auto"/>
              </w:rPr>
            </w:pPr>
            <w:r>
              <w:rPr>
                <w:rFonts w:ascii="Arial" w:cs="Arial" w:eastAsia="Arial" w:hAnsi="Arial"/>
                <w:sz w:val="18"/>
                <w:szCs w:val="18"/>
                <w:color w:val="auto"/>
                <w:w w:val="95"/>
              </w:rPr>
              <w:t>Cover Page Interactive Data File (formatted as Inline XBRL and</w:t>
            </w: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vMerge w:val="restart"/>
          </w:tcPr>
          <w:p>
            <w:pPr>
              <w:ind w:left="1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contained in Exhibit 101)</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0"/>
          <w:szCs w:val="20"/>
          <w:color w:val="auto"/>
        </w:rPr>
      </w:pPr>
    </w:p>
    <w:p>
      <w:pPr>
        <w:ind w:left="1220" w:hanging="1194"/>
        <w:spacing w:after="0"/>
        <w:tabs>
          <w:tab w:leader="none" w:pos="1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May 31, 2022</w:t>
      </w:r>
      <w:r>
        <w:rPr>
          <w:rFonts w:ascii="Arial" w:cs="Arial" w:eastAsia="Arial" w:hAnsi="Arial"/>
          <w:sz w:val="20"/>
          <w:szCs w:val="20"/>
          <w:b w:val="1"/>
          <w:bCs w:val="1"/>
          <w:color w:val="auto"/>
        </w:rPr>
        <w:t>.</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STEPSTONE GROUP INC.</w:t>
      </w:r>
    </w:p>
    <w:p>
      <w:pPr>
        <w:spacing w:after="0" w:line="28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10160</wp:posOffset>
            </wp:positionV>
            <wp:extent cx="27857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indicated on May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399"/>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W. Hart</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3"/>
              </w:rPr>
              <w:t>Chief Executive Officer and Director (Principal Executive Officer)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Scott W. Hart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Johnny D. Randel</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Johnny D. Randel</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Y. Park</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Chief Accounting Officer (Principal Accounting Officer)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David Y. Park</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Monte Brem</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Monte Brem</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Valerie Gay Brown</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Valerie Gay Brown</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 A. Fernandez</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Jose A. Fernandez</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F. Hoffmeister</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David F. Hoffmeister</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Keck</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Thomas Keck</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I. McCabe</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Michael I. McCabe</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R. Mitchell</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Steven R. Mitchell</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91"/>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Anne L. Raymond</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Anne L. Raymond</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121" w:right="49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3"/>
          </w:tcPr>
          <w:p>
            <w:pPr>
              <w:ind w:left="2860"/>
              <w:spacing w:after="0"/>
              <w:rPr>
                <w:sz w:val="20"/>
                <w:szCs w:val="20"/>
                <w:color w:val="auto"/>
              </w:rPr>
            </w:pPr>
            <w:r>
              <w:rPr>
                <w:rFonts w:ascii="Arial" w:cs="Arial" w:eastAsia="Arial" w:hAnsi="Arial"/>
                <w:sz w:val="18"/>
                <w:szCs w:val="18"/>
                <w:b w:val="1"/>
                <w:bCs w:val="1"/>
                <w:color w:val="auto"/>
              </w:rPr>
              <w:t>SUBSIDIARIES OF STEPSTONE GROUP INC. (as of March 31, 2022)</w:t>
            </w:r>
          </w:p>
        </w:tc>
      </w:tr>
      <w:tr>
        <w:trPr>
          <w:trHeight w:val="426"/>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Subsidiary</w:t>
            </w:r>
          </w:p>
        </w:tc>
        <w:tc>
          <w:tcPr>
            <w:tcW w:w="5360" w:type="dxa"/>
            <w:vAlign w:val="bottom"/>
          </w:tcPr>
          <w:p>
            <w:pPr>
              <w:ind w:left="1600"/>
              <w:spacing w:after="0"/>
              <w:rPr>
                <w:sz w:val="20"/>
                <w:szCs w:val="20"/>
                <w:color w:val="auto"/>
              </w:rPr>
            </w:pPr>
            <w:r>
              <w:rPr>
                <w:rFonts w:ascii="Arial" w:cs="Arial" w:eastAsia="Arial" w:hAnsi="Arial"/>
                <w:sz w:val="14"/>
                <w:szCs w:val="14"/>
                <w:b w:val="1"/>
                <w:bCs w:val="1"/>
                <w:color w:val="auto"/>
              </w:rPr>
              <w:t>Jurisdiction/State of Incorporation</w:t>
            </w:r>
          </w:p>
        </w:tc>
      </w:tr>
      <w:tr>
        <w:trPr>
          <w:trHeight w:val="228"/>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SRA Capital (Canada) LTD.</w:t>
            </w:r>
          </w:p>
        </w:tc>
        <w:tc>
          <w:tcPr>
            <w:tcW w:w="160" w:type="dxa"/>
            <w:vAlign w:val="bottom"/>
          </w:tcPr>
          <w:p>
            <w:pPr>
              <w:spacing w:after="0"/>
              <w:rPr>
                <w:sz w:val="19"/>
                <w:szCs w:val="19"/>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British Columbia, Canada</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Conversus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Europe Limited</w:t>
            </w:r>
          </w:p>
        </w:tc>
        <w:tc>
          <w:tcPr>
            <w:tcW w:w="536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GC Manager, L.P.</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Gestão de Recursos Ltda.</w:t>
            </w:r>
          </w:p>
        </w:tc>
        <w:tc>
          <w:tcPr>
            <w:tcW w:w="53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(CHINA) Limited</w:t>
            </w:r>
          </w:p>
        </w:tc>
        <w:tc>
          <w:tcPr>
            <w:tcW w:w="536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(HK) Limited</w:t>
            </w:r>
          </w:p>
        </w:tc>
        <w:tc>
          <w:tcPr>
            <w:tcW w:w="536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Europe LLP</w:t>
            </w:r>
          </w:p>
        </w:tc>
        <w:tc>
          <w:tcPr>
            <w:tcW w:w="53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Holdings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LP</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Luxembourg S.À R.L</w:t>
            </w:r>
          </w:p>
        </w:tc>
        <w:tc>
          <w:tcPr>
            <w:tcW w:w="536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Real Assets Holdings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Real Assets LP</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Real Estate Holdings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Real Estate LP</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Partners, L.P.</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Swiss Capital Alternative Investments AG</w:t>
            </w:r>
          </w:p>
        </w:tc>
        <w:tc>
          <w:tcPr>
            <w:tcW w:w="53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Swiss Capital Alternative Investments G.P. LTD.</w:t>
            </w:r>
          </w:p>
        </w:tc>
        <w:tc>
          <w:tcPr>
            <w:tcW w:w="53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Group Europe Alternative Investments Limited</w:t>
            </w:r>
          </w:p>
        </w:tc>
        <w:tc>
          <w:tcPr>
            <w:tcW w:w="53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Verwaltungs Gmbh</w:t>
            </w:r>
          </w:p>
        </w:tc>
        <w:tc>
          <w:tcPr>
            <w:tcW w:w="53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Diversified Funds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E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E Offshore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East Town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European Fund GP, S.À.R.L.</w:t>
            </w:r>
          </w:p>
        </w:tc>
        <w:tc>
          <w:tcPr>
            <w:tcW w:w="536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FERRO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FSS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 (GP) II,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GC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H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HF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HF Real Estate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JP (GP) II,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JP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K Infrastructure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K Infrastructure (GP) II, LLC</w:t>
            </w:r>
          </w:p>
        </w:tc>
        <w:tc>
          <w:tcPr>
            <w:tcW w:w="536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K Opportunities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K Real Estate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KF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LMM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Maple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StepStone Mexico I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247" w:right="339" w:bottom="1440" w:gutter="0" w:footer="0" w:header="0"/>
        </w:sectPr>
      </w:pPr>
    </w:p>
    <w:bookmarkStart w:id="180" w:name="page181"/>
    <w:bookmarkEnd w:id="180"/>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StepStone NL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NLGI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NPS PE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NPS PE 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NPS Real Estate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NPS SIERA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NPS SIRA 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OH Secondaries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Opportunities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 Real Assets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 Real Assets 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PC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PH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PIFSS Real Estate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PPA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PPL Secondaries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PRIVATE ACCESS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R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Real Estate Partners IV (GP)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REP III (GP) (Cayman),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REP III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REP IV (GP Cayman),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REP IV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RIVAS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Scorpio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Secondaries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Secondaries 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Secondaries III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Secondaries III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Secondaries IV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Secondaries IV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SEDCO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SL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Sunstone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Tactical Growth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Tactical Growth 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Tactical Growth III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TRI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TS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UWF Secondaries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UWF Secondaries Holdings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XL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Y (GP)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Swiss Capital Private Debt G.P. (Luxembourg) S.À.R.L.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00" w:lineRule="exact"/>
        <w:rPr>
          <w:sz w:val="20"/>
          <w:szCs w:val="20"/>
          <w:color w:val="auto"/>
        </w:rPr>
      </w:pPr>
    </w:p>
    <w:p>
      <w:pPr>
        <w:sectPr>
          <w:pgSz w:w="11900" w:h="16838" w:orient="portrait"/>
          <w:cols w:equalWidth="0" w:num="2">
            <w:col w:w="5140" w:space="720"/>
            <w:col w:w="425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19"/>
          </w:cols>
          <w:pgMar w:left="340" w:top="1440" w:right="1440" w:bottom="1440" w:gutter="0" w:footer="0" w:header="0"/>
          <w:type w:val="continuous"/>
        </w:sectPr>
      </w:pPr>
    </w:p>
    <w:bookmarkStart w:id="181" w:name="page182"/>
    <w:bookmarkEnd w:id="181"/>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Swiss Capital Private Debt G.P. II (Luxembourg)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Swiss Capital Private Debt G.P. II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SSG Private Debt G.P. III (Luxembourg)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Swiss Capital Private Debt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Swiss Capital Private Debt Manager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Swiss Capital SCL Fund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Portfolio G.P.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Real Estate Fund I Domestic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Real Estate Fund I International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Real Estate Fund 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Silverstone III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SSG Private Debt Manager G.P. II (Cayman)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SSG ME Infrastructure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SSG ME Real Estate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SSG Peninsula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AEGON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AMP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AP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Atlantic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Atlantic Holdings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ATLAS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ATS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Atlas III (Offshore)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AZ China and Asia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AZ Secondaries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B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B II-G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B II-R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BVK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BVK RE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Capital III (GP)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Capital III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Capital IV (GP)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Capital IV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Capital V (GP), S.À.R.L.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Capital 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CGC Opportunities (GP),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Co-Investment Funds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PH Infra Equity (GP),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StepStone PTS Infrastructure Secondary Opportunities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StepStone HCSCMPTEPP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PH Infra (GP), LLC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0" w:lineRule="exact"/>
        <w:rPr>
          <w:sz w:val="20"/>
          <w:szCs w:val="20"/>
          <w:color w:val="auto"/>
        </w:rPr>
      </w:pPr>
    </w:p>
    <w:p>
      <w:pPr>
        <w:sectPr>
          <w:pgSz w:w="11900" w:h="16838" w:orient="portrait"/>
          <w:cols w:equalWidth="0" w:num="2">
            <w:col w:w="5140" w:space="720"/>
            <w:col w:w="425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19"/>
          </w:cols>
          <w:pgMar w:left="340" w:top="1440" w:right="1440" w:bottom="1440" w:gutter="0" w:footer="0" w:header="0"/>
          <w:type w:val="continuous"/>
        </w:sectPr>
      </w:pPr>
    </w:p>
    <w:bookmarkStart w:id="182" w:name="page183"/>
    <w:bookmarkEnd w:id="182"/>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StepStone HB Real Estate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SSG PIF Insurance GP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SSG Private Credit (US)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Edamame Administrative Member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Conversus (Luxembourg)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Atlas III (GP),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StepStone Badger Secondary Opportunities Holdings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StepStone PI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Sanabil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Secondaries (GP) V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Secondaries V Overage (GP)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TC (GP), LLC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StepStone TI1 Tactical (GP), LLC</w:t>
      </w:r>
    </w:p>
    <w:p>
      <w:pPr>
        <w:spacing w:after="0"/>
        <w:rPr>
          <w:sz w:val="20"/>
          <w:szCs w:val="20"/>
          <w:color w:val="auto"/>
        </w:rPr>
      </w:pPr>
      <w:r>
        <w:rPr>
          <w:rFonts w:ascii="Arial" w:cs="Arial" w:eastAsia="Arial" w:hAnsi="Arial"/>
          <w:sz w:val="18"/>
          <w:szCs w:val="18"/>
          <w:color w:val="auto"/>
        </w:rPr>
        <w:t>StepStone Thunderbird (GP),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Greenspring Associates,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Greenspring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Greenspring Associates Newco,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Greenspring Back Office Solutions,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Greenspring Back Office Solutions Newco,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Blackbird GA 2020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Blackbird GSC,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Asia GP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Crossover I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Diversity GP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Early Stage GP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Early Stage GP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Early Stage I-H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Early Stage I-LH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FF-GP II,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FF-GP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FF-GP IV,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FF-GP,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GE 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General Partner GW,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Global Partners IX-M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Global Partners IX-V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GP (Healthcare),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GP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GP IV,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GP IX,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GP 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GP VI,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GP VII,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GP VIII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StepStone VC GP VIII, Ltd.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234" w:lineRule="exact"/>
        <w:rPr>
          <w:sz w:val="20"/>
          <w:szCs w:val="20"/>
          <w:color w:val="auto"/>
        </w:rPr>
      </w:pPr>
    </w:p>
    <w:p>
      <w:pPr>
        <w:sectPr>
          <w:pgSz w:w="11900" w:h="16838" w:orient="portrait"/>
          <w:cols w:equalWidth="0" w:num="2">
            <w:col w:w="5140" w:space="720"/>
            <w:col w:w="425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19"/>
          </w:cols>
          <w:pgMar w:left="340" w:top="1440" w:right="1440" w:bottom="1440" w:gutter="0" w:footer="0" w:header="0"/>
          <w:type w:val="continuous"/>
        </w:sectPr>
      </w:pPr>
    </w:p>
    <w:bookmarkStart w:id="183" w:name="page184"/>
    <w:bookmarkEnd w:id="183"/>
    <w:p>
      <w:pPr>
        <w:spacing w:after="0" w:line="22" w:lineRule="exact"/>
        <w:rPr>
          <w:sz w:val="20"/>
          <w:szCs w:val="20"/>
          <w:color w:val="auto"/>
        </w:rPr>
      </w:pPr>
    </w:p>
    <w:p>
      <w:pPr>
        <w:ind w:right="2080"/>
        <w:spacing w:after="0" w:line="266" w:lineRule="auto"/>
        <w:rPr>
          <w:sz w:val="20"/>
          <w:szCs w:val="20"/>
          <w:color w:val="auto"/>
        </w:rPr>
      </w:pPr>
      <w:r>
        <w:rPr>
          <w:rFonts w:ascii="Arial" w:cs="Arial" w:eastAsia="Arial" w:hAnsi="Arial"/>
          <w:sz w:val="18"/>
          <w:szCs w:val="18"/>
          <w:color w:val="auto"/>
        </w:rPr>
        <w:t>StepStone VC GP X, LLC StepStone VC Growth GP IV, LLC StepStone VC IL GP II LLC StepStone VC Impact GP I, LLC StepStone VC Impact GP II, LLC StepStone VC Micro GP I, LLC StepStone VC Micro GP II, LLC StepStone VC Micro GP III LLC StepStone VC Micro GP IV LLC StepStone VC MI-G GP, LLC StepStone VC Opportunities GP II, LLC StepStone VC Opportunities GP III, LLC StepStone VC Opportunities GP IV, LLC StepStone VC Opportunities GP V, LLC StepStone VC Opportunities GP VI, LLC StepStone VC Opportunities GP VII, LLC StepStone VC Secondaries GP I, LLC StepStone VC Secondaries GP II, LLC StepStone VC Secondaries GP III, LLC StepStone VC Secondaries GP IV, LLC StepStone VC Secondaries GP V, LLC StepStone VC SK GP, LLC StepStone VC SPV (AV IV) GP, LLC StepStone VC SPV IV, LLC StepStone VC SPV IX GP, LLC StepStone VC SPV UT GP LLC StepStone VC SPV VII GP LLC StepStone VC SPV, LLC StepStone VC GP X-I, LLC StepStone VC F-II GP, LLC StepStone GE VII-L GP, LLC StepStone VC X-V GP, LLC StepStone iCapital GP VC, LLC StepStone VC Asia I-GB GP, LLC StepStone VC BC GP, LLC StepStone VC Blockchain GP I, LLC StepStone VC Diversity GP II, LLC StepStone VC Early Stage GP III, LLC StepStone VC IX-R GP, LLC StepStone VC NZ GP LLC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7" w:lineRule="exact"/>
        <w:rPr>
          <w:sz w:val="20"/>
          <w:szCs w:val="20"/>
          <w:color w:val="auto"/>
        </w:rPr>
      </w:pPr>
    </w:p>
    <w:p>
      <w:pPr>
        <w:sectPr>
          <w:pgSz w:w="11900" w:h="16838" w:orient="portrait"/>
          <w:cols w:equalWidth="0" w:num="2">
            <w:col w:w="5140" w:space="720"/>
            <w:col w:w="425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19"/>
          </w:cols>
          <w:pgMar w:left="340" w:top="1440" w:right="1440" w:bottom="1440" w:gutter="0" w:footer="0" w:header="0"/>
          <w:type w:val="continuous"/>
        </w:sectPr>
      </w:pPr>
    </w:p>
    <w:bookmarkStart w:id="184" w:name="page185"/>
    <w:bookmarkEnd w:id="18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60"/>
        <w:spacing w:after="0"/>
        <w:rPr>
          <w:sz w:val="20"/>
          <w:szCs w:val="20"/>
          <w:color w:val="auto"/>
        </w:rPr>
      </w:pPr>
      <w:r>
        <w:rPr>
          <w:rFonts w:ascii="Arial" w:cs="Arial" w:eastAsia="Arial" w:hAnsi="Arial"/>
          <w:sz w:val="20"/>
          <w:szCs w:val="20"/>
          <w:color w:val="333333"/>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16" w:lineRule="exact"/>
        <w:rPr>
          <w:sz w:val="20"/>
          <w:szCs w:val="20"/>
          <w:color w:val="auto"/>
        </w:rPr>
      </w:pPr>
    </w:p>
    <w:p>
      <w:pPr>
        <w:ind w:left="940" w:hanging="284"/>
        <w:spacing w:after="0"/>
        <w:tabs>
          <w:tab w:leader="none" w:pos="9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Registration Statement (Form S-3 No. 333-261076) of StepStone Group Inc.; and</w:t>
      </w:r>
    </w:p>
    <w:p>
      <w:pPr>
        <w:spacing w:after="0" w:line="215" w:lineRule="exact"/>
        <w:rPr>
          <w:rFonts w:ascii="Arial" w:cs="Arial" w:eastAsia="Arial" w:hAnsi="Arial"/>
          <w:sz w:val="20"/>
          <w:szCs w:val="20"/>
          <w:color w:val="auto"/>
        </w:rPr>
      </w:pPr>
    </w:p>
    <w:p>
      <w:pPr>
        <w:ind w:left="940" w:hanging="284"/>
        <w:spacing w:after="0"/>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Registration Statement (Form S-8 No. 333-248893) pertaining to the 2020 Long-Term Incentive Plan of StepStone Group Inc.</w:t>
      </w:r>
    </w:p>
    <w:p>
      <w:pPr>
        <w:spacing w:after="0" w:line="239"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of our reports dated May 31, 2022, with respect to the consolidated financial statements of StepStone Group Inc. and the effectiveness of internal control over financial reporting of StepStone Group Inc. included in this Annual Report (Form 10-K) for the year ended March 31, 2022.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May 31, 2022</w:t>
      </w:r>
    </w:p>
    <w:p>
      <w:pPr>
        <w:sectPr>
          <w:pgSz w:w="11900" w:h="16838" w:orient="portrait"/>
          <w:cols w:equalWidth="0" w:num="1">
            <w:col w:w="11240"/>
          </w:cols>
          <w:pgMar w:left="320" w:top="118"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 Scott W. Hart, certify that:</w:t>
      </w:r>
    </w:p>
    <w:p>
      <w:pPr>
        <w:spacing w:after="0" w:line="225" w:lineRule="exact"/>
        <w:rPr>
          <w:sz w:val="20"/>
          <w:szCs w:val="20"/>
          <w:color w:val="auto"/>
        </w:rPr>
      </w:pPr>
    </w:p>
    <w:p>
      <w:pPr>
        <w:ind w:left="840" w:hanging="184"/>
        <w:spacing w:after="0"/>
        <w:tabs>
          <w:tab w:leader="none" w:pos="8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StepStone Group Inc.;</w:t>
      </w:r>
    </w:p>
    <w:p>
      <w:pPr>
        <w:spacing w:after="0" w:line="225" w:lineRule="exact"/>
        <w:rPr>
          <w:rFonts w:ascii="Arial" w:cs="Arial" w:eastAsia="Arial" w:hAnsi="Arial"/>
          <w:sz w:val="18"/>
          <w:szCs w:val="18"/>
          <w:color w:val="auto"/>
        </w:rPr>
      </w:pPr>
    </w:p>
    <w:p>
      <w:pPr>
        <w:jc w:val="both"/>
        <w:ind w:left="660" w:right="180" w:hanging="4"/>
        <w:spacing w:after="0" w:line="263" w:lineRule="auto"/>
        <w:tabs>
          <w:tab w:leader="none" w:pos="8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60" w:hanging="4"/>
        <w:spacing w:after="0" w:line="308" w:lineRule="auto"/>
        <w:tabs>
          <w:tab w:leader="none" w:pos="8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4"/>
        <w:spacing w:after="0" w:line="291" w:lineRule="auto"/>
        <w:tabs>
          <w:tab w:leader="none" w:pos="8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300" w:right="120" w:firstLine="4"/>
        <w:spacing w:after="0" w:line="263" w:lineRule="auto"/>
        <w:tabs>
          <w:tab w:leader="none" w:pos="147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20" w:firstLine="4"/>
        <w:spacing w:after="0" w:line="263"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60" w:firstLine="4"/>
        <w:spacing w:after="0" w:line="342" w:lineRule="auto"/>
        <w:tabs>
          <w:tab w:leader="none" w:pos="147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firstLine="4"/>
        <w:spacing w:after="0" w:line="263"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4"/>
        <w:spacing w:after="0" w:line="342" w:lineRule="auto"/>
        <w:tabs>
          <w:tab w:leader="none" w:pos="8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280" w:firstLine="4"/>
        <w:spacing w:after="0" w:line="342" w:lineRule="auto"/>
        <w:tabs>
          <w:tab w:leader="none" w:pos="147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560" w:firstLine="4"/>
        <w:spacing w:after="0" w:line="277"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May 31, 2022</w:t>
            </w:r>
          </w:p>
        </w:tc>
        <w:tc>
          <w:tcPr>
            <w:tcW w:w="7900" w:type="dxa"/>
            <w:vAlign w:val="bottom"/>
            <w:gridSpan w:val="2"/>
          </w:tcPr>
          <w:p>
            <w:pPr>
              <w:ind w:left="1860"/>
              <w:spacing w:after="0"/>
              <w:rPr>
                <w:sz w:val="20"/>
                <w:szCs w:val="20"/>
                <w:color w:val="auto"/>
              </w:rPr>
            </w:pPr>
            <w:r>
              <w:rPr>
                <w:rFonts w:ascii="Arial" w:cs="Arial" w:eastAsia="Arial" w:hAnsi="Arial"/>
                <w:sz w:val="18"/>
                <w:szCs w:val="18"/>
                <w:color w:val="auto"/>
              </w:rPr>
              <w:t>By: /s/ Scott W. Hart</w:t>
            </w:r>
          </w:p>
        </w:tc>
      </w:tr>
      <w:tr>
        <w:trPr>
          <w:trHeight w:val="222"/>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Scott W. Hart</w:t>
            </w:r>
          </w:p>
        </w:tc>
      </w:tr>
      <w:tr>
        <w:trPr>
          <w:trHeight w:val="230"/>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187" w:name="page188"/>
    <w:bookmarkEnd w:id="187"/>
    <w:p>
      <w:pPr>
        <w:ind w:left="10000"/>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I, Johnny D. Randel, certify that:</w:t>
      </w:r>
    </w:p>
    <w:p>
      <w:pPr>
        <w:spacing w:after="0" w:line="225" w:lineRule="exact"/>
        <w:rPr>
          <w:sz w:val="20"/>
          <w:szCs w:val="20"/>
          <w:color w:val="auto"/>
        </w:rPr>
      </w:pPr>
    </w:p>
    <w:p>
      <w:pPr>
        <w:ind w:left="840" w:hanging="184"/>
        <w:spacing w:after="0"/>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StepStone Group Inc.;</w:t>
      </w:r>
    </w:p>
    <w:p>
      <w:pPr>
        <w:spacing w:after="0" w:line="225" w:lineRule="exact"/>
        <w:rPr>
          <w:rFonts w:ascii="Arial" w:cs="Arial" w:eastAsia="Arial" w:hAnsi="Arial"/>
          <w:sz w:val="18"/>
          <w:szCs w:val="18"/>
          <w:color w:val="auto"/>
        </w:rPr>
      </w:pPr>
    </w:p>
    <w:p>
      <w:pPr>
        <w:jc w:val="both"/>
        <w:ind w:left="660" w:right="180" w:hanging="4"/>
        <w:spacing w:after="0" w:line="263" w:lineRule="auto"/>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60" w:hanging="4"/>
        <w:spacing w:after="0" w:line="308" w:lineRule="auto"/>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4"/>
        <w:spacing w:after="0" w:line="291" w:lineRule="auto"/>
        <w:tabs>
          <w:tab w:leader="none" w:pos="8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300" w:right="120" w:firstLine="4"/>
        <w:spacing w:after="0" w:line="263" w:lineRule="auto"/>
        <w:tabs>
          <w:tab w:leader="none" w:pos="147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20" w:firstLine="4"/>
        <w:spacing w:after="0" w:line="263"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60" w:firstLine="4"/>
        <w:spacing w:after="0" w:line="342" w:lineRule="auto"/>
        <w:tabs>
          <w:tab w:leader="none" w:pos="147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firstLine="4"/>
        <w:spacing w:after="0" w:line="263"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4"/>
        <w:spacing w:after="0" w:line="342" w:lineRule="auto"/>
        <w:tabs>
          <w:tab w:leader="none" w:pos="8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280" w:firstLine="4"/>
        <w:spacing w:after="0" w:line="342" w:lineRule="auto"/>
        <w:tabs>
          <w:tab w:leader="none" w:pos="147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560" w:firstLine="4"/>
        <w:spacing w:after="0" w:line="277"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May 31, 2022</w:t>
            </w:r>
          </w:p>
        </w:tc>
        <w:tc>
          <w:tcPr>
            <w:tcW w:w="7900" w:type="dxa"/>
            <w:vAlign w:val="bottom"/>
            <w:gridSpan w:val="2"/>
          </w:tcPr>
          <w:p>
            <w:pPr>
              <w:ind w:left="1860"/>
              <w:spacing w:after="0"/>
              <w:rPr>
                <w:sz w:val="20"/>
                <w:szCs w:val="20"/>
                <w:color w:val="auto"/>
              </w:rPr>
            </w:pPr>
            <w:r>
              <w:rPr>
                <w:rFonts w:ascii="Arial" w:cs="Arial" w:eastAsia="Arial" w:hAnsi="Arial"/>
                <w:sz w:val="18"/>
                <w:szCs w:val="18"/>
                <w:color w:val="auto"/>
              </w:rPr>
              <w:t>By: /s/ Johnny D. Randel</w:t>
            </w:r>
          </w:p>
        </w:tc>
      </w:tr>
      <w:tr>
        <w:trPr>
          <w:trHeight w:val="222"/>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Johnny D. Randel</w:t>
            </w:r>
          </w:p>
        </w:tc>
      </w:tr>
      <w:tr>
        <w:trPr>
          <w:trHeight w:val="229"/>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0"/>
          <w:szCs w:val="20"/>
          <w:b w:val="1"/>
          <w:bCs w:val="1"/>
          <w:color w:val="auto"/>
        </w:rPr>
        <w:t>EXHIBIT 32.1</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In connection with the Annual Report of StepStone Group Inc. (the “Company”) on Form 10-K for the year ended March 31, 2022,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May 31, 2022</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W. Hart</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In connection with the Annual Report of StepStone Group Inc. (the “Company”) on Form 10-K for the year ended March 31, 2022,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 May 31, 2022</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lowerRoman"/>
      <w:start w:val="9"/>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1)"/>
      <w:numFmt w:val="decimal"/>
      <w:start w:val="3"/>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amp;"/>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lowerRoman"/>
      <w:start w:val="3"/>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1)"/>
      <w:numFmt w:val="decimal"/>
      <w:start w:val="1"/>
    </w:lvl>
    <w:lvl w:ilvl="1">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1"/>
    </w:lvl>
  </w:abstractNum>
  <w:abstractNum w:abstractNumId="49">
    <w:nsid w:val="168E121F"/>
    <w:multiLevelType w:val="hybridMultilevel"/>
    <w:lvl w:ilvl="0">
      <w:lvlJc w:val="left"/>
      <w:lvlText w:val="(%1)"/>
      <w:numFmt w:val="decimal"/>
      <w:start w:val="6"/>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1)"/>
      <w:numFmt w:val="decimal"/>
      <w:start w:val="4"/>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decimal"/>
      <w:start w:val="2"/>
    </w:lvl>
    <w:lvl w:ilvl="1">
      <w:lvlJc w:val="left"/>
      <w:lvlText w:val="%2."/>
      <w:numFmt w:val="lowerRoman"/>
      <w:start w:val="1"/>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lowerRoman"/>
      <w:start w:val="1"/>
    </w:lvl>
  </w:abstractNum>
  <w:abstractNum w:abstractNumId="60">
    <w:nsid w:val="A0382C5"/>
    <w:multiLevelType w:val="hybridMultilevel"/>
    <w:lvl w:ilvl="0">
      <w:lvlJc w:val="left"/>
      <w:lvlText w:val="(%1)"/>
      <w:numFmt w:val="decimal"/>
      <w:start w:val="3"/>
    </w:lvl>
  </w:abstractNum>
  <w:abstractNum w:abstractNumId="61">
    <w:nsid w:val="8F2B15E"/>
    <w:multiLevelType w:val="hybridMultilevel"/>
    <w:lvl w:ilvl="0">
      <w:lvlJc w:val="left"/>
      <w:lvlText w:val="(%1)"/>
      <w:numFmt w:val="decimal"/>
      <w:start w:val="9"/>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1."/>
      <w:numFmt w:val="decimal"/>
      <w:start w:val="2"/>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endash "/>
      <w:numFmt w:val="bullet"/>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15"/>
    </w:lvl>
  </w:abstractNum>
  <w:abstractNum w:abstractNumId="82">
    <w:nsid w:val="3222E7CD"/>
    <w:multiLevelType w:val="hybridMultilevel"/>
    <w:lvl w:ilvl="0">
      <w:lvlJc w:val="left"/>
      <w:lvlText w:val="(%1)"/>
      <w:numFmt w:val="lowerRoman"/>
      <w:start w:val="3"/>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decimal"/>
      <w:start w:val="15"/>
    </w:lvl>
    <w:lvl w:ilvl="1">
      <w:lvlJc w:val="left"/>
      <w:lvlText w:val="•"/>
      <w:numFmt w:val="bullet"/>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192" Type="http://schemas.openxmlformats.org/officeDocument/2006/relationships/hyperlink" Target="https://www.sec.gov/Archives/edgar/data/1796022/000119312520248881/d23934dex31.htm" TargetMode="External"/><Relationship Id="rId193" Type="http://schemas.openxmlformats.org/officeDocument/2006/relationships/hyperlink" Target="https://www.sec.gov/Archives/edgar/data/1796022/000119312520248881/d23934dex32.htm" TargetMode="External"/><Relationship Id="rId194" Type="http://schemas.openxmlformats.org/officeDocument/2006/relationships/hyperlink" Target="https://www.sec.gov/Archives/edgar/data/1796022/000179602221000044/exhibit041descriptionofsec.htm" TargetMode="External"/><Relationship Id="rId195" Type="http://schemas.openxmlformats.org/officeDocument/2006/relationships/hyperlink" Target="https://www.sec.gov/Archives/edgar/data/1796022/000119312521277301/d173286dex103.htm" TargetMode="External"/><Relationship Id="rId196" Type="http://schemas.openxmlformats.org/officeDocument/2006/relationships/hyperlink" Target="https://www.sec.gov/Archives/edgar/data/1796022/000119312520248881/d23934dex102.htm" TargetMode="External"/><Relationship Id="rId197" Type="http://schemas.openxmlformats.org/officeDocument/2006/relationships/hyperlink" Target="https://www.sec.gov/Archives/edgar/data/1796022/000119312520248881/d23934dex103.htm" TargetMode="External"/><Relationship Id="rId198" Type="http://schemas.openxmlformats.org/officeDocument/2006/relationships/hyperlink" Target="https://www.sec.gov/Archives/edgar/data/1796022/000119312520248881/d23934dex104.htm" TargetMode="External"/><Relationship Id="rId201" Type="http://schemas.openxmlformats.org/officeDocument/2006/relationships/hyperlink" Target="https://www.sec.gov/Archives/edgar/data/1796022/000119312521277301/d173286dex104.htm" TargetMode="External"/><Relationship Id="rId202" Type="http://schemas.openxmlformats.org/officeDocument/2006/relationships/hyperlink" Target="https://www.sec.gov/Archives/edgar/data/1796022/000119312521277301/d173286dex102.htm" TargetMode="External"/><Relationship Id="rId203" Type="http://schemas.openxmlformats.org/officeDocument/2006/relationships/hyperlink" Target="https://www.sec.gov/Archives/edgar/data/1796022/000119312520248881/d23934dex107.htm" TargetMode="External"/><Relationship Id="rId204" Type="http://schemas.openxmlformats.org/officeDocument/2006/relationships/hyperlink" Target="https://www.sec.gov/Archives/edgar/data/1796022/000119312520228520/d828990dex108.htm" TargetMode="External"/><Relationship Id="rId205" Type="http://schemas.openxmlformats.org/officeDocument/2006/relationships/hyperlink" Target="https://www.sec.gov/Archives/edgar/data/1796022/000119312520228520/d828990dex109.htm" TargetMode="External"/><Relationship Id="rId206" Type="http://schemas.openxmlformats.org/officeDocument/2006/relationships/hyperlink" Target="https://www.sec.gov/Archives/edgar/data/1796022/000119312521277301/d173286dex105.htm" TargetMode="External"/><Relationship Id="rId207" Type="http://schemas.openxmlformats.org/officeDocument/2006/relationships/hyperlink" Target="https://www.sec.gov/Archives/edgar/data/1796022/000119312521277301/d17328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2022-05-31T15:29:24Z</dcterms:created>
  <dcterms:modified xsi:type="dcterms:W3CDTF">2022-05-31T15:29:24Z</dcterms:modified>
</cp:coreProperties>
</file>