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0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60" w:after="2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40"/>
        <w:jc w:val="center"/>
        <w:rPr/>
      </w:pPr>
      <w:r>
        <w:rPr>
          <w:rFonts w:ascii="Times New Roman;serif" w:hAnsi="Times New Roman;serif"/>
          <w:b/>
          <w:color w:val="000000"/>
          <w:sz w:val="28"/>
        </w:rPr>
        <w:t>FORM</w:t>
      </w:r>
      <w:r>
        <w:rPr>
          <w:color w:val="000000"/>
        </w:rPr>
        <w:t xml:space="preserve"> </w:t>
      </w:r>
      <w:r>
        <w:rPr>
          <w:rFonts w:ascii="Times New Roman;serif" w:hAnsi="Times New Roman;serif"/>
          <w:b/>
          <w:color w:val="000000"/>
          <w:sz w:val="28"/>
        </w:rPr>
        <w:t>10-Q</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24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240"/>
        <w:jc w:val="center"/>
        <w:rPr>
          <w:rFonts w:ascii="Times New Roman;serif" w:hAnsi="Times New Roman;serif"/>
          <w:b w:val="false"/>
          <w:color w:val="000000"/>
          <w:sz w:val="18"/>
        </w:rPr>
      </w:pPr>
      <w:r>
        <w:rPr>
          <w:rFonts w:ascii="Times New Roman;serif" w:hAnsi="Times New Roman;serif"/>
          <w:b w:val="false"/>
          <w:color w:val="000000"/>
          <w:sz w:val="18"/>
        </w:rPr>
        <w:t>For the transition period from _______________________ to ___________________________</w:t>
      </w:r>
    </w:p>
    <w:p>
      <w:pPr>
        <w:pStyle w:val="TextBody"/>
        <w:bidi w:val="0"/>
        <w:spacing w:lineRule="auto" w:line="288" w:before="120" w:after="240"/>
        <w:jc w:val="center"/>
        <w:rPr>
          <w:rFonts w:ascii="Times New Roman;serif" w:hAnsi="Times New Roman;serif"/>
          <w:b w:val="false"/>
          <w:color w:val="000000"/>
          <w:sz w:val="18"/>
        </w:rPr>
      </w:pPr>
      <w:r>
        <w:rPr>
          <w:rFonts w:ascii="Times New Roman;serif" w:hAnsi="Times New Roman;serif"/>
          <w:b w:val="false"/>
          <w:color w:val="000000"/>
          <w:sz w:val="18"/>
        </w:rPr>
        <w:t>Commission file number 001-39510</w:t>
      </w:r>
    </w:p>
    <w:p>
      <w:pPr>
        <w:pStyle w:val="TextBody"/>
        <w:bidi w:val="0"/>
        <w:spacing w:lineRule="auto" w:line="288" w:before="60" w:after="240"/>
        <w:jc w:val="center"/>
        <w:rPr>
          <w:rFonts w:ascii="Times New Roman;serif" w:hAnsi="Times New Roman;serif"/>
          <w:b/>
          <w:color w:val="000000"/>
          <w:sz w:val="36"/>
        </w:rPr>
      </w:pPr>
      <w:r>
        <w:rPr>
          <w:rFonts w:ascii="Times New Roman;serif" w:hAnsi="Times New Roman;serif"/>
          <w:b/>
          <w:color w:val="000000"/>
          <w:sz w:val="36"/>
        </w:rPr>
        <w:t>STEPSTONE GROUP INC.</w:t>
      </w:r>
    </w:p>
    <w:p>
      <w:pPr>
        <w:pStyle w:val="TextBody"/>
        <w:bidi w:val="0"/>
        <w:spacing w:lineRule="auto" w:line="288" w:before="60" w:after="24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630" w:type="dxa"/>
        <w:jc w:val="center"/>
        <w:tblInd w:w="0" w:type="dxa"/>
        <w:tblLayout w:type="fixed"/>
        <w:tblCellMar>
          <w:top w:w="28" w:type="dxa"/>
          <w:left w:w="28" w:type="dxa"/>
          <w:bottom w:w="28" w:type="dxa"/>
          <w:right w:w="28" w:type="dxa"/>
        </w:tblCellMar>
      </w:tblPr>
      <w:tblGrid>
        <w:gridCol w:w="1037"/>
        <w:gridCol w:w="911"/>
        <w:gridCol w:w="916"/>
        <w:gridCol w:w="109"/>
        <w:gridCol w:w="109"/>
        <w:gridCol w:w="109"/>
        <w:gridCol w:w="419"/>
        <w:gridCol w:w="419"/>
        <w:gridCol w:w="601"/>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84-3868757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277 Park Avenue, 45</w:t>
            </w:r>
            <w:r>
              <w:rPr>
                <w:rFonts w:ascii="Times New Roman;serif" w:hAnsi="Times New Roman;serif"/>
                <w:b/>
                <w:color w:val="000000"/>
                <w:sz w:val="10"/>
              </w:rPr>
              <w:t>th</w:t>
            </w:r>
            <w:r>
              <w:rPr>
                <w:color w:val="000000"/>
              </w:rPr>
              <w:t xml:space="preserve"> </w:t>
            </w:r>
            <w:r>
              <w:rPr>
                <w:rFonts w:ascii="Times New Roman;serif" w:hAnsi="Times New Roman;serif"/>
                <w:b/>
                <w:color w:val="000000"/>
                <w:sz w:val="16"/>
              </w:rPr>
              <w:t>Floor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10172</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240"/>
        <w:jc w:val="center"/>
        <w:rPr/>
      </w:pPr>
      <w:r>
        <w:rPr>
          <w:rFonts w:ascii="Times New Roman;serif" w:hAnsi="Times New Roman;serif"/>
          <w:b/>
          <w:color w:val="000000"/>
          <w:sz w:val="16"/>
        </w:rPr>
        <w:t>(212)</w:t>
      </w:r>
      <w:r>
        <w:rPr>
          <w:color w:val="000000"/>
        </w:rPr>
        <w:t xml:space="preserve"> </w:t>
      </w:r>
      <w:r>
        <w:rPr>
          <w:rFonts w:ascii="Times New Roman;serif" w:hAnsi="Times New Roman;serif"/>
          <w:b/>
          <w:color w:val="000000"/>
          <w:sz w:val="16"/>
        </w:rPr>
        <w:t>351-6100</w:t>
      </w:r>
    </w:p>
    <w:p>
      <w:pPr>
        <w:pStyle w:val="TextBody"/>
        <w:bidi w:val="0"/>
        <w:spacing w:lineRule="auto" w:line="288" w:before="0" w:after="24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632"/>
        <w:gridCol w:w="630"/>
        <w:gridCol w:w="630"/>
        <w:gridCol w:w="630"/>
        <w:gridCol w:w="630"/>
        <w:gridCol w:w="630"/>
        <w:gridCol w:w="192"/>
        <w:gridCol w:w="192"/>
        <w:gridCol w:w="192"/>
        <w:gridCol w:w="469"/>
        <w:gridCol w:w="469"/>
        <w:gridCol w:w="471"/>
        <w:gridCol w:w="192"/>
        <w:gridCol w:w="192"/>
        <w:gridCol w:w="192"/>
        <w:gridCol w:w="524"/>
        <w:gridCol w:w="523"/>
        <w:gridCol w:w="522"/>
        <w:gridCol w:w="522"/>
        <w:gridCol w:w="522"/>
        <w:gridCol w:w="522"/>
        <w:gridCol w:w="109"/>
        <w:gridCol w:w="109"/>
        <w:gridCol w:w="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8"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2"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Common Stock, $0.001 par value per share</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STEP</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c>
          <w:tcPr>
            <w:tcW w:w="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40"/>
        <w:jc w:val="both"/>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40"/>
        <w:jc w:val="both"/>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8"/>
        </w:rPr>
        <w:t xml:space="preserve">No </w:t>
      </w:r>
      <w:r>
        <w:rPr>
          <w:color w:val="000000"/>
        </w:rPr>
        <w:t>☐</w:t>
      </w:r>
    </w:p>
    <w:p>
      <w:pPr>
        <w:pStyle w:val="TextBody"/>
        <w:bidi w:val="0"/>
        <w:spacing w:lineRule="auto" w:line="288" w:before="60" w:after="24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05" w:type="dxa"/>
        <w:jc w:val="left"/>
        <w:tblInd w:w="0" w:type="dxa"/>
        <w:tblLayout w:type="fixed"/>
        <w:tblCellMar>
          <w:top w:w="28" w:type="dxa"/>
          <w:left w:w="28" w:type="dxa"/>
          <w:bottom w:w="28" w:type="dxa"/>
          <w:right w:w="28" w:type="dxa"/>
        </w:tblCellMar>
      </w:tblPr>
      <w:tblGrid>
        <w:gridCol w:w="124"/>
        <w:gridCol w:w="109"/>
        <w:gridCol w:w="109"/>
        <w:gridCol w:w="679"/>
        <w:gridCol w:w="679"/>
        <w:gridCol w:w="681"/>
        <w:gridCol w:w="109"/>
        <w:gridCol w:w="109"/>
        <w:gridCol w:w="109"/>
        <w:gridCol w:w="674"/>
        <w:gridCol w:w="674"/>
        <w:gridCol w:w="67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80" w:after="240"/>
        <w:jc w:val="both"/>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erif" w:hAnsi="Times New Roman;serif"/>
          <w:b w:val="false"/>
          <w:color w:val="000000"/>
          <w:sz w:val="18"/>
          <w:shd w:fill="FFFFFF" w:val="clear"/>
        </w:rPr>
        <w:t xml:space="preserve">. </w:t>
      </w:r>
      <w:r>
        <w:rPr>
          <w:color w:val="000000"/>
        </w:rPr>
        <w:t>☐</w:t>
      </w:r>
    </w:p>
    <w:p>
      <w:pPr>
        <w:pStyle w:val="TextBody"/>
        <w:bidi w:val="0"/>
        <w:spacing w:lineRule="auto" w:line="288" w:before="80" w:after="240"/>
        <w:jc w:val="both"/>
        <w:rPr/>
      </w:pPr>
      <w:r>
        <w:rPr>
          <w:rFonts w:ascii="Times New Roman;serif" w:hAnsi="Times New Roman;serif"/>
          <w:b w:val="false"/>
          <w:color w:val="000000"/>
          <w:sz w:val="18"/>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18"/>
        </w:rPr>
        <w:t xml:space="preserve">No </w:t>
      </w:r>
      <w:r>
        <w:rPr>
          <w:color w:val="000000"/>
        </w:rPr>
        <w:t>☒  </w:t>
      </w:r>
    </w:p>
    <w:p>
      <w:pPr>
        <w:pStyle w:val="TextBody"/>
        <w:bidi w:val="0"/>
        <w:spacing w:lineRule="auto" w:line="288" w:before="80" w:after="240"/>
        <w:jc w:val="left"/>
        <w:rPr>
          <w:rFonts w:ascii="Times New Roman;serif" w:hAnsi="Times New Roman;serif"/>
          <w:b w:val="false"/>
          <w:color w:val="000000"/>
          <w:sz w:val="18"/>
        </w:rPr>
      </w:pPr>
      <w:r>
        <w:rPr>
          <w:rFonts w:ascii="Times New Roman;serif" w:hAnsi="Times New Roman;serif"/>
          <w:b w:val="false"/>
          <w:color w:val="000000"/>
          <w:sz w:val="18"/>
        </w:rPr>
        <w:t xml:space="preserve">Indicate the number of shares outstanding of each of the registrant’s classes of common stock, as of the latest practicable date: As of August 4, 2026, there were 82,288,907 shares of the registrant’s Class A common stock, par value $0.001, and 38,387,761 shares of the registrant’s Class B common stock, par value $0.001,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100"/>
        <w:jc w:val="center"/>
        <w:rPr>
          <w:rFonts w:ascii="Times New Roman;serif" w:hAnsi="Times New Roman;serif"/>
          <w:b/>
          <w:color w:val="000000"/>
          <w:sz w:val="22"/>
        </w:rPr>
      </w:pPr>
      <w:r>
        <w:rPr>
          <w:rFonts w:ascii="Times New Roman;serif" w:hAnsi="Times New Roman;serif"/>
          <w:b/>
          <w:color w:val="000000"/>
          <w:sz w:val="22"/>
        </w:rPr>
        <w:t>Table of Contents</w:t>
      </w:r>
    </w:p>
    <w:tbl>
      <w:tblPr>
        <w:tblW w:w="10205" w:type="dxa"/>
        <w:jc w:val="center"/>
        <w:tblInd w:w="0" w:type="dxa"/>
        <w:tblLayout w:type="fixed"/>
        <w:tblCellMar>
          <w:top w:w="28" w:type="dxa"/>
          <w:left w:w="28" w:type="dxa"/>
          <w:bottom w:w="28" w:type="dxa"/>
          <w:right w:w="28" w:type="dxa"/>
        </w:tblCellMar>
      </w:tblPr>
      <w:tblGrid>
        <w:gridCol w:w="3052"/>
        <w:gridCol w:w="2645"/>
        <w:gridCol w:w="2622"/>
        <w:gridCol w:w="548"/>
        <w:gridCol w:w="548"/>
        <w:gridCol w:w="790"/>
      </w:tblGrid>
      <w:tr>
        <w:trPr/>
        <w:tc>
          <w:tcPr>
            <w:tcW w:w="3052"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22"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8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Page</w:t>
            </w:r>
          </w:p>
        </w:tc>
      </w:tr>
      <w:tr>
        <w:trPr/>
        <w:tc>
          <w:tcPr>
            <w:tcW w:w="102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 - FINANCIAL INFORMATION</w:t>
            </w:r>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6">
              <w:r>
                <w:rPr>
                  <w:rStyle w:val="InternetLink"/>
                  <w:rFonts w:ascii="Times New Roman;serif" w:hAnsi="Times New Roman;serif"/>
                  <w:b w:val="false"/>
                  <w:color w:val="0000FF"/>
                  <w:sz w:val="20"/>
                  <w:u w:val="single"/>
                </w:rPr>
                <w:t>Item 1. Financial Statements</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19">
              <w:r>
                <w:rPr>
                  <w:rStyle w:val="InternetLink"/>
                  <w:rFonts w:ascii="Times New Roman;serif" w:hAnsi="Times New Roman;serif"/>
                  <w:b w:val="false"/>
                  <w:color w:val="000080"/>
                  <w:sz w:val="20"/>
                  <w:u w:val="single"/>
                </w:rPr>
                <w:t xml:space="preserve">Condensed Consolidated Balance Sheets as of </w:t>
              </w:r>
            </w:hyperlink>
            <w:r>
              <w:rPr>
                <w:rFonts w:ascii="Times New Roman;serif" w:hAnsi="Times New Roman;serif"/>
                <w:b w:val="false"/>
                <w:color w:val="0000FF"/>
                <w:sz w:val="20"/>
                <w:u w:val="single"/>
              </w:rPr>
              <w:t>June 30, 2026</w:t>
            </w:r>
            <w:hyperlink w:anchor="i1d9a98584703404d90af3c2bce1b6890_19">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March 31, 2026</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9">
              <w:r>
                <w:rPr>
                  <w:rStyle w:val="InternetLink"/>
                  <w:rFonts w:ascii="Times New Roman;serif" w:hAnsi="Times New Roman;serif"/>
                  <w:b w:val="false"/>
                  <w:color w:val="0000FF"/>
                  <w:sz w:val="20"/>
                  <w:u w:val="single"/>
                </w:rPr>
                <w:t>6</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22">
              <w:r>
                <w:rPr>
                  <w:rStyle w:val="InternetLink"/>
                  <w:rFonts w:ascii="Times New Roman;serif" w:hAnsi="Times New Roman;serif"/>
                  <w:b w:val="false"/>
                  <w:color w:val="000080"/>
                  <w:sz w:val="20"/>
                  <w:u w:val="single"/>
                </w:rPr>
                <w:t xml:space="preserve">Condensed Consolidated Statements of Loss for the </w:t>
              </w:r>
            </w:hyperlink>
            <w:r>
              <w:rPr>
                <w:rFonts w:ascii="Times New Roman;serif" w:hAnsi="Times New Roman;serif"/>
                <w:b w:val="false"/>
                <w:color w:val="0000FF"/>
                <w:sz w:val="20"/>
                <w:u w:val="single"/>
              </w:rPr>
              <w:t>Three Months Ended June 30, 2026</w:t>
            </w:r>
            <w:hyperlink w:anchor="i1d9a98584703404d90af3c2bce1b6890_22">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22">
              <w:r>
                <w:rPr>
                  <w:rStyle w:val="InternetLink"/>
                  <w:rFonts w:ascii="Times New Roman;serif" w:hAnsi="Times New Roman;serif"/>
                  <w:b w:val="false"/>
                  <w:color w:val="0000FF"/>
                  <w:sz w:val="20"/>
                  <w:u w:val="single"/>
                </w:rPr>
                <w:t>8</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28">
              <w:r>
                <w:rPr>
                  <w:rStyle w:val="InternetLink"/>
                  <w:rFonts w:ascii="Times New Roman;serif" w:hAnsi="Times New Roman;serif"/>
                  <w:b w:val="false"/>
                  <w:color w:val="000080"/>
                  <w:sz w:val="20"/>
                  <w:u w:val="single"/>
                </w:rPr>
                <w:t xml:space="preserve">Condensed Consolidated Statements of Comprehensive Loss for the </w:t>
              </w:r>
            </w:hyperlink>
            <w:r>
              <w:rPr>
                <w:rFonts w:ascii="Times New Roman;serif" w:hAnsi="Times New Roman;serif"/>
                <w:b w:val="false"/>
                <w:color w:val="0000FF"/>
                <w:sz w:val="20"/>
                <w:u w:val="single"/>
              </w:rPr>
              <w:t>Three Months Ended June 30, 2026</w:t>
            </w:r>
            <w:hyperlink w:anchor="i1d9a98584703404d90af3c2bce1b6890_28">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28">
              <w:r>
                <w:rPr>
                  <w:rStyle w:val="InternetLink"/>
                  <w:rFonts w:ascii="Times New Roman;serif" w:hAnsi="Times New Roman;serif"/>
                  <w:b w:val="false"/>
                  <w:color w:val="0000FF"/>
                  <w:sz w:val="20"/>
                  <w:u w:val="single"/>
                </w:rPr>
                <w:t>9</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31">
              <w:r>
                <w:rPr>
                  <w:rStyle w:val="InternetLink"/>
                  <w:rFonts w:ascii="Times New Roman;serif" w:hAnsi="Times New Roman;serif"/>
                  <w:b w:val="false"/>
                  <w:color w:val="000080"/>
                  <w:sz w:val="20"/>
                  <w:u w:val="single"/>
                </w:rPr>
                <w:t xml:space="preserve">Condensed Consolidated Statements of Stockholders’ Equity for the </w:t>
              </w:r>
            </w:hyperlink>
            <w:r>
              <w:rPr>
                <w:rFonts w:ascii="Times New Roman;serif" w:hAnsi="Times New Roman;serif"/>
                <w:b w:val="false"/>
                <w:color w:val="0000FF"/>
                <w:sz w:val="20"/>
                <w:u w:val="single"/>
              </w:rPr>
              <w:t>Three Months Ended June 30, 2026</w:t>
            </w:r>
            <w:hyperlink w:anchor="i1d9a98584703404d90af3c2bce1b6890_31">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31">
              <w:r>
                <w:rPr>
                  <w:rStyle w:val="InternetLink"/>
                  <w:rFonts w:ascii="Times New Roman;serif" w:hAnsi="Times New Roman;serif"/>
                  <w:b w:val="false"/>
                  <w:color w:val="0000FF"/>
                  <w:sz w:val="20"/>
                  <w:u w:val="single"/>
                </w:rPr>
                <w:t>10</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34">
              <w:r>
                <w:rPr>
                  <w:rStyle w:val="InternetLink"/>
                  <w:rFonts w:ascii="Times New Roman;serif" w:hAnsi="Times New Roman;serif"/>
                  <w:b w:val="false"/>
                  <w:color w:val="000080"/>
                  <w:sz w:val="20"/>
                  <w:u w:val="single"/>
                </w:rPr>
                <w:t xml:space="preserve">Condensed Consolidated Statements of Cash Flows for the </w:t>
              </w:r>
            </w:hyperlink>
            <w:r>
              <w:rPr>
                <w:rFonts w:ascii="Times New Roman;serif" w:hAnsi="Times New Roman;serif"/>
                <w:b w:val="false"/>
                <w:color w:val="0000FF"/>
                <w:sz w:val="20"/>
                <w:u w:val="single"/>
              </w:rPr>
              <w:t>Three Months Ended June 30, 2026</w:t>
            </w:r>
            <w:hyperlink w:anchor="i1d9a98584703404d90af3c2bce1b6890_34">
              <w:r>
                <w:rPr>
                  <w:rStyle w:val="InternetLink"/>
                  <w:rFonts w:ascii="Times New Roman;serif" w:hAnsi="Times New Roman;serif"/>
                  <w:b w:val="false"/>
                  <w:color w:val="000080"/>
                  <w:sz w:val="20"/>
                  <w:u w:val="single"/>
                </w:rPr>
                <w:t xml:space="preserve"> and </w:t>
              </w:r>
            </w:hyperlink>
            <w:r>
              <w:rPr>
                <w:rFonts w:ascii="Times New Roman;serif" w:hAnsi="Times New Roman;serif"/>
                <w:b w:val="false"/>
                <w:color w:val="0000FF"/>
                <w:sz w:val="20"/>
                <w:u w:val="single"/>
              </w:rPr>
              <w:t>2025</w:t>
            </w:r>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34">
              <w:r>
                <w:rPr>
                  <w:rStyle w:val="InternetLink"/>
                  <w:rFonts w:ascii="Times New Roman;serif" w:hAnsi="Times New Roman;serif"/>
                  <w:b w:val="false"/>
                  <w:color w:val="0000FF"/>
                  <w:sz w:val="20"/>
                  <w:u w:val="single"/>
                </w:rPr>
                <w:t>11</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a98584703404d90af3c2bce1b6890_37">
              <w:r>
                <w:rPr>
                  <w:rStyle w:val="InternetLink"/>
                  <w:rFonts w:ascii="Times New Roman;serif" w:hAnsi="Times New Roman;serif"/>
                  <w:b w:val="false"/>
                  <w:color w:val="0000FF"/>
                  <w:sz w:val="20"/>
                  <w:u w:val="single"/>
                </w:rPr>
                <w:t>Notes to Condensed Consolidated Financial Statements</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37">
              <w:r>
                <w:rPr>
                  <w:rStyle w:val="InternetLink"/>
                  <w:rFonts w:ascii="Times New Roman;serif" w:hAnsi="Times New Roman;serif"/>
                  <w:b w:val="false"/>
                  <w:color w:val="0000FF"/>
                  <w:sz w:val="20"/>
                  <w:u w:val="single"/>
                </w:rPr>
                <w:t>13</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18">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18">
              <w:r>
                <w:rPr>
                  <w:rStyle w:val="InternetLink"/>
                  <w:rFonts w:ascii="Times New Roman;serif" w:hAnsi="Times New Roman;serif"/>
                  <w:b w:val="false"/>
                  <w:color w:val="0000FF"/>
                  <w:sz w:val="20"/>
                  <w:u w:val="single"/>
                </w:rPr>
                <w:t>51</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66">
              <w:r>
                <w:rPr>
                  <w:rStyle w:val="InternetLink"/>
                  <w:rFonts w:ascii="Times New Roman;serif" w:hAnsi="Times New Roman;serif"/>
                  <w:b w:val="false"/>
                  <w:color w:val="0000FF"/>
                  <w:sz w:val="20"/>
                  <w:u w:val="single"/>
                </w:rPr>
                <w:t>Item 3. Quantitative and Qualitative Disclosures about Market Risk</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66">
              <w:r>
                <w:rPr>
                  <w:rStyle w:val="InternetLink"/>
                  <w:rFonts w:ascii="Times New Roman;serif" w:hAnsi="Times New Roman;serif"/>
                  <w:b w:val="false"/>
                  <w:color w:val="0000FF"/>
                  <w:sz w:val="20"/>
                  <w:u w:val="single"/>
                </w:rPr>
                <w:t>89</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69">
              <w:r>
                <w:rPr>
                  <w:rStyle w:val="InternetLink"/>
                  <w:rFonts w:ascii="Times New Roman;serif" w:hAnsi="Times New Roman;serif"/>
                  <w:b w:val="false"/>
                  <w:color w:val="0000FF"/>
                  <w:sz w:val="20"/>
                  <w:u w:val="single"/>
                </w:rPr>
                <w:t>Item 4. Controls and Procedures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69">
              <w:r>
                <w:rPr>
                  <w:rStyle w:val="InternetLink"/>
                  <w:rFonts w:ascii="Times New Roman;serif" w:hAnsi="Times New Roman;serif"/>
                  <w:b w:val="false"/>
                  <w:color w:val="0000FF"/>
                  <w:sz w:val="20"/>
                  <w:u w:val="single"/>
                </w:rPr>
                <w:t>91</w:t>
              </w:r>
            </w:hyperlink>
          </w:p>
        </w:tc>
      </w:tr>
      <w:tr>
        <w:trP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PART II - OTHER INFORMATION</w:t>
            </w:r>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75">
              <w:r>
                <w:rPr>
                  <w:rStyle w:val="InternetLink"/>
                  <w:rFonts w:ascii="Times New Roman;serif" w:hAnsi="Times New Roman;serif"/>
                  <w:b w:val="false"/>
                  <w:color w:val="0000FF"/>
                  <w:sz w:val="20"/>
                  <w:u w:val="single"/>
                </w:rPr>
                <w:t>Item 1. Legal Proceedings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75">
              <w:r>
                <w:rPr>
                  <w:rStyle w:val="InternetLink"/>
                  <w:rFonts w:ascii="Times New Roman;serif" w:hAnsi="Times New Roman;serif"/>
                  <w:b w:val="false"/>
                  <w:color w:val="0000FF"/>
                  <w:sz w:val="20"/>
                  <w:u w:val="single"/>
                </w:rPr>
                <w:t>92</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78">
              <w:r>
                <w:rPr>
                  <w:rStyle w:val="InternetLink"/>
                  <w:rFonts w:ascii="Times New Roman;serif" w:hAnsi="Times New Roman;serif"/>
                  <w:b w:val="false"/>
                  <w:color w:val="0000FF"/>
                  <w:sz w:val="20"/>
                  <w:u w:val="single"/>
                </w:rPr>
                <w:t>Item 1A. Risk Factors</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78">
              <w:r>
                <w:rPr>
                  <w:rStyle w:val="InternetLink"/>
                  <w:rFonts w:ascii="Times New Roman;serif" w:hAnsi="Times New Roman;serif"/>
                  <w:b w:val="false"/>
                  <w:color w:val="0000FF"/>
                  <w:sz w:val="20"/>
                  <w:u w:val="single"/>
                </w:rPr>
                <w:t>92</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81">
              <w:r>
                <w:rPr>
                  <w:rStyle w:val="InternetLink"/>
                  <w:rFonts w:ascii="Times New Roman;serif" w:hAnsi="Times New Roman;serif"/>
                  <w:b w:val="false"/>
                  <w:color w:val="0000FF"/>
                  <w:sz w:val="20"/>
                  <w:u w:val="single"/>
                </w:rPr>
                <w:t>Item 2. Unregistered Sales of Equity Securities and Use of Proceeds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81">
              <w:r>
                <w:rPr>
                  <w:rStyle w:val="InternetLink"/>
                  <w:rFonts w:ascii="Times New Roman;serif" w:hAnsi="Times New Roman;serif"/>
                  <w:b w:val="false"/>
                  <w:color w:val="0000FF"/>
                  <w:sz w:val="20"/>
                  <w:u w:val="single"/>
                </w:rPr>
                <w:t>92</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84">
              <w:r>
                <w:rPr>
                  <w:rStyle w:val="InternetLink"/>
                  <w:rFonts w:ascii="Times New Roman;serif" w:hAnsi="Times New Roman;serif"/>
                  <w:b w:val="false"/>
                  <w:color w:val="0000FF"/>
                  <w:sz w:val="20"/>
                  <w:u w:val="single"/>
                </w:rPr>
                <w:t>Item 3. Defaults Upon Senior Securities</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84">
              <w:r>
                <w:rPr>
                  <w:rStyle w:val="InternetLink"/>
                  <w:rFonts w:ascii="Times New Roman;serif" w:hAnsi="Times New Roman;serif"/>
                  <w:b w:val="false"/>
                  <w:color w:val="0000FF"/>
                  <w:sz w:val="20"/>
                  <w:u w:val="single"/>
                </w:rPr>
                <w:t>93</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87">
              <w:r>
                <w:rPr>
                  <w:rStyle w:val="InternetLink"/>
                  <w:rFonts w:ascii="Times New Roman;serif" w:hAnsi="Times New Roman;serif"/>
                  <w:b w:val="false"/>
                  <w:color w:val="0000FF"/>
                  <w:sz w:val="20"/>
                  <w:u w:val="single"/>
                </w:rPr>
                <w:t>Item 4. Mine Safety Disclosures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87">
              <w:r>
                <w:rPr>
                  <w:rStyle w:val="InternetLink"/>
                  <w:rFonts w:ascii="Times New Roman;serif" w:hAnsi="Times New Roman;serif"/>
                  <w:b w:val="false"/>
                  <w:color w:val="0000FF"/>
                  <w:sz w:val="20"/>
                  <w:u w:val="single"/>
                </w:rPr>
                <w:t>93</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90">
              <w:r>
                <w:rPr>
                  <w:rStyle w:val="InternetLink"/>
                  <w:rFonts w:ascii="Times New Roman;serif" w:hAnsi="Times New Roman;serif"/>
                  <w:b w:val="false"/>
                  <w:color w:val="0000FF"/>
                  <w:sz w:val="20"/>
                  <w:u w:val="single"/>
                </w:rPr>
                <w:t>Item 5. Other Information</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90">
              <w:r>
                <w:rPr>
                  <w:rStyle w:val="InternetLink"/>
                  <w:rFonts w:ascii="Times New Roman;serif" w:hAnsi="Times New Roman;serif"/>
                  <w:b w:val="false"/>
                  <w:color w:val="0000FF"/>
                  <w:sz w:val="20"/>
                  <w:u w:val="single"/>
                </w:rPr>
                <w:t>93</w:t>
              </w:r>
            </w:hyperlink>
          </w:p>
        </w:tc>
      </w:tr>
      <w:tr>
        <w:trPr/>
        <w:tc>
          <w:tcPr>
            <w:tcW w:w="8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93">
              <w:r>
                <w:rPr>
                  <w:rStyle w:val="InternetLink"/>
                  <w:rFonts w:ascii="Times New Roman;serif" w:hAnsi="Times New Roman;serif"/>
                  <w:b w:val="false"/>
                  <w:color w:val="0000FF"/>
                  <w:sz w:val="20"/>
                  <w:u w:val="single"/>
                </w:rPr>
                <w:t>Item 6. Exhibits</w:t>
              </w:r>
            </w:hyperlink>
          </w:p>
        </w:tc>
        <w:tc>
          <w:tcPr>
            <w:tcW w:w="1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93">
              <w:r>
                <w:rPr>
                  <w:rStyle w:val="InternetLink"/>
                  <w:rFonts w:ascii="Times New Roman;serif" w:hAnsi="Times New Roman;serif"/>
                  <w:b w:val="false"/>
                  <w:color w:val="0000FF"/>
                  <w:sz w:val="20"/>
                  <w:u w:val="single"/>
                </w:rPr>
                <w:t>94</w:t>
              </w:r>
            </w:hyperlink>
          </w:p>
        </w:tc>
      </w:tr>
      <w:tr>
        <w:trPr/>
        <w:tc>
          <w:tcPr>
            <w:tcW w:w="8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1d9a98584703404d90af3c2bce1b6890_196">
              <w:r>
                <w:rPr>
                  <w:rStyle w:val="InternetLink"/>
                  <w:rFonts w:ascii="Times New Roman;serif" w:hAnsi="Times New Roman;serif"/>
                  <w:b w:val="false"/>
                  <w:color w:val="0000FF"/>
                  <w:sz w:val="20"/>
                  <w:u w:val="single"/>
                </w:rPr>
                <w:t>Signatures</w:t>
              </w:r>
            </w:hyperlink>
          </w:p>
        </w:tc>
        <w:tc>
          <w:tcPr>
            <w:tcW w:w="1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1d9a98584703404d90af3c2bce1b6890_196">
              <w:r>
                <w:rPr>
                  <w:rStyle w:val="InternetLink"/>
                  <w:rFonts w:ascii="Times New Roman;serif" w:hAnsi="Times New Roman;serif"/>
                  <w:b w:val="false"/>
                  <w:color w:val="0000FF"/>
                  <w:sz w:val="20"/>
                  <w:u w:val="single"/>
                </w:rPr>
                <w:t>95</w:t>
              </w:r>
            </w:hyperlink>
          </w:p>
        </w:tc>
      </w:tr>
    </w:tbl>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60655"/>
                <wp:effectExtent l="0" t="0" r="0" b="0"/>
                <wp:wrapNone/>
                <wp:docPr id="3" name="Frame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quarterly report on Form 10-Q (“Form 10-Q”) includes certain information regarding the historical investment performance of our focused commingled funds and separately managed accounts. An investment in shares of our Class A common stock is not an investment in any StepStone Fund (as defined below). The StepStone Funds are separate, distinct legal entities that are not our subsidiaries. In the event of our bankruptcy or liquidation, you will have no claim against the StepStone Funds. In considering the performance information relating to the StepStone Funds contained herein, current and prospective Class A common stockholders should bear in mind that the performance of the StepStone Funds is not indicative of the possible performance of shares of our Class A common stock and also is not necessarily indicative of the future results of the StepStone Funds, even if fund investments were in fact liquidated on the dates indicated, and we cannot assure you that the StepStone Funds will continue to achieve, or that future StepStone Funds will achieve, comparable results.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Unless otherwise indicated or the context otherwise requires:</w:t>
      </w:r>
    </w:p>
    <w:p>
      <w:pPr>
        <w:pStyle w:val="TextBody"/>
        <w:bidi w:val="0"/>
        <w:spacing w:lineRule="auto" w:line="288" w:before="0" w:after="240"/>
        <w:jc w:val="left"/>
        <w:rPr/>
      </w:pPr>
      <w:r>
        <w:rPr>
          <w:color w:val="000000"/>
        </w:rPr>
        <w:t>• “</w:t>
      </w:r>
      <w:r>
        <w:rPr>
          <w:rFonts w:ascii="Times New Roman;serif" w:hAnsi="Times New Roman;serif"/>
          <w:b/>
          <w:color w:val="000000"/>
          <w:sz w:val="22"/>
        </w:rPr>
        <w:t>StepStone Group Inc.</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SSG</w:t>
      </w:r>
      <w:r>
        <w:rPr>
          <w:color w:val="000000"/>
        </w:rPr>
        <w:t xml:space="preserve">” </w:t>
      </w:r>
      <w:r>
        <w:rPr>
          <w:rFonts w:ascii="Times New Roman;serif" w:hAnsi="Times New Roman;serif"/>
          <w:b w:val="false"/>
          <w:color w:val="000000"/>
          <w:sz w:val="22"/>
        </w:rPr>
        <w:t>refers solely to StepStone Group Inc., a Delaware corporation, and not to any of its subsidiaries;</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Partnership</w:t>
      </w:r>
      <w:r>
        <w:rPr>
          <w:color w:val="000000"/>
        </w:rPr>
        <w:t xml:space="preserve">” </w:t>
      </w:r>
      <w:r>
        <w:rPr>
          <w:rFonts w:ascii="Times New Roman;serif" w:hAnsi="Times New Roman;serif"/>
          <w:b w:val="false"/>
          <w:color w:val="000000"/>
          <w:sz w:val="22"/>
        </w:rPr>
        <w:t>refers solely to StepStone Group LP, a Delaware limited partnership, and not to any of its subsidiaries;</w:t>
      </w:r>
    </w:p>
    <w:p>
      <w:pPr>
        <w:pStyle w:val="TextBody"/>
        <w:bidi w:val="0"/>
        <w:spacing w:lineRule="auto" w:line="288" w:before="0" w:after="240"/>
        <w:jc w:val="left"/>
        <w:rPr/>
      </w:pPr>
      <w:r>
        <w:rPr>
          <w:color w:val="000000"/>
        </w:rPr>
        <w:t>• “</w:t>
      </w:r>
      <w:r>
        <w:rPr>
          <w:rFonts w:ascii="Times New Roman;serif" w:hAnsi="Times New Roman;serif"/>
          <w:b/>
          <w:color w:val="000000"/>
          <w:sz w:val="22"/>
        </w:rPr>
        <w:t>General Partner</w:t>
      </w:r>
      <w:r>
        <w:rPr>
          <w:color w:val="000000"/>
        </w:rPr>
        <w:t xml:space="preserve">” </w:t>
      </w:r>
      <w:r>
        <w:rPr>
          <w:rFonts w:ascii="Times New Roman;serif" w:hAnsi="Times New Roman;serif"/>
          <w:b w:val="false"/>
          <w:color w:val="000000"/>
          <w:sz w:val="22"/>
        </w:rPr>
        <w:t>refers to StepStone Group Holdings LLC, a Delaware limited liability company, and the sole general partner of the Partnership;</w:t>
      </w:r>
    </w:p>
    <w:p>
      <w:pPr>
        <w:pStyle w:val="TextBody"/>
        <w:bidi w:val="0"/>
        <w:spacing w:lineRule="auto" w:line="288" w:before="0" w:after="240"/>
        <w:jc w:val="left"/>
        <w:rPr/>
      </w:pPr>
      <w:r>
        <w:rPr>
          <w:color w:val="000000"/>
        </w:rPr>
        <w:t>• “</w:t>
      </w:r>
      <w:r>
        <w:rPr>
          <w:rFonts w:ascii="Times New Roman;serif" w:hAnsi="Times New Roman;serif"/>
          <w:b/>
          <w:color w:val="000000"/>
          <w:sz w:val="22"/>
        </w:rPr>
        <w:t>we</w:t>
      </w:r>
      <w:r>
        <w:rPr>
          <w:rFonts w:ascii="Times New Roman;serif" w:hAnsi="Times New Roman;serif"/>
          <w:b w:val="false"/>
          <w:color w:val="000000"/>
          <w:sz w:val="22"/>
        </w:rPr>
        <w:t>,” “</w:t>
      </w:r>
      <w:r>
        <w:rPr>
          <w:rFonts w:ascii="Times New Roman;serif" w:hAnsi="Times New Roman;serif"/>
          <w:b/>
          <w:color w:val="000000"/>
          <w:sz w:val="22"/>
        </w:rPr>
        <w:t>us</w:t>
      </w:r>
      <w:r>
        <w:rPr>
          <w:rFonts w:ascii="Times New Roman;serif" w:hAnsi="Times New Roman;serif"/>
          <w:b w:val="false"/>
          <w:color w:val="000000"/>
          <w:sz w:val="22"/>
        </w:rPr>
        <w:t>,” “</w:t>
      </w:r>
      <w:r>
        <w:rPr>
          <w:rFonts w:ascii="Times New Roman;serif" w:hAnsi="Times New Roman;serif"/>
          <w:b/>
          <w:color w:val="000000"/>
          <w:sz w:val="22"/>
        </w:rPr>
        <w:t>our</w:t>
      </w:r>
      <w:r>
        <w:rPr>
          <w:rFonts w:ascii="Times New Roman;serif" w:hAnsi="Times New Roman;serif"/>
          <w:b w:val="false"/>
          <w:color w:val="000000"/>
          <w:sz w:val="22"/>
        </w:rPr>
        <w:t>,” the “</w:t>
      </w:r>
      <w:r>
        <w:rPr>
          <w:rFonts w:ascii="Times New Roman;serif" w:hAnsi="Times New Roman;serif"/>
          <w:b/>
          <w:color w:val="000000"/>
          <w:sz w:val="22"/>
        </w:rPr>
        <w:t>Company</w:t>
      </w:r>
      <w:r>
        <w:rPr>
          <w:rFonts w:ascii="Times New Roman;serif" w:hAnsi="Times New Roman;serif"/>
          <w:b w:val="false"/>
          <w:color w:val="000000"/>
          <w:sz w:val="22"/>
        </w:rPr>
        <w:t>,” “</w:t>
      </w:r>
      <w:r>
        <w:rPr>
          <w:rFonts w:ascii="Times New Roman;serif" w:hAnsi="Times New Roman;serif"/>
          <w:b/>
          <w:color w:val="000000"/>
          <w:sz w:val="22"/>
        </w:rPr>
        <w:t>our</w:t>
      </w:r>
      <w:r>
        <w:rPr>
          <w:color w:val="000000"/>
        </w:rPr>
        <w:t xml:space="preserve"> </w:t>
      </w:r>
      <w:r>
        <w:rPr>
          <w:rFonts w:ascii="Times New Roman;serif" w:hAnsi="Times New Roman;serif"/>
          <w:b/>
          <w:color w:val="000000"/>
          <w:sz w:val="22"/>
        </w:rPr>
        <w:t>company</w:t>
      </w:r>
      <w:r>
        <w:rPr>
          <w:rFonts w:ascii="Times New Roman;serif" w:hAnsi="Times New Roman;serif"/>
          <w:b w:val="false"/>
          <w:color w:val="000000"/>
          <w:sz w:val="22"/>
        </w:rPr>
        <w:t>,” “</w:t>
      </w:r>
      <w:r>
        <w:rPr>
          <w:rFonts w:ascii="Times New Roman;serif" w:hAnsi="Times New Roman;serif"/>
          <w:b/>
          <w:color w:val="000000"/>
          <w:sz w:val="22"/>
        </w:rPr>
        <w:t>StepStone</w:t>
      </w:r>
      <w:r>
        <w:rPr>
          <w:color w:val="000000"/>
        </w:rPr>
        <w:t xml:space="preserve">” </w:t>
      </w:r>
      <w:r>
        <w:rPr>
          <w:rFonts w:ascii="Times New Roman;serif" w:hAnsi="Times New Roman;serif"/>
          <w:b w:val="false"/>
          <w:color w:val="000000"/>
          <w:sz w:val="22"/>
        </w:rPr>
        <w:t>and similar terms refer to SSG and its consolidated subsidiaries, including the Partnership;</w:t>
      </w:r>
    </w:p>
    <w:p>
      <w:pPr>
        <w:pStyle w:val="TextBody"/>
        <w:bidi w:val="0"/>
        <w:spacing w:lineRule="auto" w:line="288" w:before="0" w:after="240"/>
        <w:jc w:val="left"/>
        <w:rPr/>
      </w:pPr>
      <w:r>
        <w:rPr>
          <w:color w:val="000000"/>
        </w:rPr>
        <w:t>• “</w:t>
      </w:r>
      <w:r>
        <w:rPr>
          <w:rFonts w:ascii="Times New Roman;serif" w:hAnsi="Times New Roman;serif"/>
          <w:b/>
          <w:color w:val="000000"/>
          <w:sz w:val="22"/>
        </w:rPr>
        <w:t>StepStone</w:t>
      </w:r>
      <w:r>
        <w:rPr>
          <w:color w:val="000000"/>
        </w:rPr>
        <w:t xml:space="preserve"> </w:t>
      </w:r>
      <w:r>
        <w:rPr>
          <w:rFonts w:ascii="Times New Roman;serif" w:hAnsi="Times New Roman;serif"/>
          <w:b/>
          <w:color w:val="000000"/>
          <w:sz w:val="22"/>
        </w:rPr>
        <w:t>Funds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our</w:t>
      </w:r>
      <w:r>
        <w:rPr>
          <w:color w:val="000000"/>
        </w:rPr>
        <w:t xml:space="preserve"> </w:t>
      </w:r>
      <w:r>
        <w:rPr>
          <w:rFonts w:ascii="Times New Roman;serif" w:hAnsi="Times New Roman;serif"/>
          <w:b/>
          <w:color w:val="000000"/>
          <w:sz w:val="22"/>
        </w:rPr>
        <w:t>funds</w:t>
      </w:r>
      <w:r>
        <w:rPr>
          <w:color w:val="000000"/>
        </w:rPr>
        <w:t xml:space="preserve">” </w:t>
      </w:r>
      <w:r>
        <w:rPr>
          <w:rFonts w:ascii="Times New Roman;serif" w:hAnsi="Times New Roman;serif"/>
          <w:b w:val="false"/>
          <w:color w:val="000000"/>
          <w:sz w:val="22"/>
        </w:rPr>
        <w:t>refer to our focused commingled funds and our separately managed accounts for which we act as both investment adviser and general partner or managing member;</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the “</w:t>
      </w:r>
      <w:r>
        <w:rPr>
          <w:rFonts w:ascii="Times New Roman;serif" w:hAnsi="Times New Roman;serif"/>
          <w:b/>
          <w:color w:val="000000"/>
          <w:sz w:val="22"/>
        </w:rPr>
        <w:t>Greenspring acquisition</w:t>
      </w:r>
      <w:r>
        <w:rPr>
          <w:color w:val="000000"/>
        </w:rPr>
        <w:t xml:space="preserve">” </w:t>
      </w:r>
      <w:r>
        <w:rPr>
          <w:rFonts w:ascii="Times New Roman;serif" w:hAnsi="Times New Roman;serif"/>
          <w:b w:val="false"/>
          <w:color w:val="000000"/>
          <w:sz w:val="22"/>
        </w:rPr>
        <w:t>refer to the acquisition of Greenspring Associates, Inc. and certain of its affiliates (“</w:t>
      </w:r>
      <w:r>
        <w:rPr>
          <w:rFonts w:ascii="Times New Roman;serif" w:hAnsi="Times New Roman;serif"/>
          <w:b/>
          <w:color w:val="000000"/>
          <w:sz w:val="22"/>
        </w:rPr>
        <w:t>Greenspring</w:t>
      </w:r>
      <w:r>
        <w:rPr>
          <w:color w:val="000000"/>
        </w:rPr>
        <w:t>”</w:t>
      </w:r>
      <w:r>
        <w:rPr>
          <w:rFonts w:ascii="Times New Roman;serif" w:hAnsi="Times New Roman;serif"/>
          <w:b w:val="false"/>
          <w:color w:val="000000"/>
          <w:sz w:val="22"/>
        </w:rPr>
        <w:t>) that was completed on September 20, 2021;</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FY</w:t>
      </w:r>
      <w:r>
        <w:rPr>
          <w:rFonts w:ascii="Times New Roman;serif" w:hAnsi="Times New Roman;serif"/>
          <w:b w:val="false"/>
          <w:color w:val="000000"/>
          <w:sz w:val="22"/>
        </w:rPr>
        <w:t>,” “</w:t>
      </w:r>
      <w:r>
        <w:rPr>
          <w:rFonts w:ascii="Times New Roman;serif" w:hAnsi="Times New Roman;serif"/>
          <w:b/>
          <w:color w:val="000000"/>
          <w:sz w:val="22"/>
        </w:rPr>
        <w:t>fiscal</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fiscal</w:t>
      </w:r>
      <w:r>
        <w:rPr>
          <w:color w:val="000000"/>
        </w:rPr>
        <w:t xml:space="preserve"> </w:t>
      </w:r>
      <w:r>
        <w:rPr>
          <w:rFonts w:ascii="Times New Roman;serif" w:hAnsi="Times New Roman;serif"/>
          <w:b/>
          <w:color w:val="000000"/>
          <w:sz w:val="22"/>
        </w:rPr>
        <w:t>year</w:t>
      </w:r>
      <w:r>
        <w:rPr>
          <w:color w:val="000000"/>
        </w:rPr>
        <w:t xml:space="preserve">” </w:t>
      </w:r>
      <w:r>
        <w:rPr>
          <w:rFonts w:ascii="Times New Roman;serif" w:hAnsi="Times New Roman;serif"/>
          <w:b w:val="false"/>
          <w:color w:val="000000"/>
          <w:sz w:val="22"/>
        </w:rPr>
        <w:t>are to the fiscal year ended March 31 of the applicable year;</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the “</w:t>
      </w:r>
      <w:r>
        <w:rPr>
          <w:rFonts w:ascii="Times New Roman;serif" w:hAnsi="Times New Roman;serif"/>
          <w:b/>
          <w:color w:val="000000"/>
          <w:sz w:val="22"/>
        </w:rPr>
        <w:t>Reorganization</w:t>
      </w:r>
      <w:r>
        <w:rPr>
          <w:color w:val="000000"/>
        </w:rPr>
        <w:t xml:space="preserve">” </w:t>
      </w:r>
      <w:r>
        <w:rPr>
          <w:rFonts w:ascii="Times New Roman;serif" w:hAnsi="Times New Roman;serif"/>
          <w:b w:val="false"/>
          <w:color w:val="000000"/>
          <w:sz w:val="22"/>
        </w:rPr>
        <w:t>refer to the series of transactions immediately before the Company’s initial public offering (“</w:t>
      </w:r>
      <w:r>
        <w:rPr>
          <w:rFonts w:ascii="Times New Roman;serif" w:hAnsi="Times New Roman;serif"/>
          <w:b/>
          <w:color w:val="000000"/>
          <w:sz w:val="22"/>
        </w:rPr>
        <w:t>IPO</w:t>
      </w:r>
      <w:r>
        <w:rPr>
          <w:color w:val="000000"/>
        </w:rPr>
        <w:t>”</w:t>
      </w:r>
      <w:r>
        <w:rPr>
          <w:rFonts w:ascii="Times New Roman;serif" w:hAnsi="Times New Roman;serif"/>
          <w:b w:val="false"/>
          <w:color w:val="000000"/>
          <w:sz w:val="22"/>
        </w:rPr>
        <w:t>), which was completed on September 18, 2020;</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private markets allocations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total capital responsibility</w:t>
      </w:r>
      <w:r>
        <w:rPr>
          <w:color w:val="000000"/>
        </w:rPr>
        <w:t xml:space="preserve">” </w:t>
      </w:r>
      <w:r>
        <w:rPr>
          <w:rFonts w:ascii="Times New Roman;serif" w:hAnsi="Times New Roman;serif"/>
          <w:b w:val="false"/>
          <w:color w:val="000000"/>
          <w:sz w:val="22"/>
        </w:rPr>
        <w:t>refer to the aggregate amount of our assets under management (“</w:t>
      </w:r>
      <w:r>
        <w:rPr>
          <w:rFonts w:ascii="Times New Roman;serif" w:hAnsi="Times New Roman;serif"/>
          <w:b/>
          <w:color w:val="000000"/>
          <w:sz w:val="22"/>
        </w:rPr>
        <w:t>AUM</w:t>
      </w:r>
      <w:r>
        <w:rPr>
          <w:color w:val="000000"/>
        </w:rPr>
        <w:t>”</w:t>
      </w:r>
      <w:r>
        <w:rPr>
          <w:rFonts w:ascii="Times New Roman;serif" w:hAnsi="Times New Roman;serif"/>
          <w:b w:val="false"/>
          <w:color w:val="000000"/>
          <w:sz w:val="22"/>
        </w:rPr>
        <w:t>) and our assets under advisement (“</w:t>
      </w:r>
      <w:r>
        <w:rPr>
          <w:rFonts w:ascii="Times New Roman;serif" w:hAnsi="Times New Roman;serif"/>
          <w:b/>
          <w:color w:val="000000"/>
          <w:sz w:val="22"/>
        </w:rPr>
        <w:t>AUA”</w:t>
      </w:r>
      <w:r>
        <w:rPr>
          <w:rFonts w:ascii="Times New Roman;serif" w:hAnsi="Times New Roman;serif"/>
          <w:b w:val="false"/>
          <w:color w:val="000000"/>
          <w:sz w:val="22"/>
        </w:rPr>
        <w:t>);</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high-net-worth</w:t>
      </w:r>
      <w:r>
        <w:rPr>
          <w:color w:val="000000"/>
        </w:rPr>
        <w:t xml:space="preserve">” </w:t>
      </w:r>
      <w:r>
        <w:rPr>
          <w:rFonts w:ascii="Times New Roman;serif" w:hAnsi="Times New Roman;serif"/>
          <w:b w:val="false"/>
          <w:color w:val="000000"/>
          <w:sz w:val="22"/>
        </w:rPr>
        <w:t>individuals refer to individuals with net worth of over $5 million, excluding primary residence;</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mass affluent</w:t>
      </w:r>
      <w:r>
        <w:rPr>
          <w:color w:val="000000"/>
        </w:rPr>
        <w:t xml:space="preserve">” </w:t>
      </w:r>
      <w:r>
        <w:rPr>
          <w:rFonts w:ascii="Times New Roman;serif" w:hAnsi="Times New Roman;serif"/>
          <w:b w:val="false"/>
          <w:color w:val="000000"/>
          <w:sz w:val="22"/>
        </w:rPr>
        <w:t>individuals refer to individuals with annual income over $200,000 or net worth between $1 million and $5 million, excluding primary residence;</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Consolidated Funds</w:t>
      </w:r>
      <w:r>
        <w:rPr>
          <w:color w:val="000000"/>
        </w:rPr>
        <w:t xml:space="preserve">” </w:t>
      </w:r>
      <w:r>
        <w:rPr>
          <w:rFonts w:ascii="Times New Roman;serif" w:hAnsi="Times New Roman;serif"/>
          <w:b w:val="false"/>
          <w:color w:val="000000"/>
          <w:sz w:val="22"/>
        </w:rPr>
        <w:t>refer to the StepStone Funds that we are required to consolidate as of the applicable reporting period; and</w:t>
      </w:r>
    </w:p>
    <w:p>
      <w:pPr>
        <w:pStyle w:val="TextBody"/>
        <w:bidi w:val="0"/>
        <w:spacing w:lineRule="auto" w:line="288" w:before="0" w:after="240"/>
        <w:jc w:val="left"/>
        <w:rPr/>
      </w:pPr>
      <w:r>
        <w:rPr>
          <w:color w:val="000000"/>
        </w:rPr>
        <w:t xml:space="preserve">• </w:t>
      </w:r>
      <w:r>
        <w:rPr>
          <w:rFonts w:ascii="Times New Roman;serif" w:hAnsi="Times New Roman;serif"/>
          <w:b w:val="false"/>
          <w:color w:val="000000"/>
          <w:sz w:val="22"/>
        </w:rPr>
        <w:t>references to “</w:t>
      </w:r>
      <w:r>
        <w:rPr>
          <w:rFonts w:ascii="Times New Roman;serif" w:hAnsi="Times New Roman;serif"/>
          <w:b/>
          <w:color w:val="000000"/>
          <w:sz w:val="22"/>
        </w:rPr>
        <w:t>SRA</w:t>
      </w:r>
      <w:r>
        <w:rPr>
          <w:color w:val="000000"/>
        </w:rPr>
        <w:t xml:space="preserve">” </w:t>
      </w:r>
      <w:r>
        <w:rPr>
          <w:rFonts w:ascii="Times New Roman;serif" w:hAnsi="Times New Roman;serif"/>
          <w:b w:val="false"/>
          <w:color w:val="000000"/>
          <w:sz w:val="22"/>
        </w:rPr>
        <w:t>refer to StepStone Group Real Assets LP, references to “</w:t>
      </w:r>
      <w:r>
        <w:rPr>
          <w:rFonts w:ascii="Times New Roman;serif" w:hAnsi="Times New Roman;serif"/>
          <w:b/>
          <w:color w:val="000000"/>
          <w:sz w:val="22"/>
        </w:rPr>
        <w:t>SRE</w:t>
      </w:r>
      <w:r>
        <w:rPr>
          <w:color w:val="000000"/>
        </w:rPr>
        <w:t xml:space="preserve">” </w:t>
      </w:r>
      <w:r>
        <w:rPr>
          <w:rFonts w:ascii="Times New Roman;serif" w:hAnsi="Times New Roman;serif"/>
          <w:b w:val="false"/>
          <w:color w:val="000000"/>
          <w:sz w:val="22"/>
        </w:rPr>
        <w:t>refer to StepStone Group Real Estate LP, references to “</w:t>
      </w:r>
      <w:r>
        <w:rPr>
          <w:rFonts w:ascii="Times New Roman;serif" w:hAnsi="Times New Roman;serif"/>
          <w:b/>
          <w:color w:val="000000"/>
          <w:sz w:val="22"/>
        </w:rPr>
        <w:t>SPD</w:t>
      </w:r>
      <w:r>
        <w:rPr>
          <w:color w:val="000000"/>
        </w:rPr>
        <w:t xml:space="preserve">” </w:t>
      </w:r>
      <w:r>
        <w:rPr>
          <w:rFonts w:ascii="Times New Roman;serif" w:hAnsi="Times New Roman;serif"/>
          <w:b w:val="false"/>
          <w:color w:val="000000"/>
          <w:sz w:val="22"/>
        </w:rPr>
        <w:t>refer to StepStone Group Private Debt AG, and references to “</w:t>
      </w:r>
      <w:r>
        <w:rPr>
          <w:rFonts w:ascii="Times New Roman;serif" w:hAnsi="Times New Roman;serif"/>
          <w:b/>
          <w:color w:val="000000"/>
          <w:sz w:val="22"/>
        </w:rPr>
        <w:t>SPW</w:t>
      </w:r>
      <w:r>
        <w:rPr>
          <w:color w:val="000000"/>
        </w:rPr>
        <w:t xml:space="preserve">” </w:t>
      </w:r>
      <w:r>
        <w:rPr>
          <w:rFonts w:ascii="Times New Roman;serif" w:hAnsi="Times New Roman;serif"/>
          <w:b w:val="false"/>
          <w:color w:val="000000"/>
          <w:sz w:val="22"/>
        </w:rPr>
        <w:t>refer to StepStone Group Private Wealth LLC.</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4"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TRADEMARKS, SERVICE MARKS AND TRADE NAMES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10-Q are listed without the ©, ® and ™ symbols, but we will assert, to the fullest extent under applicable law, our rights or the rights of the applicable licensors to these trademarks, service marks, trade names and copyrights.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FORWARD-LOOKING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Form 10-Q contains forward-looking statements within the meaning of Section 27A of the Securities Act of 1933, as amended (the “Securities Act”), and Section 21E of the Securities Exchange Act of 1934, as amended (the “Exchange Act”). All statements other than statements of historical fact, including statements regarding guidance, industry prospects or future results of operations or financial position made in this Form 10-Q are forward-looking. We use words such as “anticipate,” “believe,” “continue,” “estimate,” “expect,” “future,” “intend,” “may,” “plan” and “will” and similar expressions to identify forward-looking statements. Forward-looking statements reflect management’s current plans, estimates and expectations and are inherently uncertain. The inclusion of any forward-looking information should not be regarded as a representation by us or any other person that the future plans, estimates or expectations contemplated will be achieved. Forward-looking statements are subject to various risks, uncertainties and assumptions. Important factors that could cause actual results to differ materially from those in forward-looking statements include, but are not limited to, global and domestic market and business conditions, our successful execution of business and growth strategies, the favorability of the private markets fundraising environment, successful integration of acquired businesses and regulatory factors relevant to our business, as well as assumptions relating to our operations, financial results, financial condition, business prospects, growth strategy and liquidity and the risks and uncertainties described in greater detail under “Risk Factors” in Part I, Item 1A of our annual report on Form 10-K for the fiscal year ended March 31, 2026 and in our subsequent reports filed from time to time with the U.S. Securities and Exchange Commission (“SEC”), which are accessible on the SEC’s website at www.sec.gov. These factors should not be construed as exhaustive and should be read in conjunction with the other cautionary statements that are included in this Form 10-Q and in our other periodic filings. We undertake no obligation to revise or update any forward-looking statements, whether as a result of new information, future events or otherwise, except as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5"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40"/>
        <w:jc w:val="left"/>
        <w:rPr>
          <w:rFonts w:ascii="Times New Roman;serif" w:hAnsi="Times New Roman;serif"/>
          <w:b/>
          <w:color w:val="000000"/>
          <w:sz w:val="22"/>
        </w:rPr>
      </w:pPr>
      <w:r>
        <w:rPr>
          <w:rFonts w:ascii="Times New Roman;serif" w:hAnsi="Times New Roman;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72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2851"/>
        <w:gridCol w:w="2453"/>
        <w:gridCol w:w="2488"/>
        <w:gridCol w:w="181"/>
        <w:gridCol w:w="721"/>
        <w:gridCol w:w="109"/>
        <w:gridCol w:w="109"/>
        <w:gridCol w:w="109"/>
        <w:gridCol w:w="109"/>
        <w:gridCol w:w="184"/>
        <w:gridCol w:w="733"/>
        <w:gridCol w:w="158"/>
      </w:tblGrid>
      <w:tr>
        <w:trPr/>
        <w:tc>
          <w:tcPr>
            <w:tcW w:w="2851"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As of</w:t>
            </w:r>
          </w:p>
        </w:tc>
      </w:tr>
      <w:tr>
        <w:trPr/>
        <w:tc>
          <w:tcPr>
            <w:tcW w:w="77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March 31, 2026</w:t>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Assets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213,065 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Fees and accounts receivable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133,287 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 from affiliates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4"/>
              </w:rPr>
            </w:pPr>
            <w:r>
              <w:rPr>
                <w:rFonts w:ascii="Times New Roman;serif" w:hAnsi="Times New Roman;serif"/>
                <w:b w:val="false"/>
                <w:color w:val="000000"/>
                <w:sz w:val="14"/>
              </w:rPr>
              <w:t>Investments: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 in funds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264,450 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249,447 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carried interest allocations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2,036,892 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Legacy Greenspring investments in funds and accrued carried interest allocations</w:t>
            </w:r>
            <w:r>
              <w:rPr>
                <w:rFonts w:ascii="Times New Roman;serif" w:hAnsi="Times New Roman;serif"/>
                <w:b w:val="false"/>
                <w:color w:val="000000"/>
                <w:sz w:val="9"/>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752,776 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income tax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663,333 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614,788 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right-of-use assets,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81,565 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 and receivables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58,946 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Intangibles,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212,855 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223,044 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Goodwill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580,542 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4"/>
              </w:rPr>
            </w:pPr>
            <w:r>
              <w:rPr>
                <w:rFonts w:ascii="Times New Roman;serif" w:hAnsi="Times New Roman;serif"/>
                <w:b w:val="false"/>
                <w:i/>
                <w:color w:val="000000"/>
                <w:sz w:val="14"/>
              </w:rPr>
              <w:t>Assets of Consolidated Funds: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905,357 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Investments, at fair value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715,335 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83,929 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Total assets</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7,767,674 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6,762,702 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Liabilities and stockholders’ equity</w:t>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 accrued expenses and other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84,915 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102,685 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compensation and benefits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2,681,305 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2,360,770 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carried interest-related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1,145,080 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1,100,604 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Legacy Greenspring accrued carried interest-related compensation</w:t>
            </w:r>
            <w:r>
              <w:rPr>
                <w:rFonts w:ascii="Times New Roman;serif" w:hAnsi="Times New Roman;serif"/>
                <w:b w:val="false"/>
                <w:color w:val="000000"/>
                <w:sz w:val="9"/>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619,186 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Due to affiliates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362,833 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Lease liabilities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116,465 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103,600 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Debt obligations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270,572 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i/>
                <w:color w:val="000000"/>
                <w:sz w:val="14"/>
              </w:rPr>
            </w:pPr>
            <w:r>
              <w:rPr>
                <w:rFonts w:ascii="Times New Roman;serif" w:hAnsi="Times New Roman;serif"/>
                <w:b w:val="false"/>
                <w:i/>
                <w:color w:val="000000"/>
                <w:sz w:val="14"/>
              </w:rPr>
              <w:t>Liabilities of Consolidated Funds: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Debt obligations, at fair value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1,180,643 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931,185 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6,528,018 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5,876,676 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Commitments and contingencies (Note 14)</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Redeemable non-controlling interests in Consolidated Funds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186,236 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Redeemable non-controlling interests in subsidiaries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8,777 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Stockholders’ equity:</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Class A common stock, $0.001 par value, 650,000,000 authorized; 82,340,884 and 80,703,553 issued and outstanding as of June 30, 2026 and March 31, 2026, respectively</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Class B common stock, $0.001 par value, 125,000,000 authorized; 38,387,761 and 38,637,761 issued and outstanding as of June 30, 2026 and March 31, 2026, respectively</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Additional paid-in capital</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541,815 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482,057 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deficit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(1,082,511)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(896,879)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Accumulated other comprehensive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1,143 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StepStone Group Inc. stockholders’ equity</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(539,200)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(413,559)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 in subsidiaries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1,867,651 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1,373,242 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Non-controlling interests in legacy Greenspring entities</w:t>
            </w:r>
            <w:r>
              <w:rPr>
                <w:rFonts w:ascii="Times New Roman;serif" w:hAnsi="Times New Roman;serif"/>
                <w:b w:val="false"/>
                <w:color w:val="000000"/>
                <w:sz w:val="9"/>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133,590 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Non-controlling interests in the Partnership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(485,734)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(402,260)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stockholders’ equity</w:t>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970,529 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691,013 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liabilities and stockholders’ equity</w:t>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7,767,674 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6,762,702 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720"/>
        <w:jc w:val="left"/>
        <w:rPr>
          <w:rFonts w:ascii="Times New Roman;serif" w:hAnsi="Times New Roman;serif"/>
          <w:b w:val="false"/>
          <w:color w:val="000000"/>
          <w:sz w:val="14"/>
        </w:rPr>
      </w:pPr>
      <w:r>
        <w:rPr>
          <w:rFonts w:ascii="Times New Roman;serif" w:hAnsi="Times New Roman;serif"/>
          <w:b w:val="false"/>
          <w:color w:val="000000"/>
          <w:sz w:val="14"/>
        </w:rPr>
        <w:t>(1)Reflects amounts attributable to consolidated VIEs for which the Company did not acquire any direct economic interests. See notes 2 and 5 for more information.</w:t>
      </w:r>
    </w:p>
    <w:p>
      <w:pPr>
        <w:pStyle w:val="TextBody"/>
        <w:bidi w:val="0"/>
        <w:spacing w:lineRule="auto" w:line="288" w:before="0" w:after="0"/>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6"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120" w:after="283"/>
        <w:ind w:left="0" w:right="0" w:firstLine="72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Balance Sheets (Unaudited)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p>
      <w:pPr>
        <w:pStyle w:val="TextBody"/>
        <w:bidi w:val="0"/>
        <w:spacing w:before="0" w:after="240"/>
        <w:jc w:val="center"/>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presents the portion of the condensed consolidated balances presented above attributable to consolidated variable interest entities.</w:t>
      </w:r>
    </w:p>
    <w:tbl>
      <w:tblPr>
        <w:tblW w:w="9653" w:type="dxa"/>
        <w:jc w:val="left"/>
        <w:tblInd w:w="0" w:type="dxa"/>
        <w:tblLayout w:type="fixed"/>
        <w:tblCellMar>
          <w:top w:w="28" w:type="dxa"/>
          <w:left w:w="28" w:type="dxa"/>
          <w:bottom w:w="28" w:type="dxa"/>
          <w:right w:w="28" w:type="dxa"/>
        </w:tblCellMar>
      </w:tblPr>
      <w:tblGrid>
        <w:gridCol w:w="2417"/>
        <w:gridCol w:w="2128"/>
        <w:gridCol w:w="2144"/>
        <w:gridCol w:w="211"/>
        <w:gridCol w:w="976"/>
        <w:gridCol w:w="109"/>
        <w:gridCol w:w="109"/>
        <w:gridCol w:w="109"/>
        <w:gridCol w:w="109"/>
        <w:gridCol w:w="211"/>
        <w:gridCol w:w="976"/>
        <w:gridCol w:w="154"/>
      </w:tblGrid>
      <w:tr>
        <w:trPr/>
        <w:tc>
          <w:tcPr>
            <w:tcW w:w="241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6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and accounts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Investments in funds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investments in funds and accrued carried interest allocations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right-of-use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Assets of Consolidated Funds: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3,721,852 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2,822,532 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other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2,321,815 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accrued carried interest-related compensation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to affiliates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Liabilities of Consolidated Funds: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obligations, at fair value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4,553,679 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3,969,205 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Loss (Unaudited)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bl>
      <w:tblPr>
        <w:tblW w:w="8334" w:type="dxa"/>
        <w:jc w:val="center"/>
        <w:tblInd w:w="0" w:type="dxa"/>
        <w:tblLayout w:type="fixed"/>
        <w:tblCellMar>
          <w:top w:w="28" w:type="dxa"/>
          <w:left w:w="28" w:type="dxa"/>
          <w:bottom w:w="28" w:type="dxa"/>
          <w:right w:w="28" w:type="dxa"/>
        </w:tblCellMar>
      </w:tblPr>
      <w:tblGrid>
        <w:gridCol w:w="2047"/>
        <w:gridCol w:w="1798"/>
        <w:gridCol w:w="1809"/>
        <w:gridCol w:w="181"/>
        <w:gridCol w:w="676"/>
        <w:gridCol w:w="109"/>
        <w:gridCol w:w="109"/>
        <w:gridCol w:w="109"/>
        <w:gridCol w:w="109"/>
        <w:gridCol w:w="181"/>
        <w:gridCol w:w="616"/>
        <w:gridCol w:w="109"/>
        <w:gridCol w:w="109"/>
        <w:gridCol w:w="109"/>
        <w:gridCol w:w="109"/>
        <w:gridCol w:w="154"/>
      </w:tblGrid>
      <w:tr>
        <w:trPr/>
        <w:tc>
          <w:tcPr>
            <w:tcW w:w="2047"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Revenues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Management and advisory fees, net</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fees: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Incentive fees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Carried interest allocations: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carried interest allocations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72,547 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113,287 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Legacy Greenspring carried interest allocations</w:t>
            </w:r>
            <w:r>
              <w:rPr>
                <w:rFonts w:ascii="Times New Roman;serif" w:hAnsi="Times New Roman;serif"/>
                <w:b w:val="false"/>
                <w:color w:val="000000"/>
                <w:sz w:val="9"/>
              </w:rPr>
              <w:t>(1)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performance fees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109,718 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revenues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378,889 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364,287 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Expenses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Compensation and benefits: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Cash-based compensation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Equity-based compensation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Performance fee-related compensation:</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Realized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Unrealized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performance fee-related compensation</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56,062 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Legacy Greenspring performance fee-related compensation</w:t>
            </w:r>
            <w:r>
              <w:rPr>
                <w:rFonts w:ascii="Times New Roman;serif" w:hAnsi="Times New Roman;serif"/>
                <w:b w:val="false"/>
                <w:color w:val="000000"/>
                <w:sz w:val="9"/>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compensation and benefits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530,230 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380,402 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General, administrative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expenses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583,699 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4"/>
              </w:rPr>
            </w:pPr>
            <w:r>
              <w:rPr>
                <w:rFonts w:ascii="Times New Roman;serif" w:hAnsi="Times New Roman;serif"/>
                <w:b/>
                <w:color w:val="000000"/>
                <w:sz w:val="14"/>
              </w:rPr>
              <w:t>Other income (expense)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4"/>
              </w:rPr>
              <w:t>Legacy Greenspring investment income (loss)</w:t>
            </w:r>
            <w:r>
              <w:rPr>
                <w:rFonts w:ascii="Times New Roman;serif" w:hAnsi="Times New Roman;serif"/>
                <w:b w:val="false"/>
                <w:color w:val="000000"/>
                <w:sz w:val="9"/>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Investment income of Consolidated Funds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income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other income</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Loss before income tax</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(200,250)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(20,350)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Income tax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(170,366)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(12,011)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non-controlling interests in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28,617 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4"/>
              </w:rPr>
              <w:t>Less: Net income (loss) attributable to non-controlling interests in legacy Greenspring entities</w:t>
            </w:r>
            <w:r>
              <w:rPr>
                <w:rFonts w:ascii="Times New Roman;serif" w:hAnsi="Times New Roman;serif"/>
                <w:b w:val="false"/>
                <w:color w:val="000000"/>
                <w:sz w:val="9"/>
              </w:rPr>
              <w:t>(1)</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loss attributable to non-controlling interests in the Partnership</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(76,134)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redeemable non-controlling interests in Consolidated Funds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Less: Net income attributable to redeemable non-controlling interests in subsidiaries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 attributable to StepStone Group Inc.</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(115,816)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(38,424)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Net loss per share of Class A common stock:</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Weighted-average shares of Class A common stock:</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Basic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81,995,674 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77,846,710 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Diluted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81,995,674 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77,846,710 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720"/>
        <w:jc w:val="left"/>
        <w:rPr>
          <w:rFonts w:ascii="Times New Roman;serif" w:hAnsi="Times New Roman;serif"/>
          <w:b w:val="false"/>
          <w:color w:val="000000"/>
          <w:sz w:val="14"/>
        </w:rPr>
      </w:pPr>
      <w:r>
        <w:rPr>
          <w:rFonts w:ascii="Times New Roman;serif" w:hAnsi="Times New Roman;serif"/>
          <w:b w:val="false"/>
          <w:color w:val="000000"/>
          <w:sz w:val="14"/>
        </w:rPr>
        <w:t>(1)Reflects amounts attributable to consolidated VIEs for which the Company did not acquire any direct economic interests. See notes 2, 3 and 5 for more information.</w:t>
      </w:r>
    </w:p>
    <w:p>
      <w:pPr>
        <w:pStyle w:val="TextBody"/>
        <w:bidi w:val="0"/>
        <w:spacing w:lineRule="auto" w:line="288" w:before="0" w:after="0"/>
        <w:jc w:val="left"/>
        <w:rPr>
          <w:rFonts w:ascii="Times New Roman;serif" w:hAnsi="Times New Roman;serif"/>
          <w:b w:val="false"/>
          <w:i/>
          <w:color w:val="000000"/>
          <w:sz w:val="14"/>
        </w:rPr>
      </w:pPr>
      <w:r>
        <w:rPr>
          <w:rFonts w:ascii="Times New Roman;serif" w:hAnsi="Times New Roman;serif"/>
          <w:b w:val="false"/>
          <w:i/>
          <w:color w:val="000000"/>
          <w:sz w:val="14"/>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StepStone Group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Comprehensive Loss (Unaudited)</w:t>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577"/>
        <w:gridCol w:w="2234"/>
        <w:gridCol w:w="2275"/>
        <w:gridCol w:w="211"/>
        <w:gridCol w:w="887"/>
        <w:gridCol w:w="109"/>
        <w:gridCol w:w="109"/>
        <w:gridCol w:w="109"/>
        <w:gridCol w:w="109"/>
        <w:gridCol w:w="211"/>
        <w:gridCol w:w="782"/>
        <w:gridCol w:w="109"/>
        <w:gridCol w:w="109"/>
        <w:gridCol w:w="109"/>
        <w:gridCol w:w="109"/>
        <w:gridCol w:w="156"/>
      </w:tblGrid>
      <w:tr>
        <w:trPr/>
        <w:tc>
          <w:tcPr>
            <w:tcW w:w="2577"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w:t>
            </w:r>
          </w:p>
        </w:tc>
        <w:tc>
          <w:tcPr>
            <w:tcW w:w="109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before non-controlling interests</w:t>
            </w:r>
          </w:p>
        </w:tc>
        <w:tc>
          <w:tcPr>
            <w:tcW w:w="10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non-controlling interests in subsidiaries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(loss) attributable to non-controlling interests in legacy Greenspring entities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loss attributable to non-controlling interests in the Partnership</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redeemable non-controlling interests in Consolidated Funds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Comprehensive income attributable to redeemable non-controlling interests in subsidiaries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 attributable to StepStone Group Inc.</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(115,687)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 xml:space="preserve">StepStone Group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Stockholders’ Equity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bl>
      <w:tblPr>
        <w:tblW w:w="12611" w:type="dxa"/>
        <w:jc w:val="left"/>
        <w:tblInd w:w="0" w:type="dxa"/>
        <w:tblLayout w:type="fixed"/>
        <w:tblCellMar>
          <w:top w:w="28" w:type="dxa"/>
          <w:left w:w="28" w:type="dxa"/>
          <w:bottom w:w="28" w:type="dxa"/>
          <w:right w:w="28" w:type="dxa"/>
        </w:tblCellMar>
      </w:tblPr>
      <w:tblGrid>
        <w:gridCol w:w="766"/>
        <w:gridCol w:w="238"/>
        <w:gridCol w:w="212"/>
        <w:gridCol w:w="196"/>
        <w:gridCol w:w="331"/>
        <w:gridCol w:w="109"/>
        <w:gridCol w:w="109"/>
        <w:gridCol w:w="109"/>
        <w:gridCol w:w="109"/>
        <w:gridCol w:w="196"/>
        <w:gridCol w:w="331"/>
        <w:gridCol w:w="109"/>
        <w:gridCol w:w="109"/>
        <w:gridCol w:w="109"/>
        <w:gridCol w:w="109"/>
        <w:gridCol w:w="196"/>
        <w:gridCol w:w="736"/>
        <w:gridCol w:w="109"/>
        <w:gridCol w:w="109"/>
        <w:gridCol w:w="109"/>
        <w:gridCol w:w="109"/>
        <w:gridCol w:w="196"/>
        <w:gridCol w:w="886"/>
        <w:gridCol w:w="109"/>
        <w:gridCol w:w="109"/>
        <w:gridCol w:w="109"/>
        <w:gridCol w:w="109"/>
        <w:gridCol w:w="208"/>
        <w:gridCol w:w="591"/>
        <w:gridCol w:w="117"/>
        <w:gridCol w:w="109"/>
        <w:gridCol w:w="109"/>
        <w:gridCol w:w="109"/>
        <w:gridCol w:w="196"/>
        <w:gridCol w:w="87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B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 in Legacy Greenspring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Non-Controlling Interests in the Partnership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 Stockholders’ Equity</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482,057 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(896,879)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1,143 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1,373,242 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133,590 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(402,260)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691,013 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(174,466)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Contributed capital</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151,275 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7,066 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(330,891)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Class C and Class D units for Class A common stock and redemption of corresponding Class B common stock</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for purchase of asset class non-controlling interests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A common stock</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Initial consolidation of Consolidated Funds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731,588 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controlling and non-controlling interests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80,875 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erif" w:hAnsi="Times New Roman;serif"/>
                <w:b w:val="false"/>
                <w:color w:val="000000"/>
                <w:sz w:val="16"/>
              </w:rPr>
              <w:t>Deferred tax effect resulting from equity transactions affecting ownership in the Partnership</w:t>
            </w:r>
            <w:r>
              <w:rPr>
                <w:rFonts w:ascii="Times New Roman;serif" w:hAnsi="Times New Roman;serif"/>
                <w:b w:val="false"/>
                <w:color w:val="000000"/>
                <w:sz w:val="10"/>
              </w:rPr>
              <w:t>(1)</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(1,082,511)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1,376 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1,867,651 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127,812 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(485,734)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970,529 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11395" w:type="dxa"/>
            <w:gridSpan w:val="51"/>
            <w:tcBorders/>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2316" w:type="dxa"/>
        <w:jc w:val="left"/>
        <w:tblInd w:w="0" w:type="dxa"/>
        <w:tblLayout w:type="fixed"/>
        <w:tblCellMar>
          <w:top w:w="28" w:type="dxa"/>
          <w:left w:w="28" w:type="dxa"/>
          <w:bottom w:w="28" w:type="dxa"/>
          <w:right w:w="28" w:type="dxa"/>
        </w:tblCellMar>
      </w:tblPr>
      <w:tblGrid>
        <w:gridCol w:w="766"/>
        <w:gridCol w:w="238"/>
        <w:gridCol w:w="212"/>
        <w:gridCol w:w="196"/>
        <w:gridCol w:w="331"/>
        <w:gridCol w:w="109"/>
        <w:gridCol w:w="109"/>
        <w:gridCol w:w="109"/>
        <w:gridCol w:w="109"/>
        <w:gridCol w:w="196"/>
        <w:gridCol w:w="331"/>
        <w:gridCol w:w="109"/>
        <w:gridCol w:w="109"/>
        <w:gridCol w:w="109"/>
        <w:gridCol w:w="109"/>
        <w:gridCol w:w="196"/>
        <w:gridCol w:w="736"/>
        <w:gridCol w:w="109"/>
        <w:gridCol w:w="109"/>
        <w:gridCol w:w="109"/>
        <w:gridCol w:w="109"/>
        <w:gridCol w:w="196"/>
        <w:gridCol w:w="751"/>
        <w:gridCol w:w="109"/>
        <w:gridCol w:w="109"/>
        <w:gridCol w:w="109"/>
        <w:gridCol w:w="109"/>
        <w:gridCol w:w="196"/>
        <w:gridCol w:w="421"/>
        <w:gridCol w:w="109"/>
        <w:gridCol w:w="109"/>
        <w:gridCol w:w="109"/>
        <w:gridCol w:w="109"/>
        <w:gridCol w:w="196"/>
        <w:gridCol w:w="871"/>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7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(242,546)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1,056,510 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1,390,148 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(33,547)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Contributed capital</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(63,128)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Exchange of Class B, Class C and Class D units for Class A common stock and redemption of corresponding Class B common stock</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issued for purchase of asset class non-controlling interests</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2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 reallocation between controlling and non-controlling interests</w:t>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20"/>
              <w:jc w:val="left"/>
              <w:rPr/>
            </w:pPr>
            <w:r>
              <w:rPr>
                <w:rFonts w:ascii="Times New Roman;serif" w:hAnsi="Times New Roman;serif"/>
                <w:b w:val="false"/>
                <w:color w:val="000000"/>
                <w:sz w:val="16"/>
              </w:rPr>
              <w:t>Deferred tax effect resulting from equity transactions affecting ownership in the Partnership</w:t>
            </w:r>
            <w:r>
              <w:rPr>
                <w:rFonts w:ascii="Times New Roman;serif" w:hAnsi="Times New Roman;serif"/>
                <w:b w:val="false"/>
                <w:color w:val="000000"/>
                <w:sz w:val="10"/>
              </w:rPr>
              <w:t>(1)</w:t>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484,859 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(331,990)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946,033 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134,332 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1,230,579 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(1)See notes 10 and 13 for more information.</w:t>
      </w:r>
    </w:p>
    <w:p>
      <w:pPr>
        <w:pStyle w:val="TextBody"/>
        <w:bidi w:val="0"/>
        <w:spacing w:lineRule="auto" w:line="288" w:before="180" w:after="283"/>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StepStone Group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bl>
      <w:tblPr>
        <w:tblW w:w="9443" w:type="dxa"/>
        <w:jc w:val="center"/>
        <w:tblInd w:w="0" w:type="dxa"/>
        <w:tblLayout w:type="fixed"/>
        <w:tblCellMar>
          <w:top w:w="28" w:type="dxa"/>
          <w:left w:w="28" w:type="dxa"/>
          <w:bottom w:w="28" w:type="dxa"/>
          <w:right w:w="28" w:type="dxa"/>
        </w:tblCellMar>
      </w:tblPr>
      <w:tblGrid>
        <w:gridCol w:w="2510"/>
        <w:gridCol w:w="2201"/>
        <w:gridCol w:w="2218"/>
        <w:gridCol w:w="196"/>
        <w:gridCol w:w="811"/>
        <w:gridCol w:w="109"/>
        <w:gridCol w:w="109"/>
        <w:gridCol w:w="109"/>
        <w:gridCol w:w="109"/>
        <w:gridCol w:w="196"/>
        <w:gridCol w:w="721"/>
        <w:gridCol w:w="154"/>
      </w:tblGrid>
      <w:tr>
        <w:trPr/>
        <w:tc>
          <w:tcPr>
            <w:tcW w:w="2510"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(170,366)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carried interest allocations and investment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legacy Greenspring carried interest allocations and investment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performance fee-related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legacy Greenspring performance fee-related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Adjustments to reconcile net loss to net cash used in operating activities of Consolidated Funds: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(income) loss on investments of Consolidated 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income from notes payable of Consolidated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investments of Consolidated 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(903,683)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(57,696)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from investments of Consolidated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Fees and 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from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Due to affiliates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right-of-use assets, net and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Changes in operating assets and liabilities of Consolidated Funds: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receivables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 and payables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(457,511)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46,282 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from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to investments in legacy Greenspring entities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received from investments in legacy Greenspring entities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recognized upon initial consolidation of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100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21,402 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(11,793)</w:t>
            </w:r>
          </w:p>
        </w:tc>
        <w:tc>
          <w:tcPr>
            <w:tcW w:w="15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StepStone Group Inc.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Condensed Consolidated Statements of Cash Flows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2876"/>
        <w:gridCol w:w="2422"/>
        <w:gridCol w:w="2430"/>
        <w:gridCol w:w="197"/>
        <w:gridCol w:w="743"/>
        <w:gridCol w:w="109"/>
        <w:gridCol w:w="109"/>
        <w:gridCol w:w="109"/>
        <w:gridCol w:w="109"/>
        <w:gridCol w:w="197"/>
        <w:gridCol w:w="743"/>
        <w:gridCol w:w="161"/>
      </w:tblGrid>
      <w:tr>
        <w:trPr/>
        <w:tc>
          <w:tcPr>
            <w:tcW w:w="2876"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7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 contributions from non-controlling interests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non-controlling interests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(60,167)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 contributions to legacy Greenspring entities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legacy Greenspring entities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stockholders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(50,274)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for repurchases of Class A common stock</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to related parties under Tax Receivable Agreements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(11,494)</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Cash flows from financing activities of Consolidated Funds: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notes payable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on fund credit facilities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fund credit facilities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of debt issuance costs on fund credit facilities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capital contributions from non-controlling interests in Consolidated Funds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non-controlling interests in Consolidated Funds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redeemable non-controlling interests in Consolidated Funds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Redemptions of redeemable non-controlling interests in Consolidated Funds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foreign currency exchange rate changes</w:t>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(7,416)</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cash equivalents and restricted cash</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disclosures:</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operating, investing, and financing activities: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dividends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746 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effect resulting from transactions affecting ownership in the Partnership, including net amounts payable under Tax Receivable Agreements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(7,367)</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Initial consolidation of Consolidated Funds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Establishment of lease liabilities in exchange for lease right-of-use assets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Remeasurement of lease liabilities</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issued for purchase of non-controlling interests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160,876 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cash, cash equivalents and restricted cash:</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of Consolidated Funds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52,662 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703,101 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244,655 </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jc w:val="left"/>
        <w:rPr>
          <w:rFonts w:ascii="Times New Roman;serif" w:hAnsi="Times New Roman;serif"/>
          <w:b w:val="false"/>
          <w:i/>
          <w:color w:val="000000"/>
          <w:sz w:val="22"/>
        </w:rPr>
      </w:pPr>
      <w:r>
        <w:rPr>
          <w:rFonts w:ascii="Times New Roman;serif" w:hAnsi="Times New Roman;serif"/>
          <w:b w:val="false"/>
          <w:i/>
          <w:color w:val="000000"/>
          <w:sz w:val="22"/>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Times New Roman;serif" w:hAnsi="Times New Roman;serif"/>
          <w:b/>
          <w:color w:val="000000"/>
          <w:sz w:val="22"/>
        </w:rPr>
      </w:pPr>
      <w:r>
        <w:rPr>
          <w:rFonts w:ascii="Times New Roman;serif" w:hAnsi="Times New Roman;serif"/>
          <w:b/>
          <w:color w:val="000000"/>
          <w:sz w:val="22"/>
        </w:rPr>
        <w:t>1.    Organization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StepStone Group Inc. (“SSG”) was incorporated in the state of Delaware on November 20, 2019 and, following its initial public offering in 2020, acts as a holding company for StepStone Group LP (the “Partnership”). SSG is the sole managing member of StepStone Group Holdings LLC (the “General Partner”), the general partner of the Partnership. Unless otherwise specified, “StepStone” or the “Company” refers to SSG and its consolidated subsidiaries, including the Partnership, throughout the remainder of these notes to the condensed consolidated financial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is a global private markets investment firm focused on providing customized investment solutions and advisory and data services to its clients. The Company’s clients include some of the world’s largest public and private defined benefit and defined contribution pension funds, sovereign wealth funds and insurance companies, as well as prominent endowments, foundations, family offices and private wealth clients, including high-net-worth and mass affluent individuals. The Company partners with its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through its subsidiaries, acts as the investment advisor and general partner or managing member to separately managed accounts (“SMAs”) and focused commingled funds (collectively, the “StepStone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SSG is a holding company whose principal asset is a controlling financial interest in the Partnership through its ownership of all of the Partnership’s Class A units and 100% of the membership interests in the General Partner of the Partnership. SSG acts as the sole managing member of the General Partner of the Partnership and, as a result, indirectly operates and controls all of the Partnership’s business and affairs. As a result, SSG consolidates the financial results of the Partnership and reports non-controlling interests related to the Class B, Class C and Class D units of the Partnership which are not owned by SSG. The assets and liabilities of the Partnership represent substantially all of SSG’s consolidated assets and liabilities, with the exception of certain deferred income taxes and payables due to affiliates pursuant to tax receivable agreements (see note 10). Each share of Class A common stock and Class B common stock is entitled to one vote. As of June 30, 2026, SSG held approximately 65.8% of the economic interest in the Partnership. As the Partnership’s limited partners exchange their Class B, Class C and Class D units into SSG’s Class A common stock in the future, SSG’s economic interest in the Partnership will increase relative to that of the Class B, Class C and Class D unitholders.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2.    Summary of Significant Accounting Policies</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Basis of Presentation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accompanying unaudited condensed consolidated financial statements are prepared in accordance with accounting principles generally accepted in the United States (“GAAP”) for interim financial information. Management believes it has made all necessary adjustments (consisting of only normal recurring items) such that the condensed consolidated financial statements are presented fairly and that estimates made in preparing the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All intercompany balances and transactions have been eliminated in consolidation. These unaudited condensed consolidated financial statements should be read in conjunction with the Company’s audited consolidated financial statements included in its annual report on Form 10-K for the fiscal year ended March 31, 2026 filed with the Securities and Exchange Commission (“SEC”).</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Certain of the StepStone Funds are investment companies that follow specialized accounting under GAAP and reflect their investments at estimated fair value. Accordingly, the carrying value of the Company’s equity method investments in such entities retains the specialized accounting.</w:t>
      </w:r>
    </w:p>
    <w:p>
      <w:pPr>
        <w:pStyle w:val="TextBody"/>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Consolidation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consolidates all entities that it controls through a majority voting interest or as the primary beneficiary of a variable interest entity (“VIE”). Under the VIE model, management first assesses whether the Company has a variable interest in an entity. In evaluating whether the Company holds a variable interest, fees received as a decision maker or in exchange for services (including management fees, incentive fees and carried interest allocations) that are customary and commensurate with the level of services provided, and where the Company does not hold other economic interests in the entity that would absorb more than an insignificant amount of the expected losses or returns of the entity, are not considered variable interests. If the Company has a variable interest in an entity, management further assesses whether that entity is a VIE, and if so, whether the Company is the primary beneficiary under the VIE model. Entities that do not qualify as VIEs are assessed for consolidation under the voting interest model. Under the voting interest model, the Company consolidates those entities it controls through a majority voting interest. The consolidation analysis can generally be performed qualitatively; however, in certain situations a quantitative analysis may also be performed. Investments and redemptions (either by the Company, affiliates of the Company or third parties) or amendments to the governing documents of the respective StepStone Funds could affect the entity’s status as a VIE or the determination of the primary beneficiary.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VIE model, an entity is deemed to be the primary beneficiary of a VIE if it holds a controlling financial interest. A controlling financial interest is defined as (a) the power to direct the activities of a VIE that most significantly affect the entity’s economic performance and (b) the obligation to absorb losses of the entity or the right to receive benefits from the entity that could potentially be significant to the VIE. Management determines whether the Company is the primary beneficiary of a VIE at the time it becomes involved with a VIE and reconsiders that conclusion at each reporting date. When assessing whether the Company is the primary beneficiary of a VIE, management evaluates whether the Company’s involvement, through holding interests directly or indirectly in an entity or contractually through other variable interests, would give the Company a controlling financial interest. This analysis includes an evaluation of the Company’s control rights, as well as the economic interests that the Company holds in the VIE, including indirectly through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provides investment advisory services to the StepStone Funds, which have third-party clients. These funds are investment companies and are typically organized as limited partnerships or limited liability companies for which the Company, through its operating subsidiaries, acts as the general partner or managing member. A limited partnership or similar entity is a VIE if the unaffiliated limited partners or members do not have substantive rights to terminate or liquidate the fund or remove the general partner or substantive rights to participate. StepStone Funds are generally VIEs because they have not granted unaffiliated limited partners or members substantive rights to terminate the fund or remove the general partner or substantive rights to participate. The Company typically does not consolidate these StepStone Funds because it is not the primary beneficiary, as it does not hold an interest in those funds that is considered more than insignificant and its fee arrangements are considered customary and commensurate.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has determined that certain of its operating subsidiaries, including StepStone Group Real Assets LP (“SRA”), StepStone Group Real Estate LP (“SRE”), StepStone Group Private Debt AG (“SPD”), and StepStone Group Private Wealth LLC (“SPW”) and certain StepStone Funds are VIEs, and that the Company is the primary beneficiary of each entity because it has a controlling financial interest in each entity; accordingly, the Company consolidates these entities. The assets and liabilities of the consolidated VIEs are presented gross in the condensed consolidated balance sheets. The assets of the consolidated VIEs may only be used to settle obligations of the consolidated VIEs. See note 4 for more information on both consolidated and unconsolidated VIEs.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the acquisition of Greenspring Associates Inc. and certain of its affiliates (“Greenspring”) that was completed on September 20, 2021 (the “Greenspring acquisition”), the Company, indirectly through its subsidiaries, became the sole and/or managing member of certain entities, each of which is the general partner of an investment fund (“legacy Greenspring general partner entities”). The Company did not acquire any direct economic interests attributable to the legacy Greenspring general partner entities, including legacy Greenspring investments in funds and carried interest allocations. However, certain arrangements negotiated as part of the acquisition represent variable interests that could be significant. The Company determined that the legacy Greenspring general partner entities are VIEs and it is the primary beneficiary of each such entity because it has a controlling financial interest in each entity. As a result, the Company consolidates these entities.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and its subsidiaries manages or controls certain entities that constitute client investment funds that have been consolidated in the accompanying condensed consolidated financial statements (“Consolidated Funds”). Including the results of the Consolidated Funds increases the reported amounts of the assets, liabilities, expenses and cash flows in the accompanying condensed consolidated financial statements. Amounts related to economic interests held by third-party investors are reflected as either non-controlling interests in subsidiaries or redeemable non-controlling interests in Consolidated Funds when the equity interests of the fund are redeemable. The revenues earned by the Company as investment manager of the Consolidated Funds are eliminated in consolidation and generally have no direct effect on the net income attributable to SSG or to stockholders’ equity.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Non-Controlling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Non-controlling interests (“NCI”) reflect the portion of income or loss and the corresponding equity attributable to third-party equity holders and employees in certain consolidated subsidiaries that are not 100% owned by the Company. Non-controlling interests are presented as separate components of stockholders’ equity on the Company’s condensed consolidated balance sheets to clearly distinguish between the Company’s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 See note 13 for more information on ownership interests in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Non-controlling interests in subsidiaries</w:t>
      </w:r>
      <w:r>
        <w:rPr>
          <w:color w:val="000000"/>
        </w:rPr>
        <w:t xml:space="preserve"> </w:t>
      </w:r>
      <w:r>
        <w:rPr>
          <w:rFonts w:ascii="Times New Roman;serif" w:hAnsi="Times New Roman;serif"/>
          <w:b w:val="false"/>
          <w:color w:val="000000"/>
          <w:sz w:val="22"/>
        </w:rPr>
        <w:t>represent the economic interests in the consolidated subsidiaries of the Partnership held by third parties and employees, and the economic interests in certain Consolidated Funds that are not held by SSG but are held by the client investors in the funds.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Non-controlling interests in legacy Greenspring entities</w:t>
      </w:r>
      <w:r>
        <w:rPr>
          <w:color w:val="000000"/>
        </w:rPr>
        <w:t xml:space="preserve"> </w:t>
      </w:r>
      <w:r>
        <w:rPr>
          <w:rFonts w:ascii="Times New Roman;serif" w:hAnsi="Times New Roman;serif"/>
          <w:b w:val="false"/>
          <w:color w:val="000000"/>
          <w:sz w:val="22"/>
        </w:rPr>
        <w:t>represent the economic interests in the legacy Greenspring general partner entities. The Company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 xml:space="preserve">Non-controlling interests in the Partnership </w:t>
      </w:r>
      <w:r>
        <w:rPr>
          <w:rFonts w:ascii="Times New Roman;serif" w:hAnsi="Times New Roman;serif"/>
          <w:b w:val="false"/>
          <w:color w:val="000000"/>
          <w:sz w:val="22"/>
        </w:rPr>
        <w:t>represent the economic interests related to the Class B, Class C and Class D units of the Partnership which are not owned by SSG.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 xml:space="preserve">Redeemable non-controlling interests in Consolidated Funds </w:t>
      </w:r>
      <w:r>
        <w:rPr>
          <w:rFonts w:ascii="Times New Roman;serif" w:hAnsi="Times New Roman;serif"/>
          <w:b w:val="false"/>
          <w:color w:val="000000"/>
          <w:sz w:val="22"/>
        </w:rPr>
        <w:t>represent the economic interests in the redeemable Consolidated Funds which are not held by SSG, but are held by the client investors in the funds. These interests are presented as redeemable non-controlling interests in Consolidated Funds within the condensed consolidated balance sheets, outside of permanent capital as the investors in these funds generally have the right to withdraw their capital, subject to the terms of the respective contractual agreements. Redeemable non-controlling interests in Consolidated Funds are allocated a share of income or loss in the respective fund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Redeemable non-controlling interests in subsidiaries</w:t>
      </w:r>
      <w:r>
        <w:rPr>
          <w:color w:val="000000"/>
        </w:rPr>
        <w:t xml:space="preserve"> </w:t>
      </w:r>
      <w:r>
        <w:rPr>
          <w:rFonts w:ascii="Times New Roman;serif" w:hAnsi="Times New Roman;serif"/>
          <w:b w:val="false"/>
          <w:color w:val="000000"/>
          <w:sz w:val="22"/>
        </w:rPr>
        <w:t xml:space="preserve">represent the redeemable economic interests in the consolidated subsidiaries of the Partnership held by third parties and employees in those entities that were established in connection with the Transaction Agreements as described in note 13. Redeemable non-controlling interests in subsidiaries are allocated a share of income or loss in the respective consolidated subsidiary in proportion to their relative ownership interests, after consideration of contractual arrangements that govern allocations of income or loss. </w:t>
      </w:r>
    </w:p>
    <w:p>
      <w:pPr>
        <w:pStyle w:val="TextBody"/>
        <w:bidi w:val="0"/>
        <w:spacing w:lineRule="auto" w:line="288" w:before="0" w:after="240"/>
        <w:jc w:val="left"/>
        <w:rPr/>
      </w:pPr>
      <w:r>
        <w:rPr>
          <w:rFonts w:ascii="Times New Roman;serif" w:hAnsi="Times New Roman;serif"/>
          <w:b/>
          <w:color w:val="000000"/>
          <w:sz w:val="22"/>
        </w:rPr>
        <w:t>Accounting for Differing Fiscal Periods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StepStone Funds (including the Consolidated Funds) primarily have a fiscal year end as of December 31. The Company accounts for its investments in the StepStone Funds and the consolidated balances of the Consolidated Funds on a three-month lag due to the timing of receipt of financial information from the investments held by the StepStone Funds. The StepStone Funds primarily invest in private markets funds that generally require at least 90 days following the calendar year end to provide audited financial statements. As a result, the Company uses the December 31 audited financial statements of the StepStone Funds, which reflect the underlying private markets funds as of December 31, to record its investments (including any carried interest allocated by those investments) for its fiscal year-end consolidated financial statements as of March 31. The Company further adjusts the reported carrying values of its investments in the StepStone Funds, and the consolidated balances for the Consolidated Funds, for its share of capital contributions to and distributions from the StepStone Funds during the three-month lag period. For this interim period ended June 30, 2026, the Company used the March 31, 2026 unaudited financial statements of the StepStone Funds, which reflect the underlying private market funds as of March 31, 2026, to record its investments (including any carried interest allocated from those investments), as adjusted for capital contributions and distributions during the three-month lag period ended June 30, 2026.</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does not account for management and advisory fees or incentive fees on a three-month lag.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To the extent that management becomes aware of any material events that affect the StepStone Funds or the Consolidated Funds during the three-month lag period, the effect of the events would be disclosed in the notes to the condensed consolidated financial statements.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Current Events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2026, financial markets have continued to experience significant volatility and uncertainty driven by, among other factors, U.S. trade policy developments, elevated inflation, elevated interest rates and interest rate uncertainty, fluctuations in foreign currency exchange rates, and geopolitical developments, including the ongoing Russia-Ukraine conflict and developments in the Middle East. Although inflation remains above the Federal Reserve's long-term target, global growth has moderated, and interest rates remain elevated, U.S. unemployment has remained relatively low and the U.S. economy has continued to expand in 2026.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is continuing to closely monitor developments related to inflation, decreasing but still elevated interest rates, trade, regulatory and other governmental policy, fluctuations in foreign currency exchange rates, banking system and credit market volatility, geopolitical tension, unrest or conflicts, including in or with China, Russia, Ukraine, Europe and the Middle East, and assess the impact on financial markets and the Company’s business. The Company’s results and the overall industry results have been, and may continue to be, adversely affected by slower, uneven or more challenging fundraising activity and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It is currently not possible to predict the ultimate effects of these events on the financial markets, the overall economy and the Company’s condensed consolidated financial statements.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Fair Value Measurements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GAAP establishes a hierarchical disclosure framework, which prioritizes and ranks the level of market price observability used in measuring financial instruments at fair value. Market price observability is affected by a number of factors, including the type of financial instrument, the characteristics specific to the financial instrument and the state of the marketplace – including the existence and transparency of transactions between market participants. Financial instruments with readily available quoted prices in active markets generally will have a higher degree of market price observability and therefore a lesser degree of judgment is used in measuring their fair value.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Financial instruments measured and reported at fair value are classified and disclosed based on the observability of inputs used in the determination of their fair values, as follows: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Level I – Pricing inputs are unadjusted, quoted prices in active markets for identical assets or liabilities as of the measurement date.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Level II – Pricing inputs are other than quoted prices in active markets, which are either directly or indirectly observable as of the measurement date, and fair value is determined through the use of models or other valuation methodologies. The types of financial instruments classified in this category include less liquid securities traded in active markets and securities traded in other than active markets.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Level III – Pricing inputs are unobservable for the financial instruments and include situations where there is little, if any, market activity for the financial instrument. The inputs into the determination of fair value require significant management judgment or estimation.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certain cases, the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The Company’s assessment of the significance of a particular input to the fair value measurement in its entirety requires judgment and consideration of factors specific to the financial instrument.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availability of observable inputs can vary depending on the financial asset or liability and is affected by a wide variety of factors including, for example, the type of instrument, whether the instrument has recently been issued, whether the instrument is traded on an active exchange or in the secondary market, and current market conditions. To the extent that valuation is based on models or inputs that are less observable or unobservable in the market, the determination of fair value requires more judgment. Accordingly, the degree of judgment exercised in determining fair value is greatest for financial instruments categorized in Level III. The variability and availability of the observable inputs affected by the factors described above may result in transfers between Levels I, II, and III.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considers its cash, cash equivalents, restricted cash, fees and accounts receivable, accounts payable, investments, notes payable, and revolving credit facility to be financial instruments. The carrying amounts of cash, cash equivalents, restricted cash, fees and accounts receivable and accounts payable equal or approximate their fair values due to their nature and/or the relatively short period over which they are held. See note 8 for additional details regarding the fair value of the Company’s notes payable and revolving credit facility balances.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Restricted Cash</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Restricted cash consists of cash that the Company is contractually obligated to maintain to secure its letters of credit used primarily related to its office facilities and other obligations.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Cash and Cash Equivalents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Cash and cash equivalents held at the Consolidated Funds consist of cash and cash equivalents held by the Consolidated Funds, which, although not legally restricted, is not available to fund the general liquidity needs of the Company.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Investments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Investments primarily include the Company’s ownership interests in the StepStone Funds, as general partner or managing member of such funds. The Company accounts for all investments in which it has or is otherwise presumed to have significant influence, but not control, including the StepStone Funds, using the equity method of accounting. The carrying value of these equity method investments is determined based on amounts invested by the Company, adjusted for the Company’s share in the earnings or losses of each investee, after consideration of contractual arrangements that govern allocations of income or loss (including carried interest allocations), less distributions received. Investments include the Company’s cumulative accrued carried interest allocations from the StepStone Funds, which primarily represent performance-based capital allocations, assuming the StepStone Funds were liquidated as of each reporting date in accordance with the funds’ governing documents. Legacy Greenspring investments in funds and accrued carried interest allocations represent the economic interests held by the legacy Greenspring general partner entities in certain funds for which the Company does not have any direct economic interests. All of the economics in respect of such interests are payable to employees and are therefore reflected as non-controlling interests in legacy Greenspring entities and legacy Greenspring performance fee-related compensation. The Company evaluates its equity method investments for impairment whenever events or changes in circumstances indicate that the carrying amounts of such investments may not be recoverable.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Investments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Consolidated Funds are investment companies under GAAP and reflect their investments at estimated fair value. The Company has retained the specialized investment company accounting for the Consolidated Funds under GAAP. Investments of the Consolidated Funds are recorded at fair value and the unrealized appreciation (depreciation) in fair value is recognized in the condensed consolidated statements of income (loss). In addition, the Consolidated Funds do not consolidate their majority-owned and controlled investments in underlying portfolio companies.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Leases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determines whether an arrangement contains a lease at inception of the arrangement. A lease is a contract that provides the right to control an identified asset for a period of time in exchange for consideration. For identified leases, the Company determines the classification as either an operating or finance lease. The Company’s identified leases primarily consist of operating lease agreements for office space and certain equipment, as the lessee. Operating leases are included in lease right-of-use-assets, net and lease liabilities in the condensed consolidated balance sheets. Certain leases include lease and non-lease components, which the Company accounts for as a single lease component. Lease right-of-use (“ROU”) assets and lease liabilities are measured based on the present value of future minimum lease payments over the lease term at the commencement date. Lease ROU assets include initial direct costs incurred by the Company and are presented net of deferred rent and lease incentives. The Company uses its incremental borrowing rate in determining the present value of future minimum lease payments. The Company’s lease terms may include options to extend or terminate the lease, which are included in the measurement of ROU assets and lease liabilities when it is reasonably certain that the Company will exercise those options.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Operating lease expense associated with minimum lease payments is recognized on a straight-line basis over the lease term in general, administrative and other expenses in the condensed consolidated statements of income (loss). Minimum lease payments for leases with an initial term of twelve months or less are not recorded in the condensed consolidated balance sheets. See note 14 for more information.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Intangibles and Goodwill</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finite-lived intangible assets consist of acquired contractual rights to earn future management and advisory fee income and client relationships. Finite-lived intangible assets are amortized over their estimated useful lives, which is 10 years. The Company did not have any intangible assets that were deemed to have an indefinite life as of June 30, 2026.</w:t>
      </w:r>
    </w:p>
    <w:p>
      <w:pPr>
        <w:pStyle w:val="TextBody"/>
        <w:bidi w:val="0"/>
        <w:spacing w:lineRule="auto" w:line="288" w:before="0" w:after="240"/>
        <w:ind w:left="0" w:right="0" w:firstLine="720"/>
        <w:jc w:val="left"/>
        <w:rPr>
          <w:rFonts w:ascii="Times New Roman;serif" w:hAnsi="Times New Roman;serif"/>
          <w:b w:val="false"/>
          <w:color w:val="000000"/>
          <w:sz w:val="22"/>
          <w:shd w:fill="FFFFFF" w:val="clear"/>
        </w:rPr>
      </w:pPr>
      <w:r>
        <w:rPr>
          <w:rFonts w:ascii="Times New Roman;serif" w:hAnsi="Times New Roman;serif"/>
          <w:b w:val="false"/>
          <w:color w:val="000000"/>
          <w:sz w:val="22"/>
          <w:shd w:fill="FFFFFF" w:val="clear"/>
        </w:rPr>
        <w:t>Finite-lived intangible assets are reviewed for impairment whenever events or changes in circumstances indicate that the carrying amount of the asset may not be recoverable. There were no impairment charges related to the Company’s finite-lived intangible assets during the three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19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color w:val="000000"/>
          <w:sz w:val="22"/>
          <w:shd w:fill="FFFFFF" w:val="clear"/>
        </w:rPr>
        <w:t>Goodwill represents the excess amount of consideration transferred in a business combination above the fair value of the identifiable net assets</w:t>
      </w:r>
      <w:r>
        <w:rPr>
          <w:rFonts w:ascii="Times New Roman;serif" w:hAnsi="Times New Roman;serif"/>
          <w:b w:val="false"/>
          <w:color w:val="000000"/>
          <w:sz w:val="22"/>
        </w:rPr>
        <w:t>. Goodwill is assessed for impairment at least annually using a qualitative and, if necessary, a quantitative approach. The Company performs its annual goodwill impairment test as of January 1, or more frequently, if events and circumstances indicate that an impairment may exist. Goodwill is tested for impairment at the reporting unit level. The initial assessment for impairment under the qualitative approach is to determine whether it is more likely than not that the fair value of a reporting unit is less than its carrying amount, including goodwill. If the qualitative assessment indicates that it is more likely than not that the fair value of a reporting unit is less than the carrying amount, a quantitative assessment is performed to measure the amount of impairment loss, if any. The quantitative assessment includes comparing the fair value of a reporting unit with its carrying amount, including goodwill. If the carrying amount of the reporting unit exceeds its fair value, an impairment loss is recognized equal to the lesser of (a) the difference between the carrying amount of the reporting unit and its fair value and (b) the total carrying amount of the reporting unit’s goodwill.</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Company recognizes revenue in accordance with Accounting Standards Codification Topic 606 (“ASC 606”), </w:t>
      </w:r>
      <w:r>
        <w:rPr>
          <w:rFonts w:ascii="Times New Roman;serif" w:hAnsi="Times New Roman;serif"/>
          <w:b w:val="false"/>
          <w:i/>
          <w:color w:val="000000"/>
          <w:sz w:val="22"/>
        </w:rPr>
        <w:t>Revenue from Contracts with Customers</w:t>
      </w:r>
      <w:r>
        <w:rPr>
          <w:rFonts w:ascii="Times New Roman;serif" w:hAnsi="Times New Roman;serif"/>
          <w:b w:val="false"/>
          <w:color w:val="000000"/>
          <w:sz w:val="22"/>
        </w:rPr>
        <w:t xml:space="preserve">. Revenue is recognized in a manner that depicts the transfer of promised goods or services to customers and for an amount that reflects the consideration to which the Company expects to be entitled in exchange for those goods or services. The application of ASC 606 requires an entity to identify its contract(s) with a customer, identify the performance obligations in a contract, determine the transaction price, allocate the transaction price to the performance obligations in the contract and recognize revenue when (or as) the entity satisfies a performance obligation. In determining the transaction price, variable consideration is included only to the extent that it is probable that a significant reversal in the amount of cumulative revenue recognized would not occur when the uncertainty associated with the variable consideration is resolved. The Company has elected to apply the variable consideration allocation exception for its fee arrangements with its customers. </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Management and Advisory Fees, Net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earns management fees for services provided to its SMAs and focused commingled funds. The Company earns advisory fees for services provided to advisory clients where the Company does not have discretion over investment decisions. The Company considers its performance obligations in its customer contracts from which it earns management and advisory fees to be one or more of the following, based on the services promised: asset management services, advisory services and/or the arrangement of administrative services. Management fees include income-based incentive fees, which are based on net investment income of certain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recognizes revenues from asset management services and advisory services when control of the promised services is transferred to customers, in an amount that reflects the consideration that the Company expects to receive in exchange for those services. SMAs are generally contractual arrangements involving an investment management agreement between the Company and a single client, and are typically structured as a partnership or limited liability company for which a subsidiary of SSG serves as the general partner or managing member. Focused commingled funds are structured as limited partnerships or limited liability companies with multiple clients, for which a subsidiary of the Company serves as the general partner or managing member. The Company determined that the individual client or single limited partner or member is the customer with respect to SMAs and advisory clients. Based on certain facts and circumstances specific to each individual fund structure, the Company has determined that for accounting purposes, either the StepStone Fund or the individual investors in the fund may be considered to be the customer for arrangements with focused commingled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60655"/>
                <wp:effectExtent l="0" t="0" r="0" b="0"/>
                <wp:wrapNone/>
                <wp:docPr id="20" name="Frame2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When asset management services and the arrangement of administrative services are the performance obligations promised in a contract, the Company satisfies these performance obligations over time because the customer simultaneously receives and consumes the benefits of the services as they are performed. The transaction price is the amount of consideration to which the Company expects to be entitled in exchange for transferring the promised services to the customer. Management fees earned from these contracts where the Company has discretion over investment decisions are generally calculated based on a percentage of unaffiliated committed capital or net invested capital, and these amounts are typically billed quarterly. For certain investment funds, management fees are initially based on committed capital during the investment period and on net invested capital through the remainder of the fund’s term. In addition, the management fee rate charged may also be reduced for certain investment funds depending on the contractual arrangement. The management fee basis is subject to factors outside of the Company’s control. Therefore, estimates of future period management fees are not included in the transaction price because those estimates would be considered constrained. Advisory fees from contracts where the Company does not have discretion over investment decisions are generally based on fixed amounts and typically billed quarterly.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Management fees generally exclude reimbursements for expenses paid by the Company on behalf of its customers, including amounts related to certain professional fees and other fund administrative expenses pursuant to the fund’s governing documents. For professional and administrative services that the Company arranges to be performed by third parties on behalf of investment funds, management has concluded that the nature of its promise is to arrange for the services to be provided and, accordingly, the Company does not control the services provided by the third parties before they are transferred to the customer. Therefore, the Company is acting as an agent, and the reimbursements for these professional fees paid on behalf of the investment funds are generally presented on a net basis.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and certain investment funds that it manages have distribution and service agreements with third-party financial institutions, whereby the Company pays a portion of the fees it receives to such institutions for ongoing distribution and servicing of customer accounts. Management has concluded that the Company does not act as principal for the third-party services, as the Company does not control the services provided by the third parties before they are transferred to the customer. Therefore, the Company is acting as an agent, and the management fees are recorded net of these service fees.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may incur certain costs in connection with satisfying its performance obligations for investment management services – primarily employee travel costs – for which it receives reimbursements from its customers. For reimbursable employee travel costs, the Company concluded it controls the services provided by its employees and, therefore, is acting as principal. Accordingly, the Company records the reimbursement for these costs incurred on a gross basis – that is, as revenue in management and advisory fees, net and expense in general, administrative and other expenses in the condensed consolidated statements of income (loss). For reimbursable costs incurred in connection with satisfying its performance obligations for administration services, the Company concluded it does not control the services provided by other third parties and, therefore, is acting as agent. Accordingly, the Company records the reimbursement for these costs incurred on a net basis.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Performance Fees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earns two types of performance fee revenues: incentive fees and carried interest allocations,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60655"/>
                <wp:effectExtent l="0" t="0" r="0" b="0"/>
                <wp:wrapNone/>
                <wp:docPr id="21" name="Frame2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Incentive fees</w:t>
      </w:r>
      <w:r>
        <w:rPr>
          <w:color w:val="000000"/>
        </w:rPr>
        <w:t xml:space="preserve"> </w:t>
      </w:r>
      <w:r>
        <w:rPr>
          <w:rFonts w:ascii="Times New Roman;serif" w:hAnsi="Times New Roman;serif"/>
          <w:b w:val="false"/>
          <w:color w:val="000000"/>
          <w:sz w:val="22"/>
        </w:rPr>
        <w:t>are generally calculated as a percentage of the profits (up to 15%) earned in respect of certain accounts, including certain permanent capital vehicles, for which the Company is the investment adviser, subject to the achievement of minimum return levels or performance benchmarks. Incentive fees are a form of variable consideration and represent contractual fee arrangements in the Company’s contracts with its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recognizes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Carried interest allocations</w:t>
      </w:r>
      <w:r>
        <w:rPr>
          <w:color w:val="000000"/>
        </w:rPr>
        <w:t xml:space="preserve"> </w:t>
      </w:r>
      <w:r>
        <w:rPr>
          <w:rFonts w:ascii="Times New Roman;serif" w:hAnsi="Times New Roman;serif"/>
          <w:b w:val="false"/>
          <w:color w:val="000000"/>
          <w:sz w:val="22"/>
        </w:rPr>
        <w:t>include the allocation of performance-based fees, commonly referred to as carried interest, to the Company from unaffiliated limited partners in the StepStone Funds in which the Company holds an equity interest. The Company is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each respective fund’s governing documents. The Company accounts for its investment balances in the StepStone Funds, including carried interest allocations, under the equity method of accounting because it is presumed to have significant influence as the general partner or managing member. Accordingly, carried interest allocations are not deemed to be within the scope of ASC 606.</w:t>
      </w:r>
    </w:p>
    <w:p>
      <w:pPr>
        <w:pStyle w:val="TextBody"/>
        <w:bidi w:val="0"/>
        <w:spacing w:lineRule="auto" w:line="288" w:before="0" w:after="240"/>
        <w:ind w:left="0" w:right="0" w:firstLine="720"/>
        <w:jc w:val="left"/>
        <w:rPr/>
      </w:pPr>
      <w:r>
        <w:rPr>
          <w:rFonts w:ascii="Times New Roman;serif" w:hAnsi="Times New Roman;serif"/>
          <w:b w:val="false"/>
          <w:i/>
          <w:color w:val="231F20"/>
          <w:sz w:val="22"/>
        </w:rPr>
        <w:t>Legacy Greenspring carried interest allocations</w:t>
      </w:r>
      <w:r>
        <w:rPr>
          <w:color w:val="231F20"/>
        </w:rPr>
        <w:t xml:space="preserve"> </w:t>
      </w:r>
      <w:r>
        <w:rPr>
          <w:rFonts w:ascii="Times New Roman;serif" w:hAnsi="Times New Roman;serif"/>
          <w:b w:val="false"/>
          <w:color w:val="231F20"/>
          <w:sz w:val="22"/>
        </w:rPr>
        <w:t xml:space="preserve">reflect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The Company accounts for the investment balances in the legacy Greenspring funds, including carried interest allocations, under the equity method of accounting </w:t>
      </w:r>
      <w:r>
        <w:rPr>
          <w:rFonts w:ascii="Times New Roman;serif" w:hAnsi="Times New Roman;serif"/>
          <w:b w:val="false"/>
          <w:color w:val="000000"/>
          <w:sz w:val="22"/>
        </w:rPr>
        <w:t>because it is presumed to have significant influence as the general partner or managing member</w:t>
      </w:r>
      <w:r>
        <w:rPr>
          <w:rFonts w:ascii="Times New Roman;serif" w:hAnsi="Times New Roman;serif"/>
          <w:b w:val="false"/>
          <w:color w:val="231F20"/>
          <w:sz w:val="22"/>
        </w:rPr>
        <w:t xml:space="preserve">. </w:t>
      </w:r>
      <w:r>
        <w:rPr>
          <w:rFonts w:ascii="Times New Roman;serif" w:hAnsi="Times New Roman;serif"/>
          <w:b w:val="false"/>
          <w:color w:val="000000"/>
          <w:sz w:val="22"/>
        </w:rPr>
        <w:t xml:space="preserve">Accordingly, legacy Greenspring carried interest allocations are not deemed to be within the scope of ASC 606. </w:t>
      </w:r>
      <w:r>
        <w:rPr>
          <w:rFonts w:ascii="Times New Roman;serif" w:hAnsi="Times New Roman;serif"/>
          <w:b w:val="false"/>
          <w:color w:val="231F20"/>
          <w:sz w:val="22"/>
        </w:rPr>
        <w:t>The Company does not hold any direct economic interests in the legacy Greenspring general partner entities and thus is not entitled to any carried interest allocation from the legacy funds. All of the carried interest allocations in respect of the legacy Greenspring funds are payable to employees who are considered affiliates of the Company and are therefore reflected as legacy Greenspring performance fee-related compensation in the condensed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60655"/>
                <wp:effectExtent l="0" t="0" r="0" b="0"/>
                <wp:wrapNone/>
                <wp:docPr id="22" name="Frame2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recognizes revenue attributable to carried interest allocations from a fund based on the amount that would be due to the Company pursuant to the fund’s governing documents, assuming the fund was liquidated based on the current fair value of its underlying investments as of that date. Accordingly, the amount recognized as carried interest allocation revenue reflects the Company’s share of the gains and losses of the associated fund’s underlying investments measured at their then-fair values, relative to the fair values as of the end of the prior period. The Company records the amount of carried interest allocated to the Company as of each period end as accrued carried interest allocations receivable, which is included as a component of investments in the condensed consolidated balance sheets. Management’s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 average cost of capital, exit multiples, or terminal growth rates.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the Company based on cumulative results. As such, a liability is accrued for potential clawback obligations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w:t>
      </w:r>
      <w:r>
        <w:rPr>
          <w:color w:val="231F20"/>
        </w:rPr>
        <w:t xml:space="preserve"> </w:t>
      </w:r>
      <w:r>
        <w:rPr>
          <w:rFonts w:ascii="Times New Roman;serif" w:hAnsi="Times New Roman;serif"/>
          <w:b w:val="false"/>
          <w:color w:val="000000"/>
          <w:sz w:val="22"/>
        </w:rPr>
        <w:t>As of June 30, 2026 and March 31, 2026, no material amounts for potential clawback obligations had been accrued.</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Compensation and Benefits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Cash-based compensation</w:t>
      </w:r>
      <w:r>
        <w:rPr>
          <w:color w:val="000000"/>
        </w:rPr>
        <w:t xml:space="preserve"> </w:t>
      </w:r>
      <w:r>
        <w:rPr>
          <w:rFonts w:ascii="Times New Roman;serif" w:hAnsi="Times New Roman;serif"/>
          <w:b w:val="false"/>
          <w:color w:val="000000"/>
          <w:sz w:val="22"/>
        </w:rPr>
        <w:t>expense primarily includes salaries, bonuses, employee benefits, cash-based incentive awards and employer-related payroll taxes. Bonuses are accrued over the service period in which they are earned. Expense for cash-based incentive awards granted to employees is recognized and adjusted to fair value over the vesting period to track the performance for one of the Company’s designated investment funds. During fiscal 2025, the Company adopted the StepStone Group LP Evergreen Fund Incentive Plan, under which grants of share unit (“Evergreen Fund Units”) awards entitle the holder to receive shares of one of the Company’s evergreen investment funds, or the cash value thereof, following vesting. The Evergreen Fund Units are accounted for as cash-based incentive awards. During the years ended March 31, 2026 and 2025, the Company granted Evergreen Fund Unit awards valued at $0.7 million and $2.0 million, respectively, to certain employees of the Company which vest over four years in equal installments subject to continued service through the vesting date. The Company recognized $0.2 million and $0.1 million of expense related to cash-based incentive awards for the three months ended June 30, 2026 and 2025,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sponsors a nonqualified deferred cash compensation plan under which eligible employees elect to defer a portion of their cash-based compensation to be payable at a future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deferred compensation liability is remeasured at fair value at each reporting date. Changes in the fair value of the liability are recognized in cash-based compensation in the consolidated statements of income (loss) and presented within accrued compensation and benefits within the consolidated balance sheets. The Company recognized $(0.1) million of expense related to changes in the fair value of the deferred compensation liability for the three months ended June 30, 2026. There was no expense recognized for the three months ended June 30, 2025. The plan represents a general unsecured obligation of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60655"/>
                <wp:effectExtent l="0" t="0" r="0" b="0"/>
                <wp:wrapNone/>
                <wp:docPr id="23" name="Frame2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Equity-based compensation</w:t>
      </w:r>
      <w:r>
        <w:rPr>
          <w:color w:val="000000"/>
        </w:rPr>
        <w:t xml:space="preserve"> </w:t>
      </w:r>
      <w:r>
        <w:rPr>
          <w:rFonts w:ascii="Times New Roman;serif" w:hAnsi="Times New Roman;serif"/>
          <w:b w:val="false"/>
          <w:color w:val="000000"/>
          <w:sz w:val="22"/>
        </w:rPr>
        <w:t>represents grants of equity-based awards or arrangements to certain employees and directors. The Company accounts for grants of equity-based awards, including service-based restricted stock units (“RSUs”) and performance-based RSUs (or “PRSUs”), to certain employees and directors at fair value as of the grant date. The Company recognizes non-cash compensation expense attributable to these grants on a straight-line basis over the requisite service and performance period, which is generally the vesting period. Expense related to grants of PRSUs is recognized if it is probable that the performance condition will be satisfied. Expense related to grants of equity-based awards is recognized as equity-based compensation expense in the condensed consolidated statements of income (loss). The fair value of RSUs and PRSUs is determined by the closing stock price on the grant date. Forfeitures of equity-based awards are recognized as they occur. Awards classified as liabilities are remeasured at the end of each reporting period until settlement. Equity-based compensation cost for the employee stock purchase plan (“ESPP”) is measured as the discount the employee receives upon purchase of shares and the option value of a share when the offering contains a look-back option feature. See note 9 for additional information regarding the Company’s accounting for equity-based awards, including liability classified awards.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Income Taxes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SSG is a corporation for U.S. federal income tax purposes and therefore is subject to U.S. federal and state income taxes on its share of taxable income generated by the Partnership. The Partnership is treated as a pass-through entity for U.S. federal and state income tax purposes. As such, income generated by the Partnership flows through to its limited partners, including SSG, and is generally not subject to U.S. federal or state income tax at the Partnership level. The Partnership’s non-U.S. subsidiaries generally operate as corporate entities in non-U.S. jurisdictions, with certain of these entities subject to non-U.S. income taxes. Additionally, certain subsidiaries are subject to local jurisdiction taxes at the entity level, which are reflected within income tax expense in the condensed consolidated statements of income (loss). As a result, the Partnership does not record U.S. federal and state income taxes on income in the Partnership or its subsidiaries, except for certain local and foreign income taxes discussed above.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Taxes are accounted for using the asset and liability method of accounting. Under this method, deferred tax assets and liabilities are recognized for the expected future tax consequences of differences between the carrying amounts of assets and liabilities and their respective tax bases, using tax rates in effect for the year in which the differences are expected to reverse. The effect of a change in tax rates on deferred tax assets and liabilities is recognized in income in the period when the change is enacted. Deferred tax liabilities are included within accounts payable, accrued expenses and other liabilities in the condensed consolidated balance sheets. The principal items giving rise to temporary differences are certain basis differences resulting from exchanges of Partnership units. See Tax Receivable Agreements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Deferred tax assets are reduced by a valuation allowance when it is more-likely-than-not that some portion or all of the deferred tax assets will not be realized. The realization of deferred tax assets is dependent on the amount, timing and character of the Company’s future taxable income. When evaluating the realizability of deferred tax assets, all evidence – both positive and negative – is considered. This evidence includes, but is not limited to, expectations regarding future earnings, future reversals of existing temporary tax differences and tax planning strategies.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60655"/>
                <wp:effectExtent l="0" t="0" r="0" b="0"/>
                <wp:wrapNone/>
                <wp:docPr id="24" name="Frame2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Company is subject to the provisions of ASC Subtopic 740-10, </w:t>
      </w:r>
      <w:r>
        <w:rPr>
          <w:rFonts w:ascii="Times New Roman;serif" w:hAnsi="Times New Roman;serif"/>
          <w:b w:val="false"/>
          <w:i/>
          <w:color w:val="000000"/>
          <w:sz w:val="22"/>
        </w:rPr>
        <w:t>Accounting for Uncertainty in Income Taxes</w:t>
      </w:r>
      <w:r>
        <w:rPr>
          <w:rFonts w:ascii="Times New Roman;serif" w:hAnsi="Times New Roman;serif"/>
          <w:b w:val="false"/>
          <w:color w:val="000000"/>
          <w:sz w:val="22"/>
        </w:rPr>
        <w:t>. This standard establishes consistent thresholds as it relates to accounting for income taxes. It defines the threshold for recognizing the benefits of tax return positions in the financial statements as more-likely-than-not to be sustained by the relevant taxing authority and requires measurement of a tax position meeting the more-likely-than-not criterion, based on the largest benefit that is more than 50% likely to be realized. If upon performance of an assessment pursuant to this subtopic, management determines that uncertainties in tax positions exist that do not meet the minimum threshold for recognition of the related tax benefit, a liability is recorded in the condensed consolidated financial statements. The Company recognizes interest and penalties, if any, related to unrecognized tax benefits as interest expense and general, administrative and other expenses, respectively, in the condensed consolidated statements of income (loss). See note 10 for more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elected to account for global intangible low-taxed income (“GILTI”) earned by foreign subsidiaries in the period the tax is incurred.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Tax laws are complex and subject to different interpretations by the taxpayer and respective governmental taxing authorities. Significant judgment is required in determining tax expense and in evaluating tax positions, including evaluating uncertainties under GAAP. The Company reviews its tax positions quarterly and adjusts its tax balances as new information becomes available.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Tax Receivable Agreements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Tax Receivable Agreements provide for payment by SSG to the Class B limited partners, Class C limited partners, Class D limited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 See note 13 for more information.</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Accumulated Other Comprehensive Income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accumulated other comprehensive income consists of foreign currency translation adjustments and unrealized gains and losses on the defined benefit plan sponsored by one of its subsidiaries. The components of accumulated other comprehensive income were as follows:</w:t>
      </w:r>
    </w:p>
    <w:tbl>
      <w:tblPr>
        <w:tblW w:w="6504" w:type="dxa"/>
        <w:jc w:val="left"/>
        <w:tblInd w:w="0" w:type="dxa"/>
        <w:tblLayout w:type="fixed"/>
        <w:tblCellMar>
          <w:top w:w="28" w:type="dxa"/>
          <w:left w:w="28" w:type="dxa"/>
          <w:bottom w:w="28" w:type="dxa"/>
          <w:right w:w="28" w:type="dxa"/>
        </w:tblCellMar>
      </w:tblPr>
      <w:tblGrid>
        <w:gridCol w:w="1336"/>
        <w:gridCol w:w="1175"/>
        <w:gridCol w:w="1178"/>
        <w:gridCol w:w="260"/>
        <w:gridCol w:w="760"/>
        <w:gridCol w:w="134"/>
        <w:gridCol w:w="109"/>
        <w:gridCol w:w="109"/>
        <w:gridCol w:w="109"/>
        <w:gridCol w:w="287"/>
        <w:gridCol w:w="838"/>
        <w:gridCol w:w="209"/>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defined benefit plan, net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1,143 </w:t>
            </w:r>
          </w:p>
        </w:tc>
        <w:tc>
          <w:tcPr>
            <w:tcW w:w="2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Segments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See note 15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60655"/>
                <wp:effectExtent l="0" t="0" r="0" b="0"/>
                <wp:wrapNone/>
                <wp:docPr id="25" name="Frame2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Recent Accounting Pronouncements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considers the applicability and impact of all Accounting Standards Updates (“ASU”) issued by the Financial Accounting Standards Board (“FASB”). ASUs issued during the current period not listed below were assessed and determined to either be not applicable to the Company, or not expected to have a material impact on the condensed consolidated financial statements.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In November 2024, the FASB issued ASU 2024-03,</w:t>
      </w:r>
      <w:r>
        <w:rPr>
          <w:color w:val="000000"/>
        </w:rPr>
        <w:t xml:space="preserve"> </w:t>
      </w:r>
      <w:r>
        <w:rPr>
          <w:rFonts w:ascii="Times New Roman;serif" w:hAnsi="Times New Roman;serif"/>
          <w:b w:val="false"/>
          <w:i/>
          <w:color w:val="000000"/>
          <w:sz w:val="22"/>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22"/>
        </w:rPr>
        <w:t>which amends current guidance to add requirements for disaggregation of certain costs and expenses included within relevant expense captions. The update also requires the separate disclosure of total selling costs. The amendments are effective for annual reporting periods beginning after December 15, 2026, and interim reporting periods beginning after December 15, 2027, with early adoption permitted. The Company is currently evaluating the impact on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3.    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presents revenues disaggregated by product offering, which aligns with the Company’s performance obligations and the basis for calculating each amount:</w:t>
      </w:r>
    </w:p>
    <w:tbl>
      <w:tblPr>
        <w:tblW w:w="6534" w:type="dxa"/>
        <w:jc w:val="left"/>
        <w:tblInd w:w="0" w:type="dxa"/>
        <w:tblLayout w:type="fixed"/>
        <w:tblCellMar>
          <w:top w:w="28" w:type="dxa"/>
          <w:left w:w="28" w:type="dxa"/>
          <w:bottom w:w="28" w:type="dxa"/>
          <w:right w:w="28" w:type="dxa"/>
        </w:tblCellMar>
      </w:tblPr>
      <w:tblGrid>
        <w:gridCol w:w="1244"/>
        <w:gridCol w:w="1093"/>
        <w:gridCol w:w="1097"/>
        <w:gridCol w:w="211"/>
        <w:gridCol w:w="826"/>
        <w:gridCol w:w="109"/>
        <w:gridCol w:w="109"/>
        <w:gridCol w:w="109"/>
        <w:gridCol w:w="109"/>
        <w:gridCol w:w="211"/>
        <w:gridCol w:w="826"/>
        <w:gridCol w:w="109"/>
        <w:gridCol w:w="109"/>
        <w:gridCol w:w="109"/>
        <w:gridCol w:w="109"/>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Management and Advisory Fees, Net</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Focused commingled funds</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170,841 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Advisory and other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 reimbursement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management and advisory fees, net</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income-based incentive fees of $7.0 million and $4.4 million for the three months ended June 30, 2026 and 2025, respectively.</w:t>
      </w:r>
    </w:p>
    <w:tbl>
      <w:tblPr>
        <w:tblW w:w="5275" w:type="dxa"/>
        <w:jc w:val="left"/>
        <w:tblInd w:w="0" w:type="dxa"/>
        <w:tblLayout w:type="fixed"/>
        <w:tblCellMar>
          <w:top w:w="28" w:type="dxa"/>
          <w:left w:w="28" w:type="dxa"/>
          <w:bottom w:w="28" w:type="dxa"/>
          <w:right w:w="28" w:type="dxa"/>
        </w:tblCellMar>
      </w:tblPr>
      <w:tblGrid>
        <w:gridCol w:w="852"/>
        <w:gridCol w:w="750"/>
        <w:gridCol w:w="753"/>
        <w:gridCol w:w="280"/>
        <w:gridCol w:w="540"/>
        <w:gridCol w:w="144"/>
        <w:gridCol w:w="144"/>
        <w:gridCol w:w="144"/>
        <w:gridCol w:w="144"/>
        <w:gridCol w:w="280"/>
        <w:gridCol w:w="619"/>
        <w:gridCol w:w="144"/>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Incentive Fees</w:t>
            </w:r>
          </w:p>
        </w:tc>
        <w:tc>
          <w:tcPr>
            <w:tcW w:w="9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Focused commingled funds</w:t>
            </w:r>
          </w:p>
        </w:tc>
        <w:tc>
          <w:tcPr>
            <w:tcW w:w="8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incentive fees</w:t>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814" w:type="dxa"/>
        <w:jc w:val="left"/>
        <w:tblInd w:w="0" w:type="dxa"/>
        <w:tblLayout w:type="fixed"/>
        <w:tblCellMar>
          <w:top w:w="28" w:type="dxa"/>
          <w:left w:w="28" w:type="dxa"/>
          <w:bottom w:w="28" w:type="dxa"/>
          <w:right w:w="28" w:type="dxa"/>
        </w:tblCellMar>
      </w:tblPr>
      <w:tblGrid>
        <w:gridCol w:w="993"/>
        <w:gridCol w:w="873"/>
        <w:gridCol w:w="878"/>
        <w:gridCol w:w="211"/>
        <w:gridCol w:w="796"/>
        <w:gridCol w:w="109"/>
        <w:gridCol w:w="109"/>
        <w:gridCol w:w="109"/>
        <w:gridCol w:w="109"/>
        <w:gridCol w:w="211"/>
        <w:gridCol w:w="826"/>
        <w:gridCol w:w="109"/>
        <w:gridCol w:w="109"/>
        <w:gridCol w:w="109"/>
        <w:gridCol w:w="109"/>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Carried Interest Allocations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Focused commingled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carried interest allocations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60655"/>
                <wp:effectExtent l="0" t="0" r="0" b="0"/>
                <wp:wrapNone/>
                <wp:docPr id="26" name="Frame2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tbl>
      <w:tblPr>
        <w:tblW w:w="7452" w:type="dxa"/>
        <w:jc w:val="left"/>
        <w:tblInd w:w="0" w:type="dxa"/>
        <w:tblLayout w:type="fixed"/>
        <w:tblCellMar>
          <w:top w:w="28" w:type="dxa"/>
          <w:left w:w="28" w:type="dxa"/>
          <w:bottom w:w="28" w:type="dxa"/>
          <w:right w:w="28" w:type="dxa"/>
        </w:tblCellMar>
      </w:tblPr>
      <w:tblGrid>
        <w:gridCol w:w="1642"/>
        <w:gridCol w:w="1440"/>
        <w:gridCol w:w="1447"/>
        <w:gridCol w:w="214"/>
        <w:gridCol w:w="732"/>
        <w:gridCol w:w="110"/>
        <w:gridCol w:w="110"/>
        <w:gridCol w:w="110"/>
        <w:gridCol w:w="110"/>
        <w:gridCol w:w="214"/>
        <w:gridCol w:w="732"/>
        <w:gridCol w:w="110"/>
        <w:gridCol w:w="109"/>
        <w:gridCol w:w="109"/>
        <w:gridCol w:w="109"/>
        <w:gridCol w:w="154"/>
      </w:tblGrid>
      <w:tr>
        <w:trPr/>
        <w:tc>
          <w:tcPr>
            <w:tcW w:w="1642"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Legacy Greenspring Carried Interest Allocations</w:t>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SMAs</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Focused commingled funds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legacy Greenspring carried interest allocations</w:t>
            </w:r>
            <w:r>
              <w:rPr>
                <w:rFonts w:ascii="Times New Roman;serif" w:hAnsi="Times New Roman;serif"/>
                <w:b w:val="false"/>
                <w:color w:val="000000"/>
                <w:sz w:val="13"/>
              </w:rPr>
              <w:t>(1)</w:t>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37,171 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39,637 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three months ended June 30, 2026 and 2025 reflect the net effect of gross realized carried interest allocations of $0.6 million and $4.9 million, respectively, and the reversal of such amounts in unrealized carried interest allocations for such periods.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See note 5 for a discussion of changes in carried interest allocations and legacy Greenspring carried interest allocations.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derives revenues from clients located in both the United States and other countries. The table below presents the Company’s revenues by geographic location:</w:t>
      </w:r>
    </w:p>
    <w:tbl>
      <w:tblPr>
        <w:tblW w:w="4750" w:type="dxa"/>
        <w:jc w:val="left"/>
        <w:tblInd w:w="0" w:type="dxa"/>
        <w:tblLayout w:type="fixed"/>
        <w:tblCellMar>
          <w:top w:w="28" w:type="dxa"/>
          <w:left w:w="28" w:type="dxa"/>
          <w:bottom w:w="28" w:type="dxa"/>
          <w:right w:w="28" w:type="dxa"/>
        </w:tblCellMar>
      </w:tblPr>
      <w:tblGrid>
        <w:gridCol w:w="597"/>
        <w:gridCol w:w="526"/>
        <w:gridCol w:w="527"/>
        <w:gridCol w:w="211"/>
        <w:gridCol w:w="826"/>
        <w:gridCol w:w="109"/>
        <w:gridCol w:w="109"/>
        <w:gridCol w:w="109"/>
        <w:gridCol w:w="109"/>
        <w:gridCol w:w="211"/>
        <w:gridCol w:w="826"/>
        <w:gridCol w:w="109"/>
        <w:gridCol w:w="109"/>
        <w:gridCol w:w="109"/>
        <w:gridCol w:w="109"/>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Revenues</w:t>
            </w:r>
            <w:r>
              <w:rPr>
                <w:rFonts w:ascii="Times New Roman;serif" w:hAnsi="Times New Roman;serif"/>
                <w:b/>
                <w:color w:val="000000"/>
                <w:sz w:val="13"/>
              </w:rPr>
              <w:t>(1)</w:t>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Non-U.S. countries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(1)Revenues are attributed to countries based on client location for SMAs and advisory and other services, or location of investment vehicle for focused commingled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three months ended June 30, 2026 and 2025, no individual client represented 10% or more of the Company’s net management and advisory fees. There were no incentive fees for the three months ended June 30, 2026. For the three months ended June 30, 2025, one commingled fund represented 10% or more of the Company’s incentive fees.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For the three months ended June 30, 2026 and 2025, the Company had management and advisory fee revenues attributable to the United States, which represented 10% or more of the Company’s net management and advisory fees. There were no incentive fees for the three months ended June 30, 2026. For the three months ended June 30, 2025, the Company had incentive fees attributable to Luxembourg, Switzerland and Germany, each of which represented 10% or more of the Company’s incentive fees.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the Company had $24.4 million and $23.8 million, respectively, of deferred revenues, which is included in accounts payable, accrued expenses and other liabilities in the condensed consolidated balance sheets. During the three months ended June 30, 2026, the Company had recognized $2.7 million as revenue from amounts included in the deferred revenue balance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60655"/>
                <wp:effectExtent l="0" t="0" r="0" b="0"/>
                <wp:wrapNone/>
                <wp:docPr id="27" name="Frame2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4.    Variable Interest Entities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Consolidated VIEs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The Company consolidates certain VIEs for which it is the primary beneficiary. Such VIEs consist of certain operating entities not wholly-owned by the Company (e.g., SPD, SRA and SRE), SPW, legacy Greenspring general partner entities and certain StepStone Funds, including a collateralized financing entity (“CFE”) vehicle. See note 2 for more information on the Company’s accounting policies related to the consolidation of VIEs. The assets of the consolidated VIEs totaled $3,721.9 million and $2,822.5 million as of June 30, 2026 and March 31, 2026, respectively. The liabilities of the consolidated VIEs totaled $4,553.7 million and</w:t>
      </w:r>
      <w:r>
        <w:rPr>
          <w:color w:val="000000"/>
        </w:rPr>
        <w:t xml:space="preserve"> </w:t>
      </w:r>
      <w:r>
        <w:rPr>
          <w:rFonts w:ascii="Times New Roman;serif" w:hAnsi="Times New Roman;serif"/>
          <w:b w:val="false"/>
          <w:color w:val="000000"/>
          <w:sz w:val="22"/>
        </w:rPr>
        <w:t>$3,969.2 million as of June 30, 2026 and March 31, 2026,</w:t>
      </w:r>
      <w:r>
        <w:rPr>
          <w:color w:val="FF0000"/>
        </w:rPr>
        <w:t xml:space="preserve"> </w:t>
      </w:r>
      <w:r>
        <w:rPr>
          <w:rFonts w:ascii="Times New Roman;serif" w:hAnsi="Times New Roman;serif"/>
          <w:b w:val="false"/>
          <w:color w:val="000000"/>
          <w:sz w:val="22"/>
        </w:rPr>
        <w:t>respectively. The assets of the consolidated VIEs may only be used to settle obligations of the same VIE. In addition, there is no recourse to the Company for the consolidated VIEs’ liabilities, except for certain entities in which there could be a clawback of previously distributed carried interest. As of June 30, 2026 and March 31, 2026, no material amounts previously distributed have been accrued for clawback liabilities.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Unconsolidated VIEs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 as well as unfunded capital commitments to the StepStone Funds. For StepStone Funds in which the Company serves as general partner, the Company may have an obligation to make additional capital contributions. See note 14 for further information about the Company’s unfunded capital commitments to the StepStone Funds. The carrying value of the assets and liabilities recognized in the condensed consolidated balance sheets with respect to the Company’s interests in VIEs that were not consolidated is set forth below: </w:t>
      </w:r>
    </w:p>
    <w:tbl>
      <w:tblPr>
        <w:tblW w:w="9864" w:type="dxa"/>
        <w:jc w:val="left"/>
        <w:tblInd w:w="0" w:type="dxa"/>
        <w:tblLayout w:type="fixed"/>
        <w:tblCellMar>
          <w:top w:w="28" w:type="dxa"/>
          <w:left w:w="28" w:type="dxa"/>
          <w:bottom w:w="28" w:type="dxa"/>
          <w:right w:w="28" w:type="dxa"/>
        </w:tblCellMar>
      </w:tblPr>
      <w:tblGrid>
        <w:gridCol w:w="2553"/>
        <w:gridCol w:w="2245"/>
        <w:gridCol w:w="2251"/>
        <w:gridCol w:w="212"/>
        <w:gridCol w:w="833"/>
        <w:gridCol w:w="109"/>
        <w:gridCol w:w="109"/>
        <w:gridCol w:w="109"/>
        <w:gridCol w:w="109"/>
        <w:gridCol w:w="236"/>
        <w:gridCol w:w="926"/>
        <w:gridCol w:w="172"/>
      </w:tblGrid>
      <w:tr>
        <w:trPr/>
        <w:tc>
          <w:tcPr>
            <w:tcW w:w="2553"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funds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235,562 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investments in funds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affiliates, net</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attributable to non-controlling interests in subsidiaries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attributable to non-controlling interests in legacy Greenspring entities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133,590 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Maximum exposure to loss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242,973 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5.    Investments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investments consist of equity method investments primarily related to (i) investments in the StepStone Funds for which it serves as general partner or managing member but does not have a controlling financial interest and (ii) investments of Consolidated Funds. The Company’s equity interest in its equity method investments in the StepStone Funds typically does not exceed 1% in each fund. The Company’s share of the underlying net income or loss attributable to its equity interest in the funds is recorded in investment income (loss) in the condensed consolidated statements of income (loss). Investment income attributable to the Consolidated Funds is recorded in investment income of Consolidated Funds. Investment income attributable to investments in certain legacy Greenspring funds for which the Company has no direct economic interests is recorded in legacy Greenspring investment income (loss) in the condensed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60655"/>
                <wp:effectExtent l="0" t="0" r="0" b="0"/>
                <wp:wrapNone/>
                <wp:docPr id="28" name="Frame2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Equity Method Investments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equity method investments consist of the following:</w:t>
      </w:r>
    </w:p>
    <w:tbl>
      <w:tblPr>
        <w:tblW w:w="9819" w:type="dxa"/>
        <w:jc w:val="left"/>
        <w:tblInd w:w="0" w:type="dxa"/>
        <w:tblLayout w:type="fixed"/>
        <w:tblCellMar>
          <w:top w:w="28" w:type="dxa"/>
          <w:left w:w="28" w:type="dxa"/>
          <w:bottom w:w="28" w:type="dxa"/>
          <w:right w:w="28" w:type="dxa"/>
        </w:tblCellMar>
      </w:tblPr>
      <w:tblGrid>
        <w:gridCol w:w="2483"/>
        <w:gridCol w:w="2185"/>
        <w:gridCol w:w="2187"/>
        <w:gridCol w:w="211"/>
        <w:gridCol w:w="976"/>
        <w:gridCol w:w="109"/>
        <w:gridCol w:w="109"/>
        <w:gridCol w:w="109"/>
        <w:gridCol w:w="109"/>
        <w:gridCol w:w="211"/>
        <w:gridCol w:w="976"/>
        <w:gridCol w:w="154"/>
      </w:tblGrid>
      <w:tr>
        <w:trPr/>
        <w:tc>
          <w:tcPr>
            <w:tcW w:w="248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6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Investments in funds</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249,447 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carried interest allocations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2,080,443 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2,036,892 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Legacy Greenspring investments in funds and accrued carried interest allocations</w:t>
            </w:r>
            <w:r>
              <w:rPr>
                <w:rFonts w:ascii="Times New Roman;serif" w:hAnsi="Times New Roman;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752,776 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method investments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3,128,740 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3,039,115 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85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Company’s investments in funds were $362.9 million and $347.2 million as of June 30, 2026 and March 31, 2026, respectively. The consolidation of the Consolidated Funds results in the elimination of the Company’s investments in such funds.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investments in funds of $127.8 million and $133.6 million and carried interest allocations of $656.0 million and $619.2 million as of June 30, 2026 and March 31, 2026,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recognized equity method income of the following:</w:t>
      </w:r>
    </w:p>
    <w:tbl>
      <w:tblPr>
        <w:tblW w:w="7045" w:type="dxa"/>
        <w:jc w:val="left"/>
        <w:tblInd w:w="0" w:type="dxa"/>
        <w:tblLayout w:type="fixed"/>
        <w:tblCellMar>
          <w:top w:w="28" w:type="dxa"/>
          <w:left w:w="28" w:type="dxa"/>
          <w:bottom w:w="28" w:type="dxa"/>
          <w:right w:w="28" w:type="dxa"/>
        </w:tblCellMar>
      </w:tblPr>
      <w:tblGrid>
        <w:gridCol w:w="1430"/>
        <w:gridCol w:w="1256"/>
        <w:gridCol w:w="1259"/>
        <w:gridCol w:w="211"/>
        <w:gridCol w:w="826"/>
        <w:gridCol w:w="109"/>
        <w:gridCol w:w="109"/>
        <w:gridCol w:w="109"/>
        <w:gridCol w:w="109"/>
        <w:gridCol w:w="211"/>
        <w:gridCol w:w="826"/>
        <w:gridCol w:w="109"/>
        <w:gridCol w:w="109"/>
        <w:gridCol w:w="109"/>
        <w:gridCol w:w="109"/>
        <w:gridCol w:w="154"/>
      </w:tblGrid>
      <w:tr>
        <w:trPr/>
        <w:tc>
          <w:tcPr>
            <w:tcW w:w="143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Carried interest allocations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carried interest allocations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investment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method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decrease in carried interest allocations for the three months ended June 30, 2026 as compared to the three months ended June 30, 2025 was primarily attributable to lower net unrealized appreciation in the fair value of certain underlying fund investments in the Company’s private equity funds. The decrease in legacy Greenspring carried interest allocations for the three months ended June 30, 2026 as compared to the three months ended June 30, 2025 was primarily attributable to lower net unrealized appreciation in the fair value of certain underlying fund investments in the current year period as compared to the prior year period. See note 2 for a discussion of the Company’s accounting policy for investments on a three-month lag.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the Company’s investment in two and one SMAs, respectively, each individually represented 10% or more of the total accrued carried interest allocations balance, and in the aggregate represented approximately 25% and 12%, respectively, of the total accrued carried interest allocations balance as of those dates. As of June 30, 2026 and March 31, 2026, the Company’s investments in each of three commingled funds individually represented 10% or more of the total legacy Greenspring accrued carried interest allocations balance, and in the aggregate represented approximately 60% and 57%, respectively, of the total legacy Greenspring accrued carried interest allocations balances as of those 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60655"/>
                <wp:effectExtent l="0" t="0" r="0" b="0"/>
                <wp:wrapNone/>
                <wp:docPr id="29" name="Frame2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29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Of the total accrued carried interest allocations balance as of June 30, 2026 and March 31, 2026, $1,145.1 million and $1,100.6 million, respectively, were payable to affiliates and are included in accrued carried interest-related compensation in the condensed consolidated balance sheets. Of the total legacy Greenspring investments in funds and accrued carried interest allocations balance as of June 30, 2026 and March 31, 2026, $656.0 million and $619.2 million, respectively, were payable to former employees, as well as employees who are considered affiliates of the Company, and are included in legacy Greenspring accrued carried interest-related compensation in the condensed consolidated balance sheets and $127.8 million and $133.6 million, respectively, are reflected as non-controlling interests in legacy Greenspring entities in the condensed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evaluates each of its equity method investments to determine if any are considered significant as defined by the SEC. As of June 30, 2026 and March 31, 2026, no individual equity method investment held by the Company met the significance criteria. As a result, the Company is not required to provide separate financial statements for any of its equity method investments.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Investments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consolidates funds and entities when it is deemed to hold a controlling financial interest. The activity of the Consolidated Funds is reflected within the condensed consolidated financial statements.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Investments held by the Consolidated Funds are summarized below:</w:t>
      </w:r>
    </w:p>
    <w:tbl>
      <w:tblPr>
        <w:tblW w:w="10205" w:type="dxa"/>
        <w:jc w:val="left"/>
        <w:tblInd w:w="0" w:type="dxa"/>
        <w:tblLayout w:type="fixed"/>
        <w:tblCellMar>
          <w:top w:w="28" w:type="dxa"/>
          <w:left w:w="28" w:type="dxa"/>
          <w:bottom w:w="28" w:type="dxa"/>
          <w:right w:w="28" w:type="dxa"/>
        </w:tblCellMar>
      </w:tblPr>
      <w:tblGrid>
        <w:gridCol w:w="1684"/>
        <w:gridCol w:w="1479"/>
        <w:gridCol w:w="1483"/>
        <w:gridCol w:w="211"/>
        <w:gridCol w:w="976"/>
        <w:gridCol w:w="109"/>
        <w:gridCol w:w="109"/>
        <w:gridCol w:w="109"/>
        <w:gridCol w:w="109"/>
        <w:gridCol w:w="221"/>
        <w:gridCol w:w="868"/>
        <w:gridCol w:w="114"/>
        <w:gridCol w:w="109"/>
        <w:gridCol w:w="109"/>
        <w:gridCol w:w="109"/>
        <w:gridCol w:w="257"/>
        <w:gridCol w:w="228"/>
        <w:gridCol w:w="421"/>
        <w:gridCol w:w="163"/>
        <w:gridCol w:w="163"/>
        <w:gridCol w:w="163"/>
        <w:gridCol w:w="272"/>
        <w:gridCol w:w="225"/>
        <w:gridCol w:w="514"/>
      </w:tblGrid>
      <w:tr>
        <w:trPr/>
        <w:tc>
          <w:tcPr>
            <w:tcW w:w="168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Total Investments as of</w:t>
            </w:r>
          </w:p>
        </w:tc>
      </w:tr>
      <w:tr>
        <w:trPr/>
        <w:tc>
          <w:tcPr>
            <w:tcW w:w="4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Investments of Consolidated Funds: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securities (cost of $12.4 million and $16.2 million as of June 30, 2026 and March 31, 2026,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Debt securities (cost of $102.3 million and $108.6 million as of June 30, 2026 and March 31, 2026,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Fund investments (cost of $1,815.2 million and $488.0 million as of June 30, 2026 and March 31, 2026,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616,844 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5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 of Consolidated Funds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2,035,883 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715,335 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5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no individual investment had a fair value greater than 5% of the Company’s total assets. During the three months ended June 30, 2026, the Company consolidated six additional StepStone Funds which resulted in an increase in investments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net realized and unrealized gains (losses) from investment activities of the Consolidated Funds:</w:t>
      </w:r>
    </w:p>
    <w:tbl>
      <w:tblPr>
        <w:tblW w:w="6957" w:type="dxa"/>
        <w:jc w:val="left"/>
        <w:tblInd w:w="0" w:type="dxa"/>
        <w:tblLayout w:type="fixed"/>
        <w:tblCellMar>
          <w:top w:w="28" w:type="dxa"/>
          <w:left w:w="28" w:type="dxa"/>
          <w:bottom w:w="28" w:type="dxa"/>
          <w:right w:w="28" w:type="dxa"/>
        </w:tblCellMar>
      </w:tblPr>
      <w:tblGrid>
        <w:gridCol w:w="1461"/>
        <w:gridCol w:w="1285"/>
        <w:gridCol w:w="1288"/>
        <w:gridCol w:w="214"/>
        <w:gridCol w:w="732"/>
        <w:gridCol w:w="110"/>
        <w:gridCol w:w="110"/>
        <w:gridCol w:w="110"/>
        <w:gridCol w:w="110"/>
        <w:gridCol w:w="214"/>
        <w:gridCol w:w="732"/>
        <w:gridCol w:w="110"/>
        <w:gridCol w:w="109"/>
        <w:gridCol w:w="109"/>
        <w:gridCol w:w="109"/>
        <w:gridCol w:w="154"/>
      </w:tblGrid>
      <w:tr>
        <w:trPr/>
        <w:tc>
          <w:tcPr>
            <w:tcW w:w="1461"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Investment Income of Consolidated Funds: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gains on investments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gains (losses) on investments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20,799 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 of Consolidated Funds</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60655"/>
                <wp:effectExtent l="0" t="0" r="0" b="0"/>
                <wp:wrapNone/>
                <wp:docPr id="30" name="Frame3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240" w:after="240"/>
        <w:ind w:left="0" w:right="0" w:hanging="360"/>
        <w:jc w:val="both"/>
        <w:rPr>
          <w:rFonts w:ascii="Times New Roman;serif" w:hAnsi="Times New Roman;serif"/>
          <w:b/>
          <w:color w:val="000000"/>
          <w:sz w:val="22"/>
        </w:rPr>
      </w:pPr>
      <w:r>
        <w:rPr>
          <w:rFonts w:ascii="Times New Roman;serif" w:hAnsi="Times New Roman;serif"/>
          <w:b/>
          <w:color w:val="000000"/>
          <w:sz w:val="22"/>
        </w:rPr>
        <w:t>6.    Fair Value Measurements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measures certain assets and liabilities at fair value on a recurring basis.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Financial Instruments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respectively, the Company held no financial instruments within the fair value hierarchy measured at fair value on a recurring basis.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Financial Instruments of Consolidated Funds</w:t>
      </w:r>
    </w:p>
    <w:tbl>
      <w:tblPr>
        <w:tblW w:w="8512" w:type="dxa"/>
        <w:jc w:val="left"/>
        <w:tblInd w:w="0" w:type="dxa"/>
        <w:tblLayout w:type="fixed"/>
        <w:tblCellMar>
          <w:top w:w="28" w:type="dxa"/>
          <w:left w:w="28" w:type="dxa"/>
          <w:bottom w:w="28" w:type="dxa"/>
          <w:right w:w="28" w:type="dxa"/>
        </w:tblCellMar>
      </w:tblPr>
      <w:tblGrid>
        <w:gridCol w:w="1278"/>
        <w:gridCol w:w="1126"/>
        <w:gridCol w:w="1135"/>
        <w:gridCol w:w="211"/>
        <w:gridCol w:w="406"/>
        <w:gridCol w:w="109"/>
        <w:gridCol w:w="109"/>
        <w:gridCol w:w="109"/>
        <w:gridCol w:w="109"/>
        <w:gridCol w:w="226"/>
        <w:gridCol w:w="436"/>
        <w:gridCol w:w="117"/>
        <w:gridCol w:w="109"/>
        <w:gridCol w:w="109"/>
        <w:gridCol w:w="109"/>
        <w:gridCol w:w="211"/>
        <w:gridCol w:w="826"/>
        <w:gridCol w:w="109"/>
        <w:gridCol w:w="109"/>
        <w:gridCol w:w="109"/>
        <w:gridCol w:w="109"/>
        <w:gridCol w:w="211"/>
        <w:gridCol w:w="97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measured at net asset value</w:t>
            </w:r>
            <w:r>
              <w:rPr>
                <w:rFonts w:ascii="Times New Roman;serif" w:hAnsi="Times New Roman;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1,948,650 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2,035,883 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obligations of Consolidated Funds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944,429 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investment in funds, which are generally organized as partnership and LLC interests measured using the net asset value (“NAV”) per share equivalent calculated by the investment manager as a practical expedient in determining an independent fair value.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Company has elected the fair value measurement alternative for its CFE to better align the measurement of the financial liabilities with the related financial assets measured at fair value that serve as the collateral, thereby aligning the accounting for the overall economics of the CFE within earnings. Under this election, both the financial assets and financial liabilities of the consolidated CFE are measured using the more observable of the fair value of the financial assets or the fair value of the financial liabilities. The Company has determined that the fair value of the financial assets of the CFE are more observable than the fair value of the financial liabilities of the CFE. Therefore, the financial assets of the CFE are measured at fair value and the financial liabilities are measured as the (i) sum of the fair value of the financial assets and carrying value of non-financial assets held temporarily less the (ii) fair value of beneficial interests retained by the Company (other than those that represent compensation for services) and the carrying value of beneficial interests that represent compensation.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60655"/>
                <wp:effectExtent l="0" t="0" r="0" b="0"/>
                <wp:wrapNone/>
                <wp:docPr id="31" name="Frame3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tbl>
      <w:tblPr>
        <w:tblW w:w="8369" w:type="dxa"/>
        <w:jc w:val="left"/>
        <w:tblInd w:w="0" w:type="dxa"/>
        <w:tblLayout w:type="fixed"/>
        <w:tblCellMar>
          <w:top w:w="28" w:type="dxa"/>
          <w:left w:w="28" w:type="dxa"/>
          <w:bottom w:w="28" w:type="dxa"/>
          <w:right w:w="28" w:type="dxa"/>
        </w:tblCellMar>
      </w:tblPr>
      <w:tblGrid>
        <w:gridCol w:w="1278"/>
        <w:gridCol w:w="1126"/>
        <w:gridCol w:w="1135"/>
        <w:gridCol w:w="211"/>
        <w:gridCol w:w="406"/>
        <w:gridCol w:w="109"/>
        <w:gridCol w:w="109"/>
        <w:gridCol w:w="109"/>
        <w:gridCol w:w="109"/>
        <w:gridCol w:w="211"/>
        <w:gridCol w:w="466"/>
        <w:gridCol w:w="109"/>
        <w:gridCol w:w="109"/>
        <w:gridCol w:w="109"/>
        <w:gridCol w:w="109"/>
        <w:gridCol w:w="211"/>
        <w:gridCol w:w="826"/>
        <w:gridCol w:w="109"/>
        <w:gridCol w:w="109"/>
        <w:gridCol w:w="109"/>
        <w:gridCol w:w="109"/>
        <w:gridCol w:w="211"/>
        <w:gridCol w:w="826"/>
        <w:gridCol w:w="154"/>
      </w:tblGrid>
      <w:tr>
        <w:trPr/>
        <w:tc>
          <w:tcPr>
            <w:tcW w:w="1278"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Assets measured at net asset value</w:t>
            </w:r>
            <w:r>
              <w:rPr>
                <w:rFonts w:ascii="Times New Roman;serif" w:hAnsi="Times New Roman;serif"/>
                <w:b w:val="false"/>
                <w:color w:val="000000"/>
                <w:sz w:val="13"/>
              </w:rPr>
              <w:t>(1)</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obligations of Consolidated Funds</w:t>
            </w:r>
            <w:r>
              <w:rPr>
                <w:rFonts w:ascii="Times New Roman;serif" w:hAnsi="Times New Roman;serif"/>
                <w:b w:val="false"/>
                <w:color w:val="000000"/>
                <w:sz w:val="13"/>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 foreign currency contracts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931,372 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(1)Includes investment in funds, which are generally organized as partnership and LLC interests measured using the NAV per share equivalent calculated by the investment manager as a practical expedient in determining an independent fair value.</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(2)As of March 31, 2026, the carrying value of the debt obligations of Consolidated Funds approximates fair value as the closing date of the fund and issuance of notes payable by the fund occurred near the reporting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financial instruments presented in the tables above, there were no changes in fair value hierarchy levels during the three months ended June 30, 2026 and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investments with a combined fair value of $87.2 million and $93.9 million, respectively, were classified as Level III investments. As of June 30, 2026 and March 31, 2026, the significant unobservable input used to value these investments classified as Level III investments may include the yield method or mid probable realization value for debt securities.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Reconciliations from the beginning balance to the closing balance of Level III financial instruments of Consolidated Funds are set forth below:</w:t>
      </w:r>
    </w:p>
    <w:tbl>
      <w:tblPr>
        <w:tblW w:w="10205" w:type="dxa"/>
        <w:jc w:val="left"/>
        <w:tblInd w:w="0" w:type="dxa"/>
        <w:tblLayout w:type="fixed"/>
        <w:tblCellMar>
          <w:top w:w="28" w:type="dxa"/>
          <w:left w:w="28" w:type="dxa"/>
          <w:bottom w:w="28" w:type="dxa"/>
          <w:right w:w="28" w:type="dxa"/>
        </w:tblCellMar>
      </w:tblPr>
      <w:tblGrid>
        <w:gridCol w:w="2550"/>
        <w:gridCol w:w="2176"/>
        <w:gridCol w:w="2182"/>
        <w:gridCol w:w="213"/>
        <w:gridCol w:w="728"/>
        <w:gridCol w:w="109"/>
        <w:gridCol w:w="109"/>
        <w:gridCol w:w="109"/>
        <w:gridCol w:w="109"/>
        <w:gridCol w:w="213"/>
        <w:gridCol w:w="728"/>
        <w:gridCol w:w="109"/>
        <w:gridCol w:w="109"/>
        <w:gridCol w:w="109"/>
        <w:gridCol w:w="109"/>
        <w:gridCol w:w="543"/>
      </w:tblGrid>
      <w:tr>
        <w:trPr/>
        <w:tc>
          <w:tcPr>
            <w:tcW w:w="2550"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2" w:type="dxa"/>
            <w:gridSpan w:val="2"/>
            <w:tcBorders/>
          </w:tcPr>
          <w:p>
            <w:pPr>
              <w:pStyle w:val="TableContents"/>
              <w:bidi w:val="0"/>
              <w:spacing w:before="0" w:after="283"/>
              <w:jc w:val="left"/>
              <w:rPr>
                <w:sz w:val="4"/>
                <w:szCs w:val="4"/>
              </w:rPr>
            </w:pPr>
            <w:r>
              <w:rPr>
                <w:sz w:val="4"/>
                <w:szCs w:val="4"/>
              </w:rPr>
            </w:r>
          </w:p>
        </w:tc>
      </w:tr>
      <w:tr>
        <w:trPr/>
        <w:tc>
          <w:tcPr>
            <w:tcW w:w="69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 xml:space="preserve">Financial Assets of Consolidated Funds </w:t>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Settlements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690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unrealized gains (losses) included in earnings related to financial assets still held at the reporting date</w:t>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(4,180)</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60655"/>
                <wp:effectExtent l="0" t="0" r="0" b="0"/>
                <wp:wrapNone/>
                <wp:docPr id="32" name="Frame3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tbl>
      <w:tblPr>
        <w:tblW w:w="10205" w:type="dxa"/>
        <w:jc w:val="left"/>
        <w:tblInd w:w="0" w:type="dxa"/>
        <w:tblLayout w:type="fixed"/>
        <w:tblCellMar>
          <w:top w:w="28" w:type="dxa"/>
          <w:left w:w="28" w:type="dxa"/>
          <w:bottom w:w="28" w:type="dxa"/>
          <w:right w:w="28" w:type="dxa"/>
        </w:tblCellMar>
      </w:tblPr>
      <w:tblGrid>
        <w:gridCol w:w="2528"/>
        <w:gridCol w:w="2221"/>
        <w:gridCol w:w="2226"/>
        <w:gridCol w:w="226"/>
        <w:gridCol w:w="889"/>
        <w:gridCol w:w="117"/>
        <w:gridCol w:w="117"/>
        <w:gridCol w:w="117"/>
        <w:gridCol w:w="117"/>
        <w:gridCol w:w="226"/>
        <w:gridCol w:w="436"/>
        <w:gridCol w:w="117"/>
        <w:gridCol w:w="109"/>
        <w:gridCol w:w="109"/>
        <w:gridCol w:w="109"/>
        <w:gridCol w:w="541"/>
      </w:tblGrid>
      <w:tr>
        <w:trPr/>
        <w:tc>
          <w:tcPr>
            <w:tcW w:w="2528"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gridSpan w:val="2"/>
            <w:tcBorders/>
          </w:tcPr>
          <w:p>
            <w:pPr>
              <w:pStyle w:val="TableContents"/>
              <w:bidi w:val="0"/>
              <w:spacing w:before="0" w:after="283"/>
              <w:jc w:val="left"/>
              <w:rPr>
                <w:sz w:val="4"/>
                <w:szCs w:val="4"/>
              </w:rPr>
            </w:pPr>
            <w:r>
              <w:rPr>
                <w:sz w:val="4"/>
                <w:szCs w:val="4"/>
              </w:rPr>
            </w:r>
          </w:p>
        </w:tc>
      </w:tr>
      <w:tr>
        <w:trPr/>
        <w:tc>
          <w:tcPr>
            <w:tcW w:w="6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Financial Liabilities of Consolidated Funds</w:t>
            </w:r>
            <w:r>
              <w:rPr>
                <w:rFonts w:ascii="Times New Roman;serif" w:hAnsi="Times New Roman;serif"/>
                <w:b/>
                <w:color w:val="000000"/>
                <w:sz w:val="13"/>
              </w:rPr>
              <w:t>(1)</w:t>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ind w:left="0" w:right="0" w:firstLine="405"/>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rFonts w:ascii="Times New Roman;serif" w:hAnsi="Times New Roman;serif"/>
                <w:b w:val="false"/>
                <w:color w:val="000000"/>
                <w:sz w:val="20"/>
              </w:rPr>
            </w:pPr>
            <w:r>
              <w:rPr>
                <w:rFonts w:ascii="Times New Roman;serif" w:hAnsi="Times New Roman;serif"/>
                <w:b w:val="false"/>
                <w:color w:val="000000"/>
                <w:sz w:val="20"/>
              </w:rPr>
              <w:t>Change in fair value</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end of period:</w:t>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944,430 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r>
        <w:trPr/>
        <w:tc>
          <w:tcPr>
            <w:tcW w:w="6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Changes in unrealized gains (losses) included in earnings related to financial liabilities still held at the reporting date</w:t>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(18,099)</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Company consolidates a CFE vehicle that issues notes payable that are backed by diversified collateral asset portfolios consisting primarily of equity investments in several of the StepStone Funds. The debt obligations of the Consolidated Funds have been presented as Level III financial liabilities.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Realized and unrealized gains and losses for Level III investments of Consolidated Funds are included within investment income of Consolidated Funds in the condensed consolidated statements of loss, and such gains and losses for Level III debt obligations of Consolidated Funds are included within other income (loss) in the condensed consolidated statements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7.    Intangibles and Goodwill</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Intangible assets consist of management contracts providing economic rights to management and advisory fees and client relationships related to future fundraising, as obtained through the Company’s acquisitions of other businesses.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Intangible assets, net consists of the following:</w:t>
      </w:r>
    </w:p>
    <w:tbl>
      <w:tblPr>
        <w:tblW w:w="5560" w:type="dxa"/>
        <w:jc w:val="left"/>
        <w:tblInd w:w="0" w:type="dxa"/>
        <w:tblLayout w:type="fixed"/>
        <w:tblCellMar>
          <w:top w:w="28" w:type="dxa"/>
          <w:left w:w="28" w:type="dxa"/>
          <w:bottom w:w="28" w:type="dxa"/>
          <w:right w:w="28" w:type="dxa"/>
        </w:tblCellMar>
      </w:tblPr>
      <w:tblGrid>
        <w:gridCol w:w="995"/>
        <w:gridCol w:w="872"/>
        <w:gridCol w:w="878"/>
        <w:gridCol w:w="212"/>
        <w:gridCol w:w="833"/>
        <w:gridCol w:w="109"/>
        <w:gridCol w:w="109"/>
        <w:gridCol w:w="109"/>
        <w:gridCol w:w="109"/>
        <w:gridCol w:w="236"/>
        <w:gridCol w:w="926"/>
        <w:gridCol w:w="172"/>
      </w:tblGrid>
      <w:tr>
        <w:trPr/>
        <w:tc>
          <w:tcPr>
            <w:tcW w:w="99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Management contracts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352,002 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Client relationships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96,650 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amortization</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(225,608)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223,044 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Amortization expense related to intangible assets was $10.2 million for the three months ended June 30, 2026 and 2025, respectively. These amounts are included in general, administrative and other expenses in the condensed consolidated statements of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60655"/>
                <wp:effectExtent l="0" t="0" r="0" b="0"/>
                <wp:wrapNone/>
                <wp:docPr id="33" name="Frame3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At June 30, 2026, the expected future amortization of finite-lived intangible assets is as follows:</w:t>
      </w:r>
    </w:p>
    <w:tbl>
      <w:tblPr>
        <w:tblW w:w="3111" w:type="dxa"/>
        <w:jc w:val="left"/>
        <w:tblInd w:w="0" w:type="dxa"/>
        <w:tblLayout w:type="fixed"/>
        <w:tblCellMar>
          <w:top w:w="28" w:type="dxa"/>
          <w:left w:w="28" w:type="dxa"/>
          <w:bottom w:w="28" w:type="dxa"/>
          <w:right w:w="28" w:type="dxa"/>
        </w:tblCellMar>
      </w:tblPr>
      <w:tblGrid>
        <w:gridCol w:w="695"/>
        <w:gridCol w:w="611"/>
        <w:gridCol w:w="614"/>
        <w:gridCol w:w="211"/>
        <w:gridCol w:w="826"/>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FY2027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212,855 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carrying value of goodwill was $580.5 million as of June 30, 2026 and March 31, 2026. The Company determined there was no indication of goodwill impairment as of June 30, 2026 and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both"/>
        <w:rPr>
          <w:rFonts w:ascii="Times New Roman;serif" w:hAnsi="Times New Roman;serif"/>
          <w:b/>
          <w:color w:val="000000"/>
          <w:sz w:val="22"/>
        </w:rPr>
      </w:pPr>
      <w:r>
        <w:rPr>
          <w:rFonts w:ascii="Times New Roman;serif" w:hAnsi="Times New Roman;serif"/>
          <w:b/>
          <w:color w:val="000000"/>
          <w:sz w:val="22"/>
        </w:rPr>
        <w:t>8. Debt Obligations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Debt Obligations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debt obligations consist of the following:</w:t>
      </w:r>
    </w:p>
    <w:tbl>
      <w:tblPr>
        <w:tblW w:w="5291" w:type="dxa"/>
        <w:jc w:val="left"/>
        <w:tblInd w:w="0" w:type="dxa"/>
        <w:tblLayout w:type="fixed"/>
        <w:tblCellMar>
          <w:top w:w="28" w:type="dxa"/>
          <w:left w:w="28" w:type="dxa"/>
          <w:bottom w:w="28" w:type="dxa"/>
          <w:right w:w="28" w:type="dxa"/>
        </w:tblCellMar>
      </w:tblPr>
      <w:tblGrid>
        <w:gridCol w:w="798"/>
        <w:gridCol w:w="702"/>
        <w:gridCol w:w="705"/>
        <w:gridCol w:w="234"/>
        <w:gridCol w:w="919"/>
        <w:gridCol w:w="121"/>
        <w:gridCol w:w="109"/>
        <w:gridCol w:w="109"/>
        <w:gridCol w:w="109"/>
        <w:gridCol w:w="263"/>
        <w:gridCol w:w="1030"/>
        <w:gridCol w:w="192"/>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senior notes</w:t>
            </w:r>
          </w:p>
        </w:tc>
        <w:tc>
          <w:tcPr>
            <w:tcW w:w="2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175,000 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Revolver</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remaining principal</w:t>
            </w:r>
          </w:p>
        </w:tc>
        <w:tc>
          <w:tcPr>
            <w:tcW w:w="115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Debt issuance costs</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obligations</w:t>
            </w:r>
          </w:p>
        </w:tc>
        <w:tc>
          <w:tcPr>
            <w:tcW w:w="2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270,898 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270,572 </w:t>
            </w:r>
          </w:p>
        </w:tc>
        <w:tc>
          <w:tcPr>
            <w:tcW w:w="1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Senior 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October 22, 2024, the Partnership issued $175.0 million aggregate principal amount of its 5.52% Series A senior notes due October 22, 2029 (the “Notes”), pursuant to a note purchase agreement, dated as of October 22, 2024 (the “Note Purchase Agreement”), in a private placement exempt from registration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Interest on the Notes is payable semi-annually in arrears on April 22 and October 22 of each year. Interest on the Notes accrues from and including October 22, 2024. The Notes will mature on October 22, 2029. The Partnership may, at its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fair value of the Notes, which are recorded at amortized cost, is classified as a Level III valuation within the fair value hierarchy. As of June 30, 2026 and March 31, 2026, respectively, the carrying value of the Notes, net of debt issuance costs, approximated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60655"/>
                <wp:effectExtent l="0" t="0" r="0" b="0"/>
                <wp:wrapNone/>
                <wp:docPr id="34" name="Frame3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is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revolving credit facility (the “Revolver”).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Revolver bear interest at a variable rate per annum. The Company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2026 was 5.79%.</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 As of June 30, 2026, the Company had outstanding borrowings of $100.0 million under the Revolver.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Revolver bears a fee on undrawn commitments equal to 0.25% per annum if total utilization of revolving commitments is equal to or greater than 50% and 0.35% per annum if total utilization of revolving commitments is less than 50%.</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carrying value of the Revolver approximates fair value, as the loan is subject to variable interest rates that adjust with changes in market rates and market conditions and the current interest rate approximates that which would be available under similar financial arrangements.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can use available funding capacity under the Revolver to satisfy letters of credit in amounts up to $10.0 million. Amounts used to satisfy the letters of credit reduce the available capacity under the Revolver. As of June 30, 2026, the Company had outstanding letters of credit totaling $10.1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60655"/>
                <wp:effectExtent l="0" t="0" r="0" b="0"/>
                <wp:wrapNone/>
                <wp:docPr id="35" name="Frame3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Debt Obligations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debt obligations of the Consolidated Funds consist of the following:</w:t>
      </w:r>
    </w:p>
    <w:tbl>
      <w:tblPr>
        <w:tblW w:w="7097" w:type="dxa"/>
        <w:jc w:val="left"/>
        <w:tblInd w:w="0" w:type="dxa"/>
        <w:tblLayout w:type="fixed"/>
        <w:tblCellMar>
          <w:top w:w="28" w:type="dxa"/>
          <w:left w:w="28" w:type="dxa"/>
          <w:bottom w:w="28" w:type="dxa"/>
          <w:right w:w="28" w:type="dxa"/>
        </w:tblCellMar>
      </w:tblPr>
      <w:tblGrid>
        <w:gridCol w:w="1442"/>
        <w:gridCol w:w="1268"/>
        <w:gridCol w:w="1279"/>
        <w:gridCol w:w="211"/>
        <w:gridCol w:w="976"/>
        <w:gridCol w:w="109"/>
        <w:gridCol w:w="109"/>
        <w:gridCol w:w="109"/>
        <w:gridCol w:w="109"/>
        <w:gridCol w:w="263"/>
        <w:gridCol w:w="1030"/>
        <w:gridCol w:w="192"/>
      </w:tblGrid>
      <w:tr>
        <w:trPr/>
        <w:tc>
          <w:tcPr>
            <w:tcW w:w="144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secured notes</w:t>
            </w:r>
            <w:r>
              <w:rPr>
                <w:rFonts w:ascii="Times New Roman;serif" w:hAnsi="Times New Roman;serif"/>
                <w:b w:val="false"/>
                <w:color w:val="000000"/>
                <w:sz w:val="13"/>
              </w:rPr>
              <w:t>(1)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736,863 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Subordinated notes</w:t>
            </w:r>
            <w:r>
              <w:rPr>
                <w:rFonts w:ascii="Times New Roman;serif" w:hAnsi="Times New Roman;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194,322 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debt obligations of Consolidated Funds</w:t>
            </w:r>
            <w:r>
              <w:rPr>
                <w:rFonts w:ascii="Times New Roman;serif" w:hAnsi="Times New Roman;serif"/>
                <w:b w:val="false"/>
                <w:color w:val="000000"/>
                <w:sz w:val="13"/>
              </w:rPr>
              <w:t>(3)</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1,180,643 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931,185 </w:t>
            </w:r>
          </w:p>
        </w:tc>
        <w:tc>
          <w:tcPr>
            <w:tcW w:w="1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(1)As of June 30, 2026, the weighted-average interest rate for the senior secured notes was 7.57%. The senior secured notes do not require scheduled principal repayments and the entire principal amount is due at maturity in April 2041.</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subordinated notes do not have contractual interest rates but instead receive the residual of cash flows from underlying investments after the priority repayment of principal and interest to the senior noteholders.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(3)As of June 30, 2026 and March 31, 2026, the unpaid principal balance of debt obligations of Consolidated Funds was $1,199.0 million and $931.2 million,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Debt obligations of the Consolidated Funds primarily comprise amounts due to holders of debt securities issued by a consolidated CFE. These debt obligations are collateralized by the assets held by the CFE and are non-recourse to the Company. The Company is not liable for any of the notes payable issued by the CFE, as the creditors of the CFE do not have recourse to the Company’s assets outside of the assets held by the CFE. As of June 30, 2026, the collateral of the CFE consisted of cash and cash equivalents and investments in funds which are generally organized as partnership and LLC interests. The debt obligations may only be repaid from collateral proceeds of the CFE, which will occur as distributions are received from underlying assets. Debt obligations of the Consolidated Funds are collateralized by the assets held by the Consolidated Funds and the assets of one fund may not be used to satisfy the liabilities of another fund.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the consolidated CFE has the ability to issue up to $1,480.8 million of additional debt obligations.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Credit Facilities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Certain Consolidated Funds may maintain revolving credit facilities that are secured by fund assets to fund investments on a short-term basis. These debt obligations of the Consolidated Funds are non-recourse to the Company.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December 2024, one of the Company’s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June 30, 2026, there were no outstanding borrowings under the Fund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60655"/>
                <wp:effectExtent l="0" t="0" r="0" b="0"/>
                <wp:wrapNone/>
                <wp:docPr id="36" name="Frame3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March 2026, the Company’s consolidated CFE entered into a credit agreement arranged by Alter Domus LLC, as the administrative agent, and certain other lenders party thereto that provides for a revolving credit facility (the “Liquidity Loan Facility”) of up to $389.7 million. As of June 30, 2026, there were no outstanding borrowings under the Liquidity Loan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Borrowings under the Liquidity Loan Facility bear interest at a variable rate per annum at the Term SOFR plus a margin of 270 basis points. The facility also bears an unused commitment fee of 1.00% per annum.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Liquidity Loan Facility may be repaid at any time during the term of the agreement and, subject to certain terms and conditions, may be reborrowed prior to the maturity date. Any outstanding principal amounts, together with any accrued interest thereon, shall be due and payable on the maturity date. The maturity date for the Liquidity Loan Facility is March 23, 2031.</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one of the Company’s consolidated investment funds entered into a supplemental credit agreement arranged by Lloyds Bank Corporate Markets PLC, as the agent and security agent, and UBS Switzerland AG, as the lender, establishing an additional revolving credit sub-facility of up to $160.0 million (the “Sub-Facility”). As of June 30, 2026, there were approximately $35.1 million in outstanding borrowings under the Sub-Facility.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Sub-Facility bear interest at a variable rate per annum based on the applicable benchmark rate plus a margin of 170 basis points. The Sub-Facility also bears a commitment fee of 0.25% per annum. The interest rate in effect for the Sub-Facility as of June 30, 2026 was 5.35%.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Sub-Facility may be repaid in accordance with the terms of the supplemental credit agreement and, subject to certain terms and conditions, may be reborrowed prior to the termination date. Any outstanding principal amounts, together with any accrued interest thereon, shall be due and payable on the termination date. The termination date for the Sub-Facility is 365 days from the effective date, subject to the extension option under the facilities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One of the Company’s consolidated investment funds is party to a credit agreement, as amended and restated in March 2026, with Goldman Sachs Bank USA that provides for an uncommitted revolving credit facility of up to $37.0 million (“Facility D”). As of June 30, 2026, there were approximately $18.2 million in outstanding borrowings under Facility D.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Facility D bear interest at a variable rate per annum equal to the Term SOFR plus 310 basis points or the Prime Rate plus 210 basis points. Facility D also requires payment of a quarterly administrative fee equal to 15 basis points of the facility limit. The interest rate in effect for Facility D as of June 30, 2026 was 6.72%.</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Facility D may be repaid at any time during the term of the credit agreement and, subject to the terms of the credit agreement, may be reborrowed. Facility D terminates on the earlier of (i) the date that is 30 days prior to the last date on which capital may be called from investors to repay obligations under the facility or (ii) the date on which the credit agreement is terminated by either the lender or the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May 2026, one of the Company's consolidated investment funds entered into a credit agreement with Wells Fargo Bank, National Association, as administrative agent, lead arranger, letter of credit issuer and lender, providing for a revolving credit facility of up to $675.0 million (the “Subscription Facility”). As of June 30, 2026, there were approximately $222.9 million in outstanding borrowings under the Subscription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60655"/>
                <wp:effectExtent l="0" t="0" r="0" b="0"/>
                <wp:wrapNone/>
                <wp:docPr id="37" name="Frame3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Subscription Facility bear interest at a variable rate equal to SOFR plus 1.80% per annum. In addition, the Subscription Facility is subject to an unused commitment fee of 0.25% per annum on undrawn commitments and customary fees associated with letters of credit. The weighted-average interest rate in effect under the Subscription Facility as of June 30, 2026 was 5.45%.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During the availability period, amounts borrowed under the Subscription Facility may be repaid and subsequently reborrowed, subject to the terms and conditions of the credit agreement. Obligations under the Subscription Facility are secured by investor capital commitments and related collateral pledged to the lenders. The Subscription Facility matures on May 4, 2029 and may be extended in accordance with the terms of the credit agreement.</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Debt Covenants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Senior 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Note Purchase Agreement contains certain covenants, including those requiring the Company to (a) maintain a total net leverage ratio, (b) maintain a minimum total of fee-earning assets under management, (c) cause at least 80% of all management fees payable by material subsidiaries to the Company to be collected each period without deferral, waiver or reduction, (d) limit the amount of secured indebtedness to be incurred by the Company,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Under the terms of the Credit Agreement, certain of the Company’s assets serve as pledged collateral. In addition, the Credit Agreement contains covenants that, among other things: limit the Company’s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the Company to maintain a total net leverage ratio and a minimum total of fee-earning assets under management. </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Fund Credit 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Fund Credit Facility, certain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Liquidity Loan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Liquidity Loan Facility, certain assets of the Consolidated Funds serve as pledged collateral. In addition, the Liquidity Loan Facility contains covenants that, among other things: limit the ability of the fund to incur indebtedness; create, incur or allow liens; and other customary covenants. The Liquidity Loan Facility also provides for customary events of default, which, if any occur and are continuing, could permit or require the entire unpaid principal amount of any or all loans under the Liquidity Loan Facility, plus all accrued and unpaid interest thereon to become or to be declared due and payable immediately.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60655"/>
                <wp:effectExtent l="0" t="0" r="0" b="0"/>
                <wp:wrapNone/>
                <wp:docPr id="38" name="Frame3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Sub-Facility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Sub-Facility, certain assets of the Consolidated Funds serve as pledged collateral. Additionally, the Sub-Facility provides for customary events of default, which, if any occur and are continuing, could permit or require the entire unpaid principal amount of any or all loans under the Sub-Facility, plus all accrued and unpaid interest thereon to become or to be declared due and payable immediately. The Sub-Facility also contains financial covenants requiring the fund to maintain an uncalled capital commitment coverage ratio.</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Facility 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Facility D, certain assets of the Consolidated Funds serve as pledged collateral. In addition, Facility D contains customary affirmative and negative covenants, including restrictions on creating, incurring or permitting liens on collateral and certain other activities. Facility D also provides for customary events of default, which, if any occur and are continuing, could permit or require the entire unpaid principal amount of any or all loans under Facility D, together with accrued and unpaid interest thereon, including default interest, to become immediately due and payable.</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Subscription 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Subscription Facility, certain assets of the Consolidated Funds, including investor capital commitments and related collateral accounts, serve as pledged collateral. In addition, the Subscription Facility contains customary affirmative and negative covenants, including restrictions on creating, incurring or permitting liens on collateral and certain other activities. The credit agreement contains customary representations and warranties, borrowing conditions, collateral maintenance provisions, and events of default.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was in compliance with the covenants under its various debt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9.    Equity-Based Compensation</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Restricted Stock Units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change in unvested RSUs is as follows:</w:t>
      </w:r>
    </w:p>
    <w:tbl>
      <w:tblPr>
        <w:tblW w:w="8398" w:type="dxa"/>
        <w:jc w:val="left"/>
        <w:tblInd w:w="0" w:type="dxa"/>
        <w:tblLayout w:type="fixed"/>
        <w:tblCellMar>
          <w:top w:w="28" w:type="dxa"/>
          <w:left w:w="28" w:type="dxa"/>
          <w:bottom w:w="28" w:type="dxa"/>
          <w:right w:w="28" w:type="dxa"/>
        </w:tblCellMar>
      </w:tblPr>
      <w:tblGrid>
        <w:gridCol w:w="918"/>
        <w:gridCol w:w="805"/>
        <w:gridCol w:w="811"/>
        <w:gridCol w:w="488"/>
        <w:gridCol w:w="488"/>
        <w:gridCol w:w="481"/>
        <w:gridCol w:w="109"/>
        <w:gridCol w:w="109"/>
        <w:gridCol w:w="109"/>
        <w:gridCol w:w="862"/>
        <w:gridCol w:w="2584"/>
        <w:gridCol w:w="634"/>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Grant-Date Fair Value Per RSU</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1,377,185 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6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5,509 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(5,667)</w:t>
            </w:r>
          </w:p>
        </w:tc>
        <w:tc>
          <w:tcPr>
            <w:tcW w:w="4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6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(5,680)</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(44.81)</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1,371,347 </w:t>
            </w:r>
          </w:p>
        </w:tc>
        <w:tc>
          <w:tcPr>
            <w:tcW w:w="4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60655"/>
                <wp:effectExtent l="0" t="0" r="0" b="0"/>
                <wp:wrapNone/>
                <wp:docPr id="39" name="Frame3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39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Performance-Based Restricted Stock Units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change in unvested PRSUs is as follows:</w:t>
      </w:r>
    </w:p>
    <w:tbl>
      <w:tblPr>
        <w:tblW w:w="8589" w:type="dxa"/>
        <w:jc w:val="left"/>
        <w:tblInd w:w="0" w:type="dxa"/>
        <w:tblLayout w:type="fixed"/>
        <w:tblCellMar>
          <w:top w:w="28" w:type="dxa"/>
          <w:left w:w="28" w:type="dxa"/>
          <w:bottom w:w="28" w:type="dxa"/>
          <w:right w:w="28" w:type="dxa"/>
        </w:tblCellMar>
      </w:tblPr>
      <w:tblGrid>
        <w:gridCol w:w="918"/>
        <w:gridCol w:w="805"/>
        <w:gridCol w:w="811"/>
        <w:gridCol w:w="514"/>
        <w:gridCol w:w="514"/>
        <w:gridCol w:w="516"/>
        <w:gridCol w:w="109"/>
        <w:gridCol w:w="109"/>
        <w:gridCol w:w="109"/>
        <w:gridCol w:w="897"/>
        <w:gridCol w:w="2626"/>
        <w:gridCol w:w="661"/>
      </w:tblGrid>
      <w:tr>
        <w:trPr/>
        <w:tc>
          <w:tcPr>
            <w:tcW w:w="91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Weighted-Average Grant-Date Fair Value Per PRSU</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102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78,513 </w:t>
            </w:r>
          </w:p>
        </w:tc>
        <w:tc>
          <w:tcPr>
            <w:tcW w:w="5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2026</w:t>
            </w:r>
          </w:p>
        </w:tc>
        <w:tc>
          <w:tcPr>
            <w:tcW w:w="102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78,513 </w:t>
            </w:r>
          </w:p>
        </w:tc>
        <w:tc>
          <w:tcPr>
            <w:tcW w:w="5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6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54.13 </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$59.7 million of unrecognized non-cash compensation expense in respect of equity-based awards remained to be recognized over a weighted-average period of approximately 3.1 years.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Liability Classified Awards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November 2022, the Company issued a profits interest in SPW to certain employees of the SPW team and concurrently entered into an option agreement which provides that (i) StepStone has the right to acquire the profits interest at the end of any fiscal quarter after June 30, 2027, in exchange for payment of a call price and (ii) an entity named CH Equity Partners, LLC, held by the SPW management team and other employees of SPW, has the right to put the profits interest to StepStone on June 30, 2026 or at the end of any fiscal quarter thereafter, in exchange for payment of a put price. The applicable call or put price is, in certain circumstances, subject to an earn-out or earn-down. The call or put price will be payable in cash unless the Company elects to pay a portion of the consideration in units of the Partnership, each to be exchangeable into shares of the Company’s Class A common stock, and, in either case, rights under one or more tax receivable agreements. As of June 30, 2026, the put right held by CH Equity Partners, LLC has not been exercised.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accounted for the profits interest and option agreement as a single unit of account as a liability classified equity-based award. There are no vesting provisions or service requirements related to the award. As of June 30, 2026 and March 31, 2026, the fair value of the liability classified awards was based on the contractual redemption price. The contractual redemption price is calculated based on the adjusted net income of SPW multiplied by an adjusted trading multiple for the Company’s Class A common stock, and then increased or reduced for certain other specified items. A third-party valuation specialist assisted the Company with the fair value estimate for the awards. Certain assumptions used in determining the fair value are inherently subjective; therefore, the ultimate settlement amount for the liability classified awards may differ materially from the current estimate. The significant unobservable inputs required to value the liability classified awards primarily relate to future projected earnings of SPW, a discount rate and an adjusted trading multiple. The Company applied a discount rate of 27% as of both June 30, 2026 and March 31, 2026, and an adjusted trading multiple of 14.0x and 14.7x as of June 30, 2026 and March 31, 2026,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recognized $310.2 million and $184.0 million during the three months ended June 30, 2026 and 2025, respectively, of expense related to liability classified awards within equity-based compensation expense in the condensed consolidated statements of loss. For the three months ended June 30, 2026 and 2025, the Company paid $23.1 million and $6.6 million, respectively, related to the settlement of liability classified awards. As of June 30, 2026 and March 31, 2026, the Company had recognized $2,552.9 million and $2,265.8 million, respectively, for liability classified awards within accrued compensation and benefits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60655"/>
                <wp:effectExtent l="0" t="0" r="0" b="0"/>
                <wp:wrapNone/>
                <wp:docPr id="40" name="Frame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40</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Employee Stock Purchase Plan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an ESPP under which eligible employees may purchase shares of Class A common stock of the Company at six-month period intervals for 85% of the lower of the fair market value on either the first or last trading day of the offering period. The offering periods run from April 1 to September 30, and October 1 to March 31 each year. Each eligible employee may purchase up to five thousand dollars worth of shares each six-month offering period, limited to a maximum of 1,000 shares. During the three months ended June 30, 2026 and 2025, no shares were purchased under the ESPP as purchases typically occur in September and March. As of June 30, 2026, the Company has 2,044,429 shares of Class A common stock reserved for future issuances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10.    Income Taxes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the Transaction Agreements (as defined and described in note 13), the 2026 Exchange (as defined below) resulted in a $9.8 million decrease in the deferred tax assets and a $3.7 million increase in the valuation allowance during the three months ended June 30, 2026. In addition, there were exchanges of Class B, Class C and Class D units of the Partnership for Class A common stock by certain limited partners of the Partnership during the three months ended June 30, 2026, resulting in an increase to the deferred tax assets of $14.7 million and a decrease in the valuation allowance of $0.7 million. Additionally, a corresponding Tax Receivable Agreements liability of $13.1 million was recorded, representing 85% of the incremental net cash tax savings for the Company as a result of these exchanges. The Company made payments of $16.2 million and $11.5 million during the three months ended June 30, 2026 and 2025, respectively, under the Tax Receivable Agreements. As of June 30, 2026, the Company’s total Tax Receivable Agreements liability was $341.1 million. See note 12 for more information on the Tax Receivable Agreements.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the Company recognized an expense within equity-based compensation expense in the condensed consolidated statements of loss to remeasure the profits interests issued in SPW which are accounted for as liability classified awards. This expense is not currently deductible for tax purposes, resulting in a temporary difference that increased the Company’s deferred tax assets by $42.2 million during the three months ended June 30, 2026. See note 9 for more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effective income tax rate was 14.9% and 41.0% for the three months ended June 30, 2026 and 2025, respectively. The overall effective tax rate for the three months ended June 30, 2026 is less than the statutory rate. This is primarily due to a portion of net loss allocated to non-controlling interests and the related tax benefit being borne by the holders of non-controlling interests. The decrease in the effective tax rate for the three months ended June 30, 2026 as compared to the prior year period was mainly driven by a decrease in the tax benefit associated with net loss allocated to non-controlling interests in a period of increased pre-tax net loss.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Global Anti-Base Erosion (“GloBE”) Model Rules established under the Organization for Economic Co-operation and Development’s Pillar Two framework have been adopted in several countries where the Company operates. To date, these legislative changes have not had a material impact on the Company’s effective tax rate. The Company is continuously monitoring the evolving application of this legislation and assessing its potential impact on its future tax liability.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evaluates the realizability of its deferred tax assets on a quarterly basis and adjusts the valuation allowance when it is more-likely-than-not that all or a portion of the deferred tax assets may not be realized.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the Company has not recorded any unrecognized tax benefits and does not expect there to be any material changes to uncertain tax positions within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60655"/>
                <wp:effectExtent l="0" t="0" r="0" b="0"/>
                <wp:wrapNone/>
                <wp:docPr id="41" name="Frame4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41</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11.    Earnings Per Share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Basic and diluted earnings per share of Class A common stock are presented for the three months ended June 30, 2026 and 2025. The following table sets forth reconciliations of the numerators and denominators used to compute basic and diluted earnings per share of Class A common stock:</w:t>
      </w:r>
    </w:p>
    <w:tbl>
      <w:tblPr>
        <w:tblW w:w="9294" w:type="dxa"/>
        <w:jc w:val="left"/>
        <w:tblInd w:w="0" w:type="dxa"/>
        <w:tblLayout w:type="fixed"/>
        <w:tblCellMar>
          <w:top w:w="28" w:type="dxa"/>
          <w:left w:w="28" w:type="dxa"/>
          <w:bottom w:w="28" w:type="dxa"/>
          <w:right w:w="28" w:type="dxa"/>
        </w:tblCellMar>
      </w:tblPr>
      <w:tblGrid>
        <w:gridCol w:w="2199"/>
        <w:gridCol w:w="1931"/>
        <w:gridCol w:w="1945"/>
        <w:gridCol w:w="211"/>
        <w:gridCol w:w="901"/>
        <w:gridCol w:w="109"/>
        <w:gridCol w:w="109"/>
        <w:gridCol w:w="109"/>
        <w:gridCol w:w="109"/>
        <w:gridCol w:w="240"/>
        <w:gridCol w:w="841"/>
        <w:gridCol w:w="109"/>
        <w:gridCol w:w="109"/>
        <w:gridCol w:w="109"/>
        <w:gridCol w:w="109"/>
        <w:gridCol w:w="154"/>
      </w:tblGrid>
      <w:tr>
        <w:trPr/>
        <w:tc>
          <w:tcPr>
            <w:tcW w:w="2199"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StepStone Group Inc.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StepStone Group Inc. – Diluted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(115,816)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Diluted</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81,995,674 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77,846,710 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20"/>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of Class A common stock:</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Diluted earnings per share of Class A common stock is computed by dividing net loss attributable to SSG, giving consideration to the reallocation of net income between holders of Class A common stock and non-controlling interests, by the weighted-average number of shares of Class A common stock outstanding adjusted to give effect to potentially dilutive securities, if 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Shares of the Company’s Class B common stock do not share in the earnings or losses attributable to SSG and therefore are not participating securities. As a result, a separate presentation of basic and diluted earnings per share of Class B common stock under the two-class method has not been included.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calculation of diluted earnings per share excludes 38,387,761 Class B units, 881,103 Class C units and 3,529,400 Class D units of the Partnership outstanding as of June 30, 2026, and 39,504,186 Class B units, 947,761 Class C units and 2,945,736 Class D units of the Partnership outstanding as of June 30, 2025, which are exchangeable into Class A common stock under the if-converted method, as the inclusion of such shares would be anti-dilutive. The calculation of diluted earnings per share excludes 78,513 PRSUs outstanding as of June 30, 2026 as the related performance targets have not been met as of June 30, 2026.</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the Company was in a net loss position for the three months ended June 30, 2026, the calculation of diluted earnings per share excludes potential shares of Class A common stock for 1,371,347 outstanding RSUs, as the inclusion of such shares would be anti-dilutive.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the Company was in a net loss position for the three months ended June 30, 2025, the calculation of diluted earnings per share excludes potential shares of Class A common stock for 1,054,894 outstanding RSUs, as the inclusion of such shares would be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60655"/>
                <wp:effectExtent l="0" t="0" r="0" b="0"/>
                <wp:wrapNone/>
                <wp:docPr id="42" name="Frame4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42</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12.    Related Party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considers its directors, greater than 5% beneficial owner of any class of the Company’s stock, senior executives, employees and equity method investments to be related parties. A substantial portion of the Company’s management and advisory fees and carried interest allocations is earned from various StepStone Funds. The Company earned net management and advisory fees from the StepStone Funds of $231.8 million and $151.6 million for the three months ended June 30, 2026 and 2025, respectively. The Company earned no incentive fees from the StepStone Funds for the three months ended June 30, 2026 and 2025, respectively. Carried interest allocation revenues earned from the StepStone Funds totaled $72.5 million and $113.3 million for the three months ended June 30, 2026 and 2025, respectively. Legacy Greenspring carried interest allocation revenues earned from certain legacy Greenspring funds for which the Company has no direct economic interests totaled $37.2 million and $39.6 million for the three months ended June 30, 2026 and 2025,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Due from affiliates in the condensed consolidated balance sheets consists primarily of fees and accounts receivable from the StepStone Funds, advances made on behalf of the StepStone Funds for the payment of certain organization and operating costs and expenses for which the Company is subsequently reimbursed, amounts due from employees and loans due from affiliated entities, as set forth below.</w:t>
      </w:r>
    </w:p>
    <w:tbl>
      <w:tblPr>
        <w:tblW w:w="6385" w:type="dxa"/>
        <w:jc w:val="left"/>
        <w:tblInd w:w="0" w:type="dxa"/>
        <w:tblLayout w:type="fixed"/>
        <w:tblCellMar>
          <w:top w:w="28" w:type="dxa"/>
          <w:left w:w="28" w:type="dxa"/>
          <w:bottom w:w="28" w:type="dxa"/>
          <w:right w:w="28" w:type="dxa"/>
        </w:tblCellMar>
      </w:tblPr>
      <w:tblGrid>
        <w:gridCol w:w="1293"/>
        <w:gridCol w:w="1137"/>
        <w:gridCol w:w="1140"/>
        <w:gridCol w:w="212"/>
        <w:gridCol w:w="833"/>
        <w:gridCol w:w="109"/>
        <w:gridCol w:w="109"/>
        <w:gridCol w:w="109"/>
        <w:gridCol w:w="109"/>
        <w:gridCol w:w="236"/>
        <w:gridCol w:w="926"/>
        <w:gridCol w:w="172"/>
      </w:tblGrid>
      <w:tr>
        <w:trPr/>
        <w:tc>
          <w:tcPr>
            <w:tcW w:w="129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receivable from StepStone Funds</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58,257 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receivable from employees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receivable from loans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due from affiliates</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113,150 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Due to affiliates in the condensed consolidated balance sheets consists primarily of amounts payable to certain non-controlling interest holders in connection with the Tax Receivable Agreements, amounts payable to the StepStone Funds and amounts due to employee equity holders of consolidated subsidiaries, as set forth below.</w:t>
      </w:r>
    </w:p>
    <w:tbl>
      <w:tblPr>
        <w:tblW w:w="10205" w:type="dxa"/>
        <w:jc w:val="left"/>
        <w:tblInd w:w="0" w:type="dxa"/>
        <w:tblLayout w:type="fixed"/>
        <w:tblCellMar>
          <w:top w:w="28" w:type="dxa"/>
          <w:left w:w="28" w:type="dxa"/>
          <w:bottom w:w="28" w:type="dxa"/>
          <w:right w:w="28" w:type="dxa"/>
        </w:tblCellMar>
      </w:tblPr>
      <w:tblGrid>
        <w:gridCol w:w="2683"/>
        <w:gridCol w:w="2357"/>
        <w:gridCol w:w="2367"/>
        <w:gridCol w:w="211"/>
        <w:gridCol w:w="832"/>
        <w:gridCol w:w="109"/>
        <w:gridCol w:w="109"/>
        <w:gridCol w:w="109"/>
        <w:gridCol w:w="109"/>
        <w:gridCol w:w="232"/>
        <w:gridCol w:w="913"/>
        <w:gridCol w:w="174"/>
      </w:tblGrid>
      <w:tr>
        <w:trPr/>
        <w:tc>
          <w:tcPr>
            <w:tcW w:w="2683"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420"/>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to non-controlling interest holders in connection with Tax Receivable Agreements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344,210 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payable to StepStone Funds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7" w:type="dxa"/>
            <w:gridSpan w:val="3"/>
            <w:tcBorders/>
            <w:vAlign w:val="center"/>
          </w:tcPr>
          <w:p>
            <w:pPr>
              <w:pStyle w:val="TableContents"/>
              <w:bidi w:val="0"/>
              <w:spacing w:before="0" w:after="283"/>
              <w:jc w:val="left"/>
              <w:rPr>
                <w:sz w:val="4"/>
                <w:szCs w:val="4"/>
              </w:rPr>
            </w:pPr>
            <w:r>
              <w:rPr>
                <w:sz w:val="4"/>
                <w:szCs w:val="4"/>
              </w:rPr>
            </w:r>
          </w:p>
        </w:tc>
        <w:tc>
          <w:tcPr>
            <w:tcW w:w="1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due to affiliates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362,833 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made payments of $16.2 million and $11.5 million during the three months ended June 30, 2026 and 2025, respectively, under the Tax Receivable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13.    Stockholders’ Equity and Redeemable Non-Controlling Interests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Stockholders’ Equity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two classes of common stock outstanding, Class A common stock and Class B common stock. Holders of Class A common stock and Class B common stock generally vote together as a single class on all matters presented to the Company’s stockholders for their vote or approval. Holders of Class A common stock are entitled to receive dividends when and if declared by the board of directors. Holders of the Class B common stock are not entitled to dividends in respect of their shares of Class B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60655"/>
                <wp:effectExtent l="0" t="0" r="0" b="0"/>
                <wp:wrapNone/>
                <wp:docPr id="43" name="Frame4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43</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Class C and Class D (further described below) limited partnership interests of the Partnership have substantially the same rights and obligations as are applicable to the existing holders of Class B units of the Partnership. The Company has no ownership interest in the Class C and Class D units, which are held by certain employees of the Company. The Company has entered into agreements with the Class C limited partners of the Partnership (the “Class C Exchange Agreement”) and Class D limited partners of the Partnership (the “Class D Exchange Agreement”) to allow for the exchange of Class C units and Class D units, respectively, to shares of Class A common stock of the Company on a one-for-one basis, subject to certain restrictions, as further described below in respect of the Class D Exchange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shows a rollforward of the Company’s shares of common stock outstanding since March 31, 2026:</w:t>
      </w:r>
    </w:p>
    <w:tbl>
      <w:tblPr>
        <w:tblW w:w="10205" w:type="dxa"/>
        <w:jc w:val="left"/>
        <w:tblInd w:w="0" w:type="dxa"/>
        <w:tblLayout w:type="fixed"/>
        <w:tblCellMar>
          <w:top w:w="28" w:type="dxa"/>
          <w:left w:w="28" w:type="dxa"/>
          <w:bottom w:w="28" w:type="dxa"/>
          <w:right w:w="28" w:type="dxa"/>
        </w:tblCellMar>
      </w:tblPr>
      <w:tblGrid>
        <w:gridCol w:w="2308"/>
        <w:gridCol w:w="1889"/>
        <w:gridCol w:w="1877"/>
        <w:gridCol w:w="689"/>
        <w:gridCol w:w="604"/>
        <w:gridCol w:w="578"/>
        <w:gridCol w:w="109"/>
        <w:gridCol w:w="109"/>
        <w:gridCol w:w="109"/>
        <w:gridCol w:w="618"/>
        <w:gridCol w:w="573"/>
        <w:gridCol w:w="742"/>
      </w:tblGrid>
      <w:tr>
        <w:trPr/>
        <w:tc>
          <w:tcPr>
            <w:tcW w:w="2308"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B Common Stock</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12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80,703,553 </w:t>
            </w:r>
          </w:p>
        </w:tc>
        <w:tc>
          <w:tcPr>
            <w:tcW w:w="5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38,637,761 </w:t>
            </w:r>
          </w:p>
        </w:tc>
        <w:tc>
          <w:tcPr>
            <w:tcW w:w="7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in exchange for Class B Partnership units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w:t>
            </w:r>
          </w:p>
        </w:tc>
        <w:tc>
          <w:tcPr>
            <w:tcW w:w="74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in exchange for Class C Partnership units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in exchange for Class D Partnership units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831,428 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for vesting of equity-based awards, net of shares withheld for taxes</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3,115 </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issued for purchase of asset class non-controlling interests</w:t>
            </w:r>
          </w:p>
        </w:tc>
        <w:tc>
          <w:tcPr>
            <w:tcW w:w="12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972,685 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vAlign w:val="center"/>
          </w:tcPr>
          <w:p>
            <w:pPr>
              <w:pStyle w:val="TableContents"/>
              <w:bidi w:val="0"/>
              <w:spacing w:before="0" w:after="283"/>
              <w:jc w:val="left"/>
              <w:rPr>
                <w:sz w:val="4"/>
                <w:szCs w:val="4"/>
              </w:rPr>
            </w:pPr>
            <w:r>
              <w:rPr>
                <w:sz w:val="4"/>
                <w:szCs w:val="4"/>
              </w:rPr>
            </w:r>
          </w:p>
        </w:tc>
        <w:tc>
          <w:tcPr>
            <w:tcW w:w="1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3" w:type="dxa"/>
            <w:gridSpan w:val="3"/>
            <w:tcBorders/>
            <w:vAlign w:val="center"/>
          </w:tcPr>
          <w:p>
            <w:pPr>
              <w:pStyle w:val="TableContents"/>
              <w:bidi w:val="0"/>
              <w:spacing w:before="0" w:after="283"/>
              <w:ind w:left="0" w:right="0" w:hanging="240"/>
              <w:jc w:val="left"/>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 repurchased and retired</w:t>
            </w:r>
          </w:p>
        </w:tc>
        <w:tc>
          <w:tcPr>
            <w:tcW w:w="12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w:t>
            </w:r>
          </w:p>
        </w:tc>
        <w:tc>
          <w:tcPr>
            <w:tcW w:w="5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129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82,340,884 </w:t>
            </w:r>
          </w:p>
        </w:tc>
        <w:tc>
          <w:tcPr>
            <w:tcW w:w="5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38,387,761 </w:t>
            </w:r>
          </w:p>
        </w:tc>
        <w:tc>
          <w:tcPr>
            <w:tcW w:w="7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has 25,000,000 authorized shares of preferred stock, par value of $0.001 per share, and as of June 30, 2026, no shares of preferred stock were issued or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June 2026, the Company issued 250,000 shares of Class A common stock to certain limited partners of the Partnership in exchange for 250,000 Class B units of the Partnership in accordance with the elective exchange notices submitted pursuant to an agreement with the Class B limited partners (the “Class B Exchange Agreement”) to allow for exchange of Class B units of the Partnership to shares of Class A common stock of the Company on a one-for-one basis, subject to certain restrictions. A corresponding number of shares of Class B common stock were automatically redeemed at par value and canceled in connection with such exchange and a corresponding number of Class A units of the Partnership were issued to the Company. The Company also issued 50,000 shares of Class A common stock to certain limited partners of the Partnership in exchange for 50,000 Class C units of the Partnership in accordance with the elective exchange notices submitted pursuant to the Class C Exchange Agreement, and a corresponding number of Class A units of the Partnership were issued to the Company. The Company also issued 831,428 shares of Class A common stock to certain limited partners of the Partnership in exchange for 831,428 Class D units of the Partnership in accordance with the elective exchange notices submitted pursuant to the Class D Exchange Agreement, and a corresponding number of Class A units of the Partnership were issued to the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60655"/>
                <wp:effectExtent l="0" t="0" r="0" b="0"/>
                <wp:wrapNone/>
                <wp:docPr id="44" name="Frame4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44</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Stock Repurchase Program</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March 9, 2026, the Company’s board of directors authorized a stock repurchase program of up to $100.0 million of the Company’s Class A common stock and Class A units of the Partnership, excluding fees and expenses. Under the stock repurchase program, repurchases may be made from 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the Company in order to maintain the one-to-one ratio between outstanding shares of Class A common stock and Class A units.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about Class A common stock repurchased on the open market:</w:t>
      </w:r>
    </w:p>
    <w:tbl>
      <w:tblPr>
        <w:tblW w:w="7407" w:type="dxa"/>
        <w:jc w:val="left"/>
        <w:tblInd w:w="0" w:type="dxa"/>
        <w:tblLayout w:type="fixed"/>
        <w:tblCellMar>
          <w:top w:w="28" w:type="dxa"/>
          <w:left w:w="28" w:type="dxa"/>
          <w:bottom w:w="28" w:type="dxa"/>
          <w:right w:w="28" w:type="dxa"/>
        </w:tblCellMar>
      </w:tblPr>
      <w:tblGrid>
        <w:gridCol w:w="1558"/>
        <w:gridCol w:w="1369"/>
        <w:gridCol w:w="1378"/>
        <w:gridCol w:w="264"/>
        <w:gridCol w:w="904"/>
        <w:gridCol w:w="136"/>
        <w:gridCol w:w="136"/>
        <w:gridCol w:w="136"/>
        <w:gridCol w:w="136"/>
        <w:gridCol w:w="264"/>
        <w:gridCol w:w="509"/>
        <w:gridCol w:w="136"/>
        <w:gridCol w:w="109"/>
        <w:gridCol w:w="109"/>
        <w:gridCol w:w="109"/>
        <w:gridCol w:w="154"/>
      </w:tblGrid>
      <w:tr>
        <w:trPr/>
        <w:tc>
          <w:tcPr>
            <w:tcW w:w="1558"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2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 except share and per share amounts)</w:t>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of Class A common stock repurchased</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price paid per share</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19,212 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the amount remaining available for repurchases was $72.1 million.</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Purchase of Asset Class Non-Controlling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February 7, 2024, SSG and the Partnership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Transaction Agreements provide for, among other things and subject to the terms and conditions therein, the exchange of the sellers’ equity interests in the Asset Class Entities, as applicable, for a combination of (i) Class D units, in the case of SRA and SRE, or shares of the Company’s Class A common stock, in the case of SPD and (ii) cash (at the discretion of the Company for all exchanges except the initial exchange), in up to ten annual exchanges (increased to up to fifteen annual exchanges in certain circumstances in case of the sellers of SRA equity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annually derived from a formula that establishes an assumed value of each Asset Class Entity based on its estimated adjusted net income, relative to an adjusted trading multiple for the Company’s Class A common stock with respect to the Company’s estimated adjusted net income. The Transaction Agreement specifies a minimum adjusted trading multiple for the exchange to take place. If this threshold is not met for a particular year, the exchange for that year may be skipped and combined with a future exchange in a subsequent year, provided the minimum adjusted trading multiple is met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60655"/>
                <wp:effectExtent l="0" t="0" r="0" b="0"/>
                <wp:wrapNone/>
                <wp:docPr id="45" name="Frame4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45</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On April 1, 2024, certain of the Company’s subsidiaries underwent transactions to effect unitization of the outstanding classes of limited partnership interests. The economic rights and obligations of limited partnership interest holders were the same immediately prior to the unitization as immediately after the unitization. The outstanding classes of limited partnership interests, including the class of interests relating to awards of carried interest allocations granted to employees, were essentially combined into a single class of limited partnership interest and redesignated into units. The class of interests relating to awards of carried interest allocations granted to employees were previously accounted for as compensation arrangements under ASC 710, </w:t>
      </w:r>
      <w:r>
        <w:rPr>
          <w:rFonts w:ascii="Times New Roman;serif" w:hAnsi="Times New Roman;serif"/>
          <w:b w:val="false"/>
          <w:i/>
          <w:color w:val="000000"/>
          <w:sz w:val="22"/>
        </w:rPr>
        <w:t>Compensation</w:t>
      </w:r>
      <w:r>
        <w:rPr>
          <w:rFonts w:ascii="Times New Roman;serif" w:hAnsi="Times New Roman;serif"/>
          <w:b w:val="false"/>
          <w:color w:val="000000"/>
          <w:sz w:val="22"/>
        </w:rPr>
        <w:t>, and presented as carried interest-related compensation expense. The transaction was considered to be a transaction amongst equity holders, and the Company did not recognize any incremental compensation cost related to settlement of the accrued carried interest-related compensation.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Also on April 1, 2024, the Company exchanged certain ordinary shares in the SPD subsidiary and paid $5.4 million to purchase certain preferred shares in SPD with liquidation preference rights in connection with the Transaction Agreements (defined below). There was no change in the Company’s economic interest in SPD as a result of the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the transactions contemplated by the SRA Transaction Agreement and SRE Transaction Agreement, SSG and the Partnership entered into a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on a one-for-one basis with shares of the Company’s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May 29, 2026, the Company completed the third annual exchange (the “2026 Exchange”) to acquire approximately 5% of the equity interests of each of SRA, SRE and SPD pursuant to the Transaction Agreements. As a result of the 2026 Exchange, the Partnership now owns approximately 65% of the outstanding equity interests of SRA, 65% of the outstanding equity interests of SRE and 65% of the outstanding equity interests of SPD. The aggregate consideration paid by the Company in the 2026 Exchange was approximately (i) $10 million in cash, (ii) 972,685 shares of the Company’s Class A common stock and (iii) 2,438,273 Class D units of the Partnership.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accounts for adjustments to the redemption value of a redeemable equity instrument that is currently redeemable by adjusting the carrying value of the equity instrument to the maximum redemption value at each reporting period based on conditions that exist as of the reporting date. If the redeemable equity instrument is probable of becoming redeemable in the near future, the carrying value of a redeemable equity instrument is adjusted to the redemption value immediately as changes occur based on conditions that exist at that date or at each reporting date. For redeemable equity instruments either not redeemable or probable of becoming redeemable in the near future, no adjustment to the carrying value is made until it is probable that the equity instrument will become redeemable. The Company recognizes adjustments to the carrying value of redeemable equity instruments with charges against retained earnings, or to additional paid-in-capital in the absence of retained earnings.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the Company determined that redemption of the redeemable non-controlling interests in subsidiaries was probable and presented the carrying value at the redemption amount based on the conditions that existed as of that date of $9.2 million in the condensed consolidated balance sheets within redeemable non-controlling interests in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60655"/>
                <wp:effectExtent l="0" t="0" r="0" b="0"/>
                <wp:wrapNone/>
                <wp:docPr id="46" name="Frame4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46</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reallocation adjustment between SSG stockholders’ equity, non-controlling interests in the Partnership and non-controlling interests in subsidiaries relates to the impact of changes in economic ownership percentages during the period and adjusting previously recorded equity transactions to the economic ownership percentage as of the end of each reporting period.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Dividends and Distributions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Dividends and distributions are reflected in the condensed consolidated statements of stockholders’ equity when declared by the board of directors. Dividends are made to Class A common stockholders and distributions are made to limited partners of the Partnership and holders of non-controlling interests in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May 20, 2026, the Company announced a quarterly cash dividend of $0.28 per share of Class A common stock and a supplemental cash dividend of $0.55 per share of Class A common stock, both of which were paid on June 30, 2026 to holders of record as of the close of business on June 15, 2026.</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Redeemable Non-Controlling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activities associated with the redeemable non-controlling interests in Consolidated Funds:</w:t>
      </w:r>
    </w:p>
    <w:tbl>
      <w:tblPr>
        <w:tblW w:w="7468" w:type="dxa"/>
        <w:jc w:val="left"/>
        <w:tblInd w:w="0" w:type="dxa"/>
        <w:tblLayout w:type="fixed"/>
        <w:tblCellMar>
          <w:top w:w="28" w:type="dxa"/>
          <w:left w:w="28" w:type="dxa"/>
          <w:bottom w:w="28" w:type="dxa"/>
          <w:right w:w="28" w:type="dxa"/>
        </w:tblCellMar>
      </w:tblPr>
      <w:tblGrid>
        <w:gridCol w:w="1582"/>
        <w:gridCol w:w="1387"/>
        <w:gridCol w:w="1395"/>
        <w:gridCol w:w="211"/>
        <w:gridCol w:w="828"/>
        <w:gridCol w:w="109"/>
        <w:gridCol w:w="109"/>
        <w:gridCol w:w="109"/>
        <w:gridCol w:w="109"/>
        <w:gridCol w:w="211"/>
        <w:gridCol w:w="828"/>
        <w:gridCol w:w="109"/>
        <w:gridCol w:w="109"/>
        <w:gridCol w:w="109"/>
        <w:gridCol w:w="109"/>
        <w:gridCol w:w="154"/>
      </w:tblGrid>
      <w:tr>
        <w:trPr/>
        <w:tc>
          <w:tcPr>
            <w:tcW w:w="158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186,236 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Redemption of redeemable non-controlling interests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459,927 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the activities associated with the redeemable non-controlling interests in subsidiaries:</w:t>
      </w:r>
    </w:p>
    <w:tbl>
      <w:tblPr>
        <w:tblW w:w="4767" w:type="dxa"/>
        <w:jc w:val="left"/>
        <w:tblInd w:w="0" w:type="dxa"/>
        <w:tblLayout w:type="fixed"/>
        <w:tblCellMar>
          <w:top w:w="28" w:type="dxa"/>
          <w:left w:w="28" w:type="dxa"/>
          <w:bottom w:w="28" w:type="dxa"/>
          <w:right w:w="28" w:type="dxa"/>
        </w:tblCellMar>
      </w:tblPr>
      <w:tblGrid>
        <w:gridCol w:w="603"/>
        <w:gridCol w:w="529"/>
        <w:gridCol w:w="532"/>
        <w:gridCol w:w="251"/>
        <w:gridCol w:w="735"/>
        <w:gridCol w:w="130"/>
        <w:gridCol w:w="130"/>
        <w:gridCol w:w="130"/>
        <w:gridCol w:w="130"/>
        <w:gridCol w:w="251"/>
        <w:gridCol w:w="735"/>
        <w:gridCol w:w="130"/>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6,327 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9,214 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6,906 </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14.    Commitments and Contingencies</w:t>
      </w:r>
    </w:p>
    <w:p>
      <w:pPr>
        <w:pStyle w:val="TextBody"/>
        <w:bidi w:val="0"/>
        <w:spacing w:lineRule="auto" w:line="288" w:before="0" w:after="240"/>
        <w:ind w:left="0" w:right="0" w:firstLine="720"/>
        <w:jc w:val="both"/>
        <w:rPr>
          <w:rFonts w:ascii="Times New Roman;serif" w:hAnsi="Times New Roman;serif"/>
          <w:b/>
          <w:color w:val="000000"/>
          <w:sz w:val="22"/>
        </w:rPr>
      </w:pPr>
      <w:r>
        <w:rPr>
          <w:rFonts w:ascii="Times New Roman;serif" w:hAnsi="Times New Roman;serif"/>
          <w:b/>
          <w:color w:val="000000"/>
          <w:sz w:val="22"/>
        </w:rPr>
        <w:t>Litigation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ordinary course of business, and from time to time, the Company may be subject to various legal, regulatory and/or administrative proceedings. The Company accrues a liability for legal proceedings only when those matters present loss contingencies that are both probable and reasonably estimable. In such cases, there may be an exposure to loss in excess of any amounts accrued. Although there can be no assurance of the outcome of such proceedings, based on information known by management, the Company does not expect a potential liability related to any current legal proceedings or claims that would individually or in the aggregate materially affect its condensed consolidated financial statements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60655"/>
                <wp:effectExtent l="0" t="0" r="0" b="0"/>
                <wp:wrapNone/>
                <wp:docPr id="47" name="Frame4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47</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Lease Commitments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leases offices in 31 cities in North America, South America, Europe, Middle East, Asia and Australia, and certain equipment subject to operating lease agreements expiring through 2039, some of which may include options to extend or terminate the lease. As of June 30, 2026, there were no finance leases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May 2025, the Company executed an agreement to lease an additional floor for its New York office. The Company expects to gain access to the office space during the fiscal year ending March 31, 2027. At that time, the Company will establish a ROU asset and lease liability for the new lease. Upon lease commencement, total future lease payments are expected to be approximately $59 million over approximately 15 years.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components of lease expense included in general, administrative and other expenses in the condensed consolidated statements of loss were as follows:</w:t>
      </w:r>
    </w:p>
    <w:tbl>
      <w:tblPr>
        <w:tblW w:w="5022" w:type="dxa"/>
        <w:jc w:val="left"/>
        <w:tblInd w:w="0" w:type="dxa"/>
        <w:tblLayout w:type="fixed"/>
        <w:tblCellMar>
          <w:top w:w="28" w:type="dxa"/>
          <w:left w:w="28" w:type="dxa"/>
          <w:bottom w:w="28" w:type="dxa"/>
          <w:right w:w="28" w:type="dxa"/>
        </w:tblCellMar>
      </w:tblPr>
      <w:tblGrid>
        <w:gridCol w:w="695"/>
        <w:gridCol w:w="610"/>
        <w:gridCol w:w="614"/>
        <w:gridCol w:w="251"/>
        <w:gridCol w:w="735"/>
        <w:gridCol w:w="130"/>
        <w:gridCol w:w="130"/>
        <w:gridCol w:w="130"/>
        <w:gridCol w:w="130"/>
        <w:gridCol w:w="251"/>
        <w:gridCol w:w="735"/>
        <w:gridCol w:w="130"/>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w:t>
            </w:r>
            <w:r>
              <w:rPr>
                <w:rFonts w:ascii="Times New Roman;serif" w:hAnsi="Times New Roman;serif"/>
                <w:b w:val="false"/>
                <w:color w:val="000000"/>
                <w:sz w:val="13"/>
              </w:rPr>
              <w:t>(1)</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3,998 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5,119 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3,911 </w:t>
            </w:r>
          </w:p>
        </w:tc>
        <w:tc>
          <w:tcPr>
            <w:tcW w:w="1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(1)Operating lease cost includes an immaterial amount of short-term leases.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Supplemental cash flow information related to leases was as follows:</w:t>
      </w:r>
    </w:p>
    <w:tbl>
      <w:tblPr>
        <w:tblW w:w="8531" w:type="dxa"/>
        <w:jc w:val="left"/>
        <w:tblInd w:w="0" w:type="dxa"/>
        <w:tblLayout w:type="fixed"/>
        <w:tblCellMar>
          <w:top w:w="28" w:type="dxa"/>
          <w:left w:w="28" w:type="dxa"/>
          <w:bottom w:w="28" w:type="dxa"/>
          <w:right w:w="28" w:type="dxa"/>
        </w:tblCellMar>
      </w:tblPr>
      <w:tblGrid>
        <w:gridCol w:w="2126"/>
        <w:gridCol w:w="1864"/>
        <w:gridCol w:w="1874"/>
        <w:gridCol w:w="362"/>
        <w:gridCol w:w="187"/>
        <w:gridCol w:w="465"/>
        <w:gridCol w:w="187"/>
        <w:gridCol w:w="187"/>
        <w:gridCol w:w="187"/>
        <w:gridCol w:w="362"/>
        <w:gridCol w:w="187"/>
        <w:gridCol w:w="543"/>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0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4,325</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for operating leases (in years)</w:t>
            </w:r>
          </w:p>
        </w:tc>
        <w:tc>
          <w:tcPr>
            <w:tcW w:w="1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for operating leases</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maturities of operating lease liabilities were as follows:</w:t>
      </w:r>
    </w:p>
    <w:tbl>
      <w:tblPr>
        <w:tblW w:w="3846" w:type="dxa"/>
        <w:jc w:val="left"/>
        <w:tblInd w:w="0" w:type="dxa"/>
        <w:tblLayout w:type="fixed"/>
        <w:tblCellMar>
          <w:top w:w="28" w:type="dxa"/>
          <w:left w:w="28" w:type="dxa"/>
          <w:bottom w:w="28" w:type="dxa"/>
          <w:right w:w="28" w:type="dxa"/>
        </w:tblCellMar>
      </w:tblPr>
      <w:tblGrid>
        <w:gridCol w:w="961"/>
        <w:gridCol w:w="845"/>
        <w:gridCol w:w="849"/>
        <w:gridCol w:w="211"/>
        <w:gridCol w:w="82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FY2027</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FY2029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FY2030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FY2031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lease liabilities </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155,979 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116,465 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60655"/>
                <wp:effectExtent l="0" t="0" r="0" b="0"/>
                <wp:wrapNone/>
                <wp:docPr id="48" name="Frame4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48</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Unfunded Capital Commitments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and March 31, 2026, the Company, generally in its capacity as general partner or managing member of the StepStone Funds, had unfunded commitments totaling $132.5 million and $110.0 million, respectively. The $132.5 million and $110.0 million of unfunded commitments as of June 30, 2026 and March 31, 2026, respectively, exclude $23.0 million and $28.3 million, respectively, related to commitments held by general partner entities for certain funds in which the Company does not hold any direct economic interests, including the legacy Greenspring funds. As of June 30, 2026 and March 31, 2026, the Consolidated Funds had unfunded capital commitments to funds of $2,407.8 million and $2,401.1 million, respectively.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Carried Interest Allocations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Carried interest allocations are subject to reversal in the event of future losses, to the extent of the cumulative revenues recognized by the Company in income to date. Additionally, if the Company has received net profits over the life of the fund in excess of its allocable share under the applicable partnership agreement, the Company may be obligated to repay previously distributed carried interest that exceeds the amounts to which the Company is ultimately entitled. In these situations, a liability is accrued for the potential clawback obligation if amounts previously distributed to the Company would require repayment to a fund if such fund were to be liquidated based on the current fair value of their underlying investments as of the reporting date. Actual repayment obligations generally do not become realized until the end of a fund’s life. As of June 30, 2026 and March 31, 2026, no material amounts for potential clawback obligations had been accrued. This contingent obligation is normally reduced by income taxes that the Company has paid related to the carried interest allocations. As of June 30, 2026, the maximum amount of carried interest allocations (excluding legacy Greenspring carried interest allocations) attributable to the Company subject to contingent repayment was an estimated $452.9 million, net of tax, assuming the fair value of all investments was zero, a possibility that the Company views as remote.</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Indemnification Arrangements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normal course of business and consistent with standard business practices, the Company has provided general indemnifications to its limited partners, officers and directors when they act in good faith in the performance of their duties for the Company. The terms of these indemnities vary from contract to contract. The Company’s maximum exposure under these arrangements cannot be determined as these indemnities relate to future claims that may be made against the Company or related parties, but which have not yet occurred. No liability related to these indemnities has been recorded in the condensed consolidated balance sheets as of June 30, 2026 and March 31, 2026. Based on past experience, management believes that the risk of loss related to these indemnities is remote.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15.    Segment Reporting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Company operates as one business, a fully-integrated private markets solution provider. The Company’s chief operating decision maker (“CODM”), who is the Company’s chief executive officer, utilizes a consolidated approach to assess the performance of and allocate resources to the business. Accordingly, management has concluded that the Company consists of a single operating segment and single reportable segment for accounting and financial reporting purposes.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60655"/>
                <wp:effectExtent l="0" t="0" r="0" b="0"/>
                <wp:wrapNone/>
                <wp:docPr id="49" name="Frame4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49</w:t>
                      </w:r>
                    </w:p>
                  </w:txbxContent>
                </v:textbox>
                <w10:wrap type="none"/>
              </v:rect>
            </w:pict>
          </mc:Fallback>
        </mc:AlternateContent>
      </w:r>
    </w:p>
    <w:p>
      <w:pPr>
        <w:pStyle w:val="TextBody"/>
        <w:bidi w:val="0"/>
        <w:spacing w:before="0" w:after="10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StepStone Group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Notes to Condensed Consolidated Financial Statements (Unaudited)</w:t>
      </w:r>
    </w:p>
    <w:p>
      <w:pPr>
        <w:pStyle w:val="TextBody"/>
        <w:bidi w:val="0"/>
        <w:spacing w:lineRule="auto" w:line="288" w:before="20" w:after="283"/>
        <w:jc w:val="center"/>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 and where noted)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Company’s single reportable segment earns substantially all its revenue from management, advisory, and performance fees. The CODM manages the Company on a consolidated basis and utilizes GAAP net income (loss) as presented in the condensed consolidated statements of income (loss) as the primary financial measure used to assess the performance of and allocate resources to the business. The CODM regularly reviews the GAAP condensed consolidated statements of income (loss) including the revenue, expense and other captions as presented in the Company’s periodic filings. There are no other significant expenses or specified revenue and expense categories reviewed by the CODM other than as reflected in the condensed consolidated statements of income (loss). The CODM reviews segment assets at the consolidated level within the condensed consolidated balance sheets, as there is no difference between segment assets and total consolidated assets. As the Company operates as a single segment, the accounting policies utilized by the segment are consistent with those included in the condensed consolidated financial statements here within.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hanging="360"/>
        <w:jc w:val="left"/>
        <w:rPr>
          <w:rFonts w:ascii="Times New Roman;serif" w:hAnsi="Times New Roman;serif"/>
          <w:b/>
          <w:color w:val="000000"/>
          <w:sz w:val="22"/>
        </w:rPr>
      </w:pPr>
      <w:r>
        <w:rPr>
          <w:rFonts w:ascii="Times New Roman;serif" w:hAnsi="Times New Roman;serif"/>
          <w:b/>
          <w:color w:val="000000"/>
          <w:sz w:val="22"/>
        </w:rPr>
        <w:t>16.    Subsequent Events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August 6, 2026, the Company announced a quarterly cash dividend of $0.33 per share of Class A common stock, payable on September 15, 2026 to holders of record as of the close of business on August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60655"/>
                <wp:effectExtent l="0" t="0" r="0" b="0"/>
                <wp:wrapNone/>
                <wp:docPr id="50" name="Frame5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Item 2. Management’s Discussion and Analysis of Financial Condition and Results of Operations</w:t>
      </w:r>
    </w:p>
    <w:p>
      <w:pPr>
        <w:pStyle w:val="TextBody"/>
        <w:bidi w:val="0"/>
        <w:spacing w:lineRule="auto" w:line="276"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The following discussion and analysis should be read in conjunction with the unaudited condensed consolidated financial statements and the related notes included within this quarterly report on Form 10-Q and our audited financial statements, the related notes, and Management’s Discussion and Analysis of Financial Condition and Results of Operations included in our annual report on Form 10-K for the fiscal year ended March 31, 2026 filed with the SEC. In this quarterly report, references to “we,” “us,” “our,” “StepStone” and similar terms refer to SSG and its consolidated subsidiaries, including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Business Overview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are a global private markets investment firm focused on providing customized investment solutions and advisory and data services to our clients. Our clients include some of the world’s largest public and private defined benefit and defined contribution pension funds, sovereign wealth funds and insurance companies, as well as prominent endowments, foundations, family offices and private wealth clients, which include high-net-worth and mass affluent individuals. We partner with our clients to develop and build private markets portfolios designed to meet their specific objectives across the private equity, infrastructure, private debt and real estate asset classes. These portfolios utilize several types of synergistic investment strategies with third-party fund managers, including commitments to funds (“primaries”), acquiring stakes in existing funds on the secondary market (“secondaries”) and investing directly into companies (“co-investments”). As of June 30, 2026, we were responsible for approximately $913 billion of total capital, including $245 billion of AUM and $668 billion of AUA.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a global firm and believe that our multi-asset class expertise, local knowledge, business relationships, proprietary data and technology, and presence are all critical to securing a competitive edge in the private markets. We deploy a local staffing model, operating from 31 cities across 19 countries on five continents. Our offices are staffed by investment professionals who bring valuable regional insights and language proficiency to enhance existing client relationships and build new client relationships. Since our inception in 2007, we have invested and continue to invest heavily in our platforms to drive growth and expand our investment solutions capabilities and service offerings, including through opportunistic transactions that have helped accelerate the growth of our team and capabilities. As of June 30, 2026, we had 1,355 total employees, including approximately 425 investment professionals and approximately 925 employees across our operating team and implementation teams dedicated to sourcing, executing, analyzing and monitoring private markets opportunities.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have a flexible business model whereby many of our clients engage us for solutions across multiple asset classes and investment strategies. Our solutions are typically offered in the following commercial structures: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Separately managed accounts (“SMAs”)</w:t>
      </w:r>
      <w:r>
        <w:rPr>
          <w:rFonts w:ascii="Times New Roman;serif" w:hAnsi="Times New Roman;serif"/>
          <w:b w:val="false"/>
          <w:color w:val="000000"/>
          <w:sz w:val="22"/>
        </w:rPr>
        <w:t>. Owned by one client and managed according to their specific preferences, SMAs integrate a combination of primaries, secondaries and co-investments across one or more asset classes. SMAs are meant to address clients’ specific portfolio objectives with respect to return, risk tolerance, diversification and liquidity. SMAs, including directly managed assets, comprised $140 billion of our AUM as of June 30, 2026</w:t>
      </w:r>
      <w:r>
        <w:rPr>
          <w:rFonts w:ascii="Times New Roman;serif" w:hAnsi="Times New Roman;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Focused commingled funds. </w:t>
      </w:r>
      <w:r>
        <w:rPr>
          <w:rFonts w:ascii="Times New Roman;serif" w:hAnsi="Times New Roman;serif"/>
          <w:b w:val="false"/>
          <w:color w:val="231F20"/>
          <w:sz w:val="22"/>
        </w:rPr>
        <w:t xml:space="preserve">Owned by multiple clients, our focused commingled funds deploy capital in specific asset classes with defined investment strategies. Focused commingled funds comprised $89 billion of our AUM as of </w:t>
      </w:r>
      <w:r>
        <w:rPr>
          <w:rFonts w:ascii="Times New Roman;serif" w:hAnsi="Times New Roman;serif"/>
          <w:b w:val="false"/>
          <w:color w:val="000000"/>
          <w:sz w:val="22"/>
        </w:rPr>
        <w:t>June 30, 2026</w:t>
      </w:r>
      <w:r>
        <w:rPr>
          <w:rFonts w:ascii="Times New Roman;serif" w:hAnsi="Times New Roman;serif"/>
          <w:b w:val="false"/>
          <w:color w:val="231F20"/>
          <w:sz w:val="22"/>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60655"/>
                <wp:effectExtent l="0" t="0" r="0" b="0"/>
                <wp:wrapNone/>
                <wp:docPr id="51" name="Frame5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Advisory and data services. </w:t>
      </w:r>
      <w:r>
        <w:rPr>
          <w:rFonts w:ascii="Times New Roman;serif" w:hAnsi="Times New Roman;serif"/>
          <w:b w:val="false"/>
          <w:color w:val="231F20"/>
          <w:sz w:val="22"/>
        </w:rPr>
        <w:t xml:space="preserve">These services include one or more of the following for our clients: (i) recurring support of portfolio construction and design; (ii) discrete or project-based due diligence, advice and investment recommendations; (iii) detailed review of existing private markets investments, including portfolio-level repositioning recommendations where appropriate; (iv) consulting on investment pacing, policies, strategic plans, and asset allocation to investment boards and committees; and (v) licensed access to our proprietary data and technology platforms, including StepStone Private Markets Intelligence (“SPI”) Research and our other proprietary tools. Advisory relationships comprised </w:t>
      </w:r>
      <w:r>
        <w:rPr>
          <w:rFonts w:ascii="Times New Roman;serif" w:hAnsi="Times New Roman;serif"/>
          <w:b w:val="false"/>
          <w:color w:val="000000"/>
          <w:sz w:val="22"/>
        </w:rPr>
        <w:t>$668 billion</w:t>
      </w:r>
      <w:r>
        <w:rPr>
          <w:color w:val="231F20"/>
        </w:rPr>
        <w:t xml:space="preserve"> </w:t>
      </w:r>
      <w:r>
        <w:rPr>
          <w:rFonts w:ascii="Times New Roman;serif" w:hAnsi="Times New Roman;serif"/>
          <w:b w:val="false"/>
          <w:color w:val="231F20"/>
          <w:sz w:val="22"/>
        </w:rPr>
        <w:t xml:space="preserve">of our AUA and $16 billion of our AUM as of </w:t>
      </w:r>
      <w:r>
        <w:rPr>
          <w:rFonts w:ascii="Times New Roman;serif" w:hAnsi="Times New Roman;serif"/>
          <w:b w:val="false"/>
          <w:color w:val="000000"/>
          <w:sz w:val="22"/>
        </w:rPr>
        <w:t>June 30, 2026</w:t>
      </w:r>
      <w:r>
        <w:rPr>
          <w:rFonts w:ascii="Times New Roman;serif" w:hAnsi="Times New Roman;serif"/>
          <w:b w:val="false"/>
          <w:color w:val="231F20"/>
          <w:sz w:val="22"/>
        </w:rPr>
        <w: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Portfolio analytics and reporting. </w:t>
      </w:r>
      <w:r>
        <w:rPr>
          <w:rFonts w:ascii="Times New Roman;serif" w:hAnsi="Times New Roman;serif"/>
          <w:b w:val="false"/>
          <w:color w:val="231F20"/>
          <w:sz w:val="22"/>
        </w:rPr>
        <w:t xml:space="preserve">We provide clients with tailored reporting packages, including customized performance benchmarks as well as associated compliance, administrative and tax capabilities. Mandates for portfolio analytics and reporting services typically include licensed access to our proprietary performance monitoring software, SPI Reporting. We provided portfolio analytics and reporting on over $938 billion of client commitments through SPI Reporting as of </w:t>
      </w:r>
      <w:r>
        <w:rPr>
          <w:rFonts w:ascii="Times New Roman;serif" w:hAnsi="Times New Roman;serif"/>
          <w:b w:val="false"/>
          <w:color w:val="000000"/>
          <w:sz w:val="22"/>
        </w:rPr>
        <w:t>June 30, 2026</w:t>
      </w:r>
      <w:r>
        <w:rPr>
          <w:rFonts w:ascii="Times New Roman;serif" w:hAnsi="Times New Roman;serif"/>
          <w:b w:val="false"/>
          <w:color w:val="231F2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generate revenues from management and advisory fees and performance fees earned pursuant to contractual arrangements with the StepStone Funds and our clients. We also invest our own capital in the StepStone Funds we manage to align our interests with those of our clients. Through these investments, we earn a pro-rata share of the results of such funds and may also be entitled to an allocation of performance-based fees from the limited partners in the StepStone Funds, commonly referred to as carried interest.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Trends Affecting Our Business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business is affected by a variety of factors, including conditions in the financial markets, regulatory environment, and economic and political conditions. Changes in global economic conditions and regulatory or other governmental policies or actions can materially affect the values of the StepStone Funds’ holdings, our ability to source attractive investments and completely utilize the capital that we have raised, and result in increased compliance costs and administrative burdens. However, we believe our disciplined investment philosophy across our diversified investment strategies has historically contributed to the stability of our performance throughout market cycles. Furthermore, we operate at scale across all four private markets asset classes and service clients across a broad range of geography, type, and size, which contributes to our operating resilience and mitigates against concentration risk.</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In addition to these macroeconomic trends and market factors, we believe our future performance will be influenced by the following factors: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The extent to which clients favor private markets investments. </w:t>
      </w:r>
      <w:r>
        <w:rPr>
          <w:rFonts w:ascii="Times New Roman;serif" w:hAnsi="Times New Roman;serif"/>
          <w:b w:val="false"/>
          <w:color w:val="231F20"/>
          <w:sz w:val="22"/>
        </w:rPr>
        <w:t>Our ability to attract new capital is partially dependent on clients’ views of private markets relative to traditional asset classes. We believe our fundraising efforts will continue to be subject to certain fundamental asset management trends, including (1) the increasing importance and market share of private markets investment strategies to clients of all types as clients focus on lower-correlated and absolute levels of return, (2) the increasing demand for private markets investments from private wealth clients, (3) shifting asset allocation policies of institutional clients and (4) increasing barriers to entry and growth for potential competitors.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Our ability to generate strong, stable returns. </w:t>
      </w:r>
      <w:r>
        <w:rPr>
          <w:rFonts w:ascii="Times New Roman;serif" w:hAnsi="Times New Roman;serif"/>
          <w:b w:val="false"/>
          <w:color w:val="231F20"/>
          <w:sz w:val="22"/>
        </w:rPr>
        <w:t>Our ability to raise and retain capital is partially dependent on the investment returns we are able to generate for our clients and drives growth in our fee-earning AUM (“FEAUM”) and management fees. Although our FEAUM and management fees have grown significantly since our inception, adverse market conditions or an outflow of capital in the private markets management industry in general could affect our future growth rate. In addition, market dislocations, contractions or volatility could put pressure on our returns in the future which could in turn affect our fundraising 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60655"/>
                <wp:effectExtent l="0" t="0" r="0" b="0"/>
                <wp:wrapNone/>
                <wp:docPr id="52" name="Frame5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Our ability to maintain our data advantage relative to competitors. </w:t>
      </w:r>
      <w:r>
        <w:rPr>
          <w:rFonts w:ascii="Times New Roman;serif" w:hAnsi="Times New Roman;serif"/>
          <w:b w:val="false"/>
          <w:color w:val="231F20"/>
          <w:sz w:val="22"/>
        </w:rPr>
        <w:t>Our proprietary data and technology platforms, analytical tools and deep industry knowledge allow us to provide our clients with customized investment solutions, including asset management services and tailored reporting packages, such as customized performance benchmarks as well as compliance, administration and tax capabilities. Our ability to maintain our data advantage is dependent on a number of factors, including our continued access to a broad set of private market information and our ability to grow our relationships with fund managers and clients of all types.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Our ability to source investments with attractive risk-adjusted returns. </w:t>
      </w:r>
      <w:r>
        <w:rPr>
          <w:rFonts w:ascii="Times New Roman;serif" w:hAnsi="Times New Roman;serif"/>
          <w:b w:val="false"/>
          <w:color w:val="231F20"/>
          <w:sz w:val="22"/>
        </w:rPr>
        <w:t>The continued growth in our revenues is dependent on our ability to identify attractive investments and deploy the capital that we have raised. However, the capital deployed in any one quarter may vary significantly from period to period due to the availability of attractive opportunities and the long-term nature of our investment strategies. Our ability to identify attractive investments is dependent on a number of factors, including the general macroeconomic environment, valuation, transaction size, and the liquidity of an investment opportunity. A significant decrease in the quality or quantity of potential opportunities could significantly and adversely affect our ability to source investments with attractive risk-adjusted returns.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i/>
          <w:color w:val="231F20"/>
          <w:sz w:val="22"/>
        </w:rPr>
        <w:t xml:space="preserve">Increased competition and clients’ desire to work with fewer managers. </w:t>
      </w:r>
      <w:r>
        <w:rPr>
          <w:rFonts w:ascii="Times New Roman;serif" w:hAnsi="Times New Roman;serif"/>
          <w:b w:val="false"/>
          <w:color w:val="231F20"/>
          <w:sz w:val="22"/>
        </w:rPr>
        <w:t>There has been an increasing desire on the part of larger institutional investors to build deeper relationships with fewer private markets managers. At times, this has led to certain funds being oversubscribed due to the increasing flow of capital. Our ability to invest and maintain our relationships with high-performing fund managers across private markets asset classes is critical to our clients’ success and our ability to maintain our competitive position and grow our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Current Events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2026, financial markets have continued to experience significant volatility and uncertainty driven by, among other factors, U.S. trade policy developments, elevated inflation, elevated interest rates and interest rate uncertainty, fluctuations in foreign currency exchange rates, and geopolitical developments, including the ongoing Russia-Ukraine conflict and developments in the Middle East. Although inflation remains above the Federal Reserve's long-term target, global growth has moderated, and interest rates remain elevated, U.S. unemployment has remained relatively low and the U.S. economy has continued to expand in 2026.</w:t>
      </w:r>
    </w:p>
    <w:p>
      <w:pPr>
        <w:pStyle w:val="TextBody"/>
        <w:bidi w:val="0"/>
        <w:spacing w:lineRule="auto" w:line="288" w:before="0" w:after="240"/>
        <w:ind w:left="0" w:right="0" w:firstLine="720"/>
        <w:jc w:val="left"/>
        <w:rPr/>
      </w:pPr>
      <w:r>
        <w:rPr>
          <w:rFonts w:ascii="Times New Roman;serif" w:hAnsi="Times New Roman;serif"/>
          <w:b w:val="false"/>
          <w:color w:val="231F20"/>
          <w:sz w:val="22"/>
        </w:rPr>
        <w:t xml:space="preserve">We are continuing to closely monitor developments related to inflation, decreasing but still elevated interest rates, </w:t>
      </w:r>
      <w:r>
        <w:rPr>
          <w:rFonts w:ascii="Times New Roman;serif" w:hAnsi="Times New Roman;serif"/>
          <w:b w:val="false"/>
          <w:color w:val="000000"/>
          <w:sz w:val="22"/>
        </w:rPr>
        <w:t>trade, regulatory and other governmental policy</w:t>
      </w:r>
      <w:r>
        <w:rPr>
          <w:rFonts w:ascii="Times New Roman;serif" w:hAnsi="Times New Roman;serif"/>
          <w:b w:val="false"/>
          <w:color w:val="231F20"/>
          <w:sz w:val="22"/>
        </w:rPr>
        <w:t xml:space="preserve">, </w:t>
      </w:r>
      <w:r>
        <w:rPr>
          <w:rFonts w:ascii="Times New Roman;serif" w:hAnsi="Times New Roman;serif"/>
          <w:b w:val="false"/>
          <w:color w:val="000000"/>
          <w:sz w:val="22"/>
        </w:rPr>
        <w:t xml:space="preserve">fluctuations in foreign currency exchange rates, </w:t>
      </w:r>
      <w:r>
        <w:rPr>
          <w:rFonts w:ascii="Times New Roman;serif" w:hAnsi="Times New Roman;serif"/>
          <w:b w:val="false"/>
          <w:color w:val="231F20"/>
          <w:sz w:val="22"/>
        </w:rPr>
        <w:t>banking system and credit market volatility,</w:t>
      </w:r>
      <w:r>
        <w:rPr>
          <w:color w:val="000000"/>
        </w:rPr>
        <w:t xml:space="preserve"> </w:t>
      </w:r>
      <w:r>
        <w:rPr>
          <w:rFonts w:ascii="Times New Roman;serif" w:hAnsi="Times New Roman;serif"/>
          <w:b w:val="false"/>
          <w:color w:val="000000"/>
          <w:sz w:val="22"/>
        </w:rPr>
        <w:t>geopolitical tension, unrest or conflicts, including in or with China, Russia, Ukraine, Europe and the Middle East</w:t>
      </w:r>
      <w:r>
        <w:rPr>
          <w:rFonts w:ascii="Times New Roman;serif" w:hAnsi="Times New Roman;serif"/>
          <w:b w:val="false"/>
          <w:color w:val="231F20"/>
          <w:sz w:val="22"/>
        </w:rPr>
        <w:t>, and assess the impact on financial markets and on our business. Our results and the overall industry results have been, and may continue to be, adversely affected by slower, uneven or more challenging fundraising activity and capital deployment, which have resulted in, and may continue to result in, delayed or decreased management fees. Further, fund managers have been unable or less able to exit existing investments profitably. Such conditions have resulted in, and may continue to result in, delayed or decreased performance fee revenues. I</w:t>
      </w:r>
      <w:r>
        <w:rPr>
          <w:rFonts w:ascii="Times New Roman;serif" w:hAnsi="Times New Roman;serif"/>
          <w:b w:val="false"/>
          <w:color w:val="000000"/>
          <w:sz w:val="22"/>
        </w:rPr>
        <w:t>t is currently not possible to predict the ultimate effects of these events on the financial markets, the overall economy and our condensed consolidated financial statements. See “Risk Factors—Risks Related to Our Industry—Difficult or volatile market and political conditions can adversely affect our business by reducing the market value of the assets we manage, causing our clients to reduce their investments in private markets, reducing the number of high-quality investment managers with whom we may invest, and reducing the ability of our funds to raise or deploy capital” and “Risk Factors—Banking system volatility may adversely affect the results and financial condition of the StepStone Funds or StepStone generally” included in our annual report on Form 10-K for the fiscal year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60655"/>
                <wp:effectExtent l="0" t="0" r="0" b="0"/>
                <wp:wrapNone/>
                <wp:docPr id="53" name="Frame5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Corporate Transactions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Purchase of Asset Class Non-Controlling Interests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February 7, 2024, we entered into agreements (the “Transaction Agreements”) with each of SRA, SRE and SPD (the “Asset Class Entities”), their respective asset class heads as seller representatives, the seller parties signatory thereto, and certain other parties. The Transaction Agreements provide a path to the Partnership owning all of the outstanding equity interests of the Asset Class Entities over a defined period of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Transaction Agreements provide for, among other things and subject to the terms and conditions therein, the exchange of the sellers’ equity interests in the Asset Class Entities, as applicable, for a combination of (i) Class D units of the Partnership, in the case of SRA and SRE, or shares of Class A common stock of SSG, in the case of SPD, and (ii) cash (at our discretion for all exchanges except the initial exchange), in up to ten annual exchanges (or up to fifteen annual exchanges in certain circumstances in the case of the sellers of SRA equity interests). Each Transaction Agreement also provides that beginning after the fifth annual exchange, future exchanges may be accelerated into one final exchange in certain circumstances.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portion of the equity interests expected to be acquired in each annual exchange is set forth in an exchange schedule attached to each Transaction Agreement and is approximately 5% of each Asset Class Entity on each contemplated annual exchange date. The amount of consideration to be delivered is calculated using exchange ratios annually derived from a formula that establishes an assumed value of each Asset Class Entity based on its estimated adjusted net income, relative to an adjusted trading multiple for our Class A common stock with respect to our estimated adjusted net income. The Transaction Agreement specifies a minimum adjusted trading multiple for the exchange to take place. If this threshold is not met for a particular year, which is a possibility for 2027 if the current adjusted trading multiple for the Company’s Class A common stock remains at current levels, the exchange for that year may be skipped and combined with a future exchange in a subsequent year, provided the minimum adjusted trading multiple is met at that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the transactions contemplated by the SRA Transaction Agreement and SRE Transaction Agreement, we entered into a Class D Exchange Agreement (the “Class D Exchange Agreement”) at the closing of the 2024 Exchange on May 31, 2024. The Class D Exchange Agreement provides, among other things, sellers under the SRA Transaction Agreement and SRE Transaction Agreement with the ability, in certain circumstances and subject to certain conditions, to exchange the Class D units issued to them in connection with the SRA Transaction Agreement and SRE Transaction Agreement on a one-for-one basis with shares of Class A common stock, par value $0.001. In addition, the Class D Exchange Agreement restricts the exchange of the Class D units issued to such sellers, which restriction applies for a maximum of one year (or two years if a Transaction Agreement Exchange (as defined in the Class D Exchange Agreement) constitutes an Acceleration Exchange (as defined in the Class D Exchange Agreement)), subject to certain exceptions.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May 29, 2026, we completed the third annual exchange (the “2026 Exchange”) to acquire approximately 5% of the equity interests of each of SRA, SRE and SPD pursuant to the Transaction Agreements dated as of February 7, 2024. As a result of the 2026 Exchange, the Partnership now owns approximately 65% of the outstanding equity interests of SRA, 65% of the outstanding equity interests of SRE and 65% of the outstanding equity interests of SPD. The aggregate consideration paid by us in the 2026 Exchange was approximately (i) $10 million in cash, (ii) 972,685 shares of Class A common stock and (iii) 2,438,273 Class D units of the Partnership.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60655"/>
                <wp:effectExtent l="0" t="0" r="0" b="0"/>
                <wp:wrapNone/>
                <wp:docPr id="54" name="Frame5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Equity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June 2026, we issued 250,000 shares of Class A common stock to certain limited partners of the Partnership in exchange for 250,000 Class B units of the Partnership in accordance with the elective exchange notices submitted pursuant to an agreement with the Class B limited partners (the “Class B Exchange Agreement”) to allow for exchange of Class B units of the Partnership to shares of our Class A common stock on a one-for-one basis, subject to certain restrictions. A corresponding number of shares of Class B common stock were automatically redeemed at par value and canceled in connection with such exchange and a corresponding number of Class A units of the Partnership were issued to us. We also issued 50,000 shares of Class A common stock to certain limited partners of the Partnership in exchange for 50,000 Class C units of the Partnership in accordance with the elective exchange notices submitted pursuant to an agreement with the Class C limited partners (the “Class C Exchange Agreement”) to allow for exchange of Class C units of the Partnership to shares of our Class A common stock on a one-for-one basis, subject to certain restrictions. A corresponding number of Class A units of the Partnership were issued to us. We also issued 831,428 shares of Class A common stock to certain limited partners of the Partnership in exchange for 831,428 Class D units of the Partnership in accordance with the elective exchange notices submitted pursuant to the Class D Exchange Agreement, and a corresponding number of Class A units of the Partnership were issued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Organizational Structure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SSG is a holding company and its only business is to act as the managing member of the General Partner, and its only material assets are Class A units in the Partnership and 100% of the interests in the General Partner. In its capacity as the sole managing member of the General Partner, SSG indirectly operates and controls all of the Partnership’s business and affairs. Therefore, we consolidate the financial results of the Partnership and report non-controlling interests (“NCI”) related to the Class B units, Class C units and Class D units held by partners of the Partnership in our consolidated financial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Pursuant to the StepStone Limited Partnership Agreement, the Class B Exchange Agreement, the Class C Exchange Agreement and the Class D Exchange Agreement that SSG and the Partnership entered into with partners holding Class B units, Class C units and Class D units of the Partnership, respectively, each Class B unit, Class C unit or Class D unit is exchangeable for one share of SSG’s Class A common stock or, at SSG’s election, for cash, subject to certain restrictions specified in the relevant exchange agreement. When a Class B unit, Class C unit or Class D unit is surrendered for exchange, it will not be available for reissuance. When a Class B unit is exchanged for a share of SSG’s Class A common stock, a corresponding share of SSG’s Class B common stock will automatically be redeemed by SSG at par value and canceled. There are no corresponding shares of common stock for the Class C and Class D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60655"/>
                <wp:effectExtent l="0" t="0" r="0" b="0"/>
                <wp:wrapNone/>
                <wp:docPr id="55" name="Frame5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diagram below illustrates our organizational structure as of June 30, 2026.</w:t>
      </w:r>
    </w:p>
    <w:p>
      <w:pPr>
        <w:pStyle w:val="TextBody"/>
        <w:bidi w:val="0"/>
        <w:spacing w:before="0" w:after="240"/>
        <w:ind w:left="0" w:right="0" w:firstLine="720"/>
        <w:jc w:val="center"/>
        <w:rPr/>
      </w:pPr>
      <w:r>
        <w:rPr/>
        <w:drawing>
          <wp:inline distT="0" distB="0" distL="0" distR="0">
            <wp:extent cx="6057900" cy="2619375"/>
            <wp:effectExtent l="0" t="0" r="0" b="0"/>
            <wp:docPr id="5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 descr=""/>
                    <pic:cNvPicPr>
                      <a:picLocks noChangeAspect="1" noChangeArrowheads="1"/>
                    </pic:cNvPicPr>
                  </pic:nvPicPr>
                  <pic:blipFill>
                    <a:blip r:embed="rId2"/>
                    <a:stretch>
                      <a:fillRect/>
                    </a:stretch>
                  </pic:blipFill>
                  <pic:spPr bwMode="auto">
                    <a:xfrm>
                      <a:off x="0" y="0"/>
                      <a:ext cx="6057900" cy="2619375"/>
                    </a:xfrm>
                    <a:prstGeom prst="rect">
                      <a:avLst/>
                    </a:prstGeom>
                  </pic:spPr>
                </pic:pic>
              </a:graphicData>
            </a:graphic>
          </wp:inline>
        </w:drawing>
      </w:r>
      <w:bookmarkStart w:id="0" w:name="i-1"/>
      <w:bookmarkEnd w:id="0"/>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Amounts may not sum to 100% due to rounding.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(1)The partners of the Partnership other than StepStone Group Inc. are: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the General Partner, which holds a 100% general partner interest and no economic interests;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certain members of management, employee and former employee owners and outside investors, all of whom own Class B units and an equivalent number of shares of Class B common stock;</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certain employee and former employee owners who own Class C units; and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 xml:space="preserve">certain employee owners who own Class D units.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(2)Each share of Class A common stock is entitled to one vote and votes together with the Class B common stock as a single class, except as set forth in SSG’s amended and restated certificate of incorporation or as required by law.</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(3)Each share of Class B common stock is entitled to one vote and votes together with the Class A common stock as a single class, except as set forth in SSG’s amended and restated certificate of incorporation or as required by law. The economic rights of our Class B common stock are limited to the right to be redeemed at par value.</w:t>
      </w:r>
    </w:p>
    <w:p>
      <w:pPr>
        <w:pStyle w:val="TextBody"/>
        <w:bidi w:val="0"/>
        <w:spacing w:lineRule="auto" w:line="288" w:before="0" w:after="240"/>
        <w:ind w:left="0" w:right="0" w:firstLine="720"/>
        <w:jc w:val="left"/>
        <w:rPr/>
      </w:pPr>
      <w:r>
        <w:rPr>
          <w:rFonts w:ascii="Times New Roman;serif" w:hAnsi="Times New Roman;serif"/>
          <w:b w:val="false"/>
          <w:color w:val="000000"/>
          <w:sz w:val="22"/>
          <w:shd w:fill="FFFFFF" w:val="clear"/>
        </w:rPr>
        <w:t xml:space="preserve">Prior to </w:t>
      </w:r>
      <w:r>
        <w:rPr>
          <w:rFonts w:ascii="Times New Roman;serif" w:hAnsi="Times New Roman;serif"/>
          <w:b w:val="false"/>
          <w:color w:val="000000"/>
          <w:sz w:val="22"/>
        </w:rPr>
        <w:t>September 18, 2025, holders of our Class B common stock controlled a majority of the voting power of our outstanding common stock because (i) each share of our Class B common stock entitled its holder to five votes on all matters to be voted on by stockholders generally, until the earliest to occur of certain ownership changes or September 18, 2025 as set forth in our then current Amended and Restated Certificate of Incorporation (the “Sunset”) and (ii) under our Amended and Restated Stockholders Agreement, dated as of September 20, 2021 (the “Stockholders Agreement”), certain Class A stockholders, Class B stockholders and Class C unitholders in the Partnership agreed to vote all of their shares of voting stock together with and as directed by the Class B Committee (as defined in the Stockholders Agreement). As a result, prior to September 18, 2025, we qualified as a “controlled company” within the meaning of the corporate governance rules of The Nasdaq Global Select Market LLC (“Nasdaq”). Under these rules, a listed company of which more than 50% of the voting power with respect to the election of directors is held by an individual, group or another company is a “controlled company” and may elect not to comply with certain corporate governance requirements. Consistent with this, until the occurrence of the Sunset, we elected not to comply with certain corporate governance requirements, including the requirements that (i) a majority of our board of directors consist of independent directors, (ii) director nominees be selected or recommended to the board entirely by independent directors and (iii) the compensation committee be composed entirely of independent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60655"/>
                <wp:effectExtent l="0" t="0" r="0" b="0"/>
                <wp:wrapNone/>
                <wp:docPr id="57" name="Frame5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However, since the occurrence of the Sunset and expiration of the Stockholders Agreement on September 18, 2025, each share of Class A common stock and Class B common stock is entitled to one vote, and we no longer qualify as a “controlled company” within the meaning of the Nasdaq rules. As a result, we are required to come into compliance with Nasdaq’s corporate governance requirements applicable to non-controlled companies as described above no later than September 18, 2026. Until the Company fully complies with these requirements, stockholders may not have the same protections afforded to stockholders of companies that are subject to all of the corporate governance requirements under the Nasdaq rules. The Company has taken the action necessary to comply with the Nasdaq rules that apply to non-controlled companies, including transitioning our board of directors to being composed of a majority of independent directors by September 18, 2026. As described under “Composition of our Board of Directors” in the Company’s definitive Proxy Statement filed with the SEC on July 21, 2026 for its 2026 Annual Meeting of Stockholders (the “Annual Meeting”), the Company has nominated seven directors for election at the Annual Meeting, four of whom we have determined to be independent, and, if all seven director nominees are elected, the majority of the Company’s board of directors will be composed of independent directors as of the date of the Annual Meeting, in compliance with the Nasdaq rules. Additionally, each of the compensation committee and the nominating and corporate governance committee of our board of directors is composed entirely of independent directors, in compliance with the Nasdaq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Key Financial Measures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key financial measures are discussed below. Additional information regarding our significant accounting policies can be found in note 2 to our condensed consolidated financial statements included elsewhere in this quarterly report.</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generate revenues primarily from management and advisory fees, incentive fees and allocations of carried interest. </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Management and Advisory Fees, Net </w:t>
      </w:r>
    </w:p>
    <w:p>
      <w:pPr>
        <w:pStyle w:val="TextBody"/>
        <w:bidi w:val="0"/>
        <w:spacing w:lineRule="auto" w:line="288" w:before="0" w:after="240"/>
        <w:ind w:left="0" w:right="0" w:firstLine="720"/>
        <w:jc w:val="left"/>
        <w:rPr/>
      </w:pPr>
      <w:r>
        <w:rPr>
          <w:rFonts w:ascii="Times New Roman;serif" w:hAnsi="Times New Roman;serif"/>
          <w:b w:val="false"/>
          <w:color w:val="231F20"/>
          <w:sz w:val="22"/>
        </w:rPr>
        <w:t>Management and advisory fees, net, consist of fees received from managing SMAs and focused commingled funds, advisory and data services, and portfolio analytics and reporting. Management fees include income-based incentive fees, which are predictable and recurring in nature and paid quarterly based on net investment income of certain funds</w:t>
      </w:r>
      <w:r>
        <w:rPr>
          <w:rFonts w:ascii="Times New Roman;serif" w:hAnsi="Times New Roman;serif"/>
          <w:b w:val="false"/>
          <w:color w:val="000000"/>
          <w:sz w:val="22"/>
        </w:rPr>
        <w: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231F20"/>
          <w:sz w:val="22"/>
        </w:rPr>
        <w:t xml:space="preserve">Management fees from SMAs are generally based on a contractual rate applied to committed capital or net invested capital. These fees will vary over the life of the contract due to changes in the fee basis or contractual rate changes or thresholds, built-in declines in applicable contractual rates, and/or changes in net invested capital balances. The weighted-average management fee rate from SMAs was approximately </w:t>
      </w:r>
      <w:r>
        <w:rPr>
          <w:rFonts w:ascii="Times New Roman;serif" w:hAnsi="Times New Roman;serif"/>
          <w:b w:val="false"/>
          <w:color w:val="000000"/>
          <w:sz w:val="22"/>
        </w:rPr>
        <w:t xml:space="preserve">0.39% and </w:t>
      </w:r>
      <w:r>
        <w:rPr>
          <w:rFonts w:ascii="Times New Roman;serif" w:hAnsi="Times New Roman;serif"/>
          <w:b w:val="false"/>
          <w:color w:val="231F20"/>
          <w:sz w:val="22"/>
        </w:rPr>
        <w:t>0.37% of average FEAUM for the twelve months ended June 30, 2025 and 2026, respectively.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231F20"/>
          <w:sz w:val="22"/>
        </w:rPr>
        <w:t>Management fees from focused commingled funds are generally based on a specified fee rate applied against client capital commitments during a defined investment or commitment period. Thereafter, management fees are typically calculated based on a contractual rate applied against net invested capital, or a stepped-down fee rate applied against the initial commitment. The weighted-average management fee rate from focused commingled funds was approximately 1.02% of average FEAUM for the twelve months ended June 30, 2025 and 2026, and primarily reflected the timing of new funds and growth in our private wealth funds which earn higher fee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60655"/>
                <wp:effectExtent l="0" t="0" r="0" b="0"/>
                <wp:wrapNone/>
                <wp:docPr id="58" name="Frame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231F20"/>
          <w:sz w:val="22"/>
        </w:rPr>
        <w:t>The weighted-average management fee rate across SMAs and focused commingled funds was approximately 0.64% and 0.65% of average FEAUM for the twelve months ended June 30, 2025 and 2026, respectively, and primarily reflected the timing of new funds, shifts in mix between SMAs and focused commingled funds and growth in our private wealth funds which earn higher fee rates.</w:t>
      </w:r>
    </w:p>
    <w:p>
      <w:pPr>
        <w:pStyle w:val="TextBody"/>
        <w:bidi w:val="0"/>
        <w:spacing w:lineRule="auto" w:line="288" w:before="0" w:after="240"/>
        <w:ind w:left="0" w:right="0" w:hanging="360"/>
        <w:jc w:val="left"/>
        <w:rPr/>
      </w:pPr>
      <w:r>
        <w:rPr>
          <w:color w:val="231F20"/>
        </w:rPr>
        <w:t>•</w:t>
      </w:r>
      <w:r>
        <w:rPr>
          <w:rFonts w:ascii="Times New Roman;serif" w:hAnsi="Times New Roman;serif"/>
          <w:b w:val="false"/>
          <w:color w:val="231F20"/>
          <w:sz w:val="22"/>
        </w:rPr>
        <w:t>Fee revenues from advisory, StepStone Portfolio Analytics &amp; Reporting (“SPAR”) and SPI Research are generally annual fixed fees, which vary based on the scope of services we provide. We also provide certain project-based or event-driven advisory services. The fees for these services are negotiated and typically paid upon successful delivery of services or on the execution of the event-driven service. Because advisory fees are negotiated and typically paid upon successful delivery of services or on the execution of the event-driven service, advisory fees do not necessarily correlate with the total size of our AUA.</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231F20"/>
          <w:sz w:val="22"/>
        </w:rPr>
        <w:t>Management fees are reflected net of (i) certain professional and administrative services that we arrange to be performed by third parties on behalf of investment funds and (ii) certain distribution and servicing fees paid to third-party financial institutions. In both situations, we are acting as an agent because we do not control the services provided by the third parties before they are transferred to the customer.</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Performance Fees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earn two types of performance fee revenues: incentive fees and carried interest allocations, as described below. As of June 30, 2026, we had over $120 billion of performance fee-eligible capital (excluding certain legacy Greenspring funds) across over 250 programs.</w:t>
      </w:r>
    </w:p>
    <w:p>
      <w:pPr>
        <w:pStyle w:val="TextBody"/>
        <w:bidi w:val="0"/>
        <w:spacing w:lineRule="auto" w:line="288" w:before="0" w:after="240"/>
        <w:ind w:left="0" w:right="0" w:firstLine="720"/>
        <w:jc w:val="left"/>
        <w:rPr/>
      </w:pPr>
      <w:r>
        <w:rPr>
          <w:rFonts w:ascii="Times New Roman;serif" w:hAnsi="Times New Roman;serif"/>
          <w:b w:val="false"/>
          <w:i/>
          <w:color w:val="231F20"/>
          <w:sz w:val="22"/>
        </w:rPr>
        <w:t xml:space="preserve">Incentive fees </w:t>
      </w:r>
      <w:r>
        <w:rPr>
          <w:rFonts w:ascii="Times New Roman;serif" w:hAnsi="Times New Roman;serif"/>
          <w:b w:val="false"/>
          <w:color w:val="231F20"/>
          <w:sz w:val="22"/>
        </w:rPr>
        <w:t>comprise fees earned from certain client investment mandates for which we do not have a general partnership interest in a StepStone Fund. Incentive fees are generally calculated as a percentage of the profits (up to 15%) earned in respect of certain accounts, including certain permanent capital vehicles, for which we are the investment adviser, subject to the achievement of minimum return levels or performance benchmarks. Incentive fees are a form of variable consideration and represent contractual fee arrangements in our contracts with our customers. Incentive fees are typically subject to reversal until the end of a defined performance period, as these fees are affected by changes in the fair value of the assets under management or advisement over such performance period. Moreover, incentive fees that are received prior to the end of the defined performance period are typically subject to clawback, net of tax.</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We recognize incentive fee revenue only when these amounts are realized and no longer subject to significant risk of reversal, which is typically at the end of a defined performance period and/or upon expiration of the associated clawback period (i.e., crystallization). However, clawback terms for incentive fees received prior to crystallization only require the return of amounts on a net of tax basis. Accordingly, the tax-related portion of incentive fees received in advance of crystallization is not subject to clawback and is therefore recognized as revenue immediately upon receipt. Incentive fees received in advance of crystallization that remain subject to clawback are recorded as deferred incentive fee revenue and included in accounts payable, accrued expenses and other liabilities in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60655"/>
                <wp:effectExtent l="0" t="0" r="0" b="0"/>
                <wp:wrapNone/>
                <wp:docPr id="59" name="Frame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pPr>
      <w:r>
        <w:rPr>
          <w:rFonts w:ascii="Times New Roman;serif" w:hAnsi="Times New Roman;serif"/>
          <w:b w:val="false"/>
          <w:i/>
          <w:color w:val="231F20"/>
          <w:sz w:val="22"/>
        </w:rPr>
        <w:t xml:space="preserve">Carried interest allocations </w:t>
      </w:r>
      <w:r>
        <w:rPr>
          <w:rFonts w:ascii="Times New Roman;serif" w:hAnsi="Times New Roman;serif"/>
          <w:b w:val="false"/>
          <w:color w:val="231F20"/>
          <w:sz w:val="22"/>
        </w:rPr>
        <w:t xml:space="preserve">include the allocation of performance-based fees, commonly referred to as carried interest, to us from limited partners in the StepStone Funds in which we hold an equity interest. We are entitled to a carried interest allocation (typically 5% to 20%) based on cumulative fund or account performance to date, irrespective of whether such amounts have been realized. These carried interest allocations are subject to the achievement of minimum return levels (typically 5% to 10%), in accordance with the terms set forth in the respective fund’s governing documents. We account for our investment balances in the StepStone Funds, including carried interest allocations, under the equity method of accounting because we are presumed to have significant influence as the general partner or managing member. Accordingly, carried interest allocations are not deemed to be within the scope of Accounting Standards Codification Topic 606 (“ASC 606”), </w:t>
      </w:r>
      <w:r>
        <w:rPr>
          <w:rFonts w:ascii="Times New Roman;serif" w:hAnsi="Times New Roman;serif"/>
          <w:b w:val="false"/>
          <w:i/>
          <w:color w:val="231F20"/>
          <w:sz w:val="22"/>
        </w:rPr>
        <w:t>Revenue from Contracts with Customers</w:t>
      </w:r>
      <w:r>
        <w:rPr>
          <w:rFonts w:ascii="Times New Roman;serif" w:hAnsi="Times New Roman;serif"/>
          <w:b w:val="false"/>
          <w:color w:val="231F20"/>
          <w:sz w:val="22"/>
        </w:rPr>
        <w:t>.</w:t>
      </w:r>
    </w:p>
    <w:p>
      <w:pPr>
        <w:pStyle w:val="TextBody"/>
        <w:bidi w:val="0"/>
        <w:spacing w:lineRule="auto" w:line="288" w:before="0" w:after="240"/>
        <w:ind w:left="0" w:right="0" w:firstLine="720"/>
        <w:jc w:val="left"/>
        <w:rPr/>
      </w:pPr>
      <w:r>
        <w:rPr>
          <w:rFonts w:ascii="Times New Roman;serif" w:hAnsi="Times New Roman;serif"/>
          <w:b w:val="false"/>
          <w:i/>
          <w:color w:val="231F20"/>
          <w:sz w:val="22"/>
        </w:rPr>
        <w:t>Legacy Greenspring carried interest allocations</w:t>
      </w:r>
      <w:r>
        <w:rPr>
          <w:color w:val="231F20"/>
        </w:rPr>
        <w:t xml:space="preserve"> </w:t>
      </w:r>
      <w:r>
        <w:rPr>
          <w:rFonts w:ascii="Times New Roman;serif" w:hAnsi="Times New Roman;serif"/>
          <w:b w:val="false"/>
          <w:color w:val="231F20"/>
          <w:sz w:val="22"/>
        </w:rPr>
        <w:t>include the allocation of carried interest to legacy Greenspring general partner entities from limited partners in certain legacy Greenspring funds in which the legacy Greenspring general partner entities hold an equity interest. The legacy Greenspring general partner entities are entitled to a carried interest allocation (typically 5% to 20%) based on cumulative fund or account performance to date, irrespective of whether such amounts have been realized. We account for the investment balances in the legacy Greenspring funds, including carried interest allocations, under the equity method of accounting</w:t>
      </w:r>
      <w:r>
        <w:rPr>
          <w:color w:val="000000"/>
        </w:rPr>
        <w:t xml:space="preserve"> </w:t>
      </w:r>
      <w:r>
        <w:rPr>
          <w:rFonts w:ascii="Times New Roman;serif" w:hAnsi="Times New Roman;serif"/>
          <w:b w:val="false"/>
          <w:color w:val="231F20"/>
          <w:sz w:val="22"/>
        </w:rPr>
        <w:t>because we are presumed to have significant influence as the general partner or managing member. Accordingly, legacy Greenspring carried interest allocations are not deemed to be within the scope of ASC 606. We do not have any direct economic interests in the legacy Greenspring general partner entities and thus are not entitled to any carried interest allocation from the legacy Greenspring funds. All of the carried interest allocations in respect of such legacy Greenspring funds are payable to employees who are considered affiliates</w:t>
      </w:r>
      <w:r>
        <w:rPr>
          <w:color w:val="000000"/>
        </w:rPr>
        <w:t xml:space="preserve"> </w:t>
      </w:r>
      <w:r>
        <w:rPr>
          <w:rFonts w:ascii="Times New Roman;serif" w:hAnsi="Times New Roman;serif"/>
          <w:b w:val="false"/>
          <w:color w:val="231F20"/>
          <w:sz w:val="22"/>
        </w:rPr>
        <w:t>to us and are therefore reflected as legacy Greenspring performance fee-related compensation in the condensed consolidated statements of income (loss).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recognize revenue attributable to carried interest allocations from a StepStone Fund based on the amount that would be due to us pursuant to the fund’s governing documents, assuming the fund was liquidated based on the current fair value of its underlying investments as of that date. Accordingly, the amount recognized as carried interest allocation revenue reflects our share of the gains and losses of the associated fund’s underlying investments measured at their then-fair values, relative to the fair values as of the end of the prior period. We record the amount of carried interest allocated to us as of each period end as accrued carried interest allocations, which is included as a component of investments in the condensed consolidated balance sheets. Our determination of fair value for investments in the underlying funds includes various valuation techniques. These techniques may include a market approach, recent transaction price, net asset value approach, or discounted cash flows, and may use one or more significant unobservable inputs such as EBITDA, revenue multiples, discount rates, weighted-average cost of capital, exit multiples, or terminal growth rates.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Carried interest is realized when an underlying investment is profitably disposed of and the fund’s cumulative returns are in excess of the specific hurdle rates, as defined in the applicable governing documents. Carried interest is subject to reversal to the extent that the amount received to date exceeds the amount due to us based on cumulative results. As such, a liability is accrued for the potential clawback obligations if amounts previously distributed to us would require repayment to a fund if such fund were to be liquidated based on the current fair value of their underlying investments as of the reporting date. Actual repayment obligations generally do not become realized until the end of a fund’s life. As of June 30, 2026 and March 31, 2026, no material amounts for potential clawback obligations had been accrued.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60655"/>
                <wp:effectExtent l="0" t="0" r="0" b="0"/>
                <wp:wrapNone/>
                <wp:docPr id="60" name="Frame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59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Cash-based compensation</w:t>
      </w:r>
      <w:r>
        <w:rPr>
          <w:color w:val="000000"/>
        </w:rPr>
        <w:t xml:space="preserve"> </w:t>
      </w:r>
      <w:r>
        <w:rPr>
          <w:rFonts w:ascii="Times New Roman;serif" w:hAnsi="Times New Roman;serif"/>
          <w:b w:val="false"/>
          <w:color w:val="000000"/>
          <w:sz w:val="22"/>
        </w:rPr>
        <w:t xml:space="preserve">primarily includes salaries, bonuses, employee benefits, cash-based incentive awards and employer-related payroll taxes.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Equity-based compensation</w:t>
      </w:r>
      <w:r>
        <w:rPr>
          <w:color w:val="000000"/>
        </w:rPr>
        <w:t xml:space="preserve"> </w:t>
      </w:r>
      <w:r>
        <w:rPr>
          <w:rFonts w:ascii="Times New Roman;serif" w:hAnsi="Times New Roman;serif"/>
          <w:b w:val="false"/>
          <w:color w:val="000000"/>
          <w:sz w:val="22"/>
        </w:rPr>
        <w:t xml:space="preserve">represents grants of equity related awards or arrangements to certain employees and directors and expense associated with the employee stock purchase plan (“ESPP”).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Performance fee-related compensation</w:t>
      </w:r>
      <w:r>
        <w:rPr>
          <w:color w:val="000000"/>
        </w:rPr>
        <w:t xml:space="preserve"> </w:t>
      </w:r>
      <w:r>
        <w:rPr>
          <w:rFonts w:ascii="Times New Roman;serif" w:hAnsi="Times New Roman;serif"/>
          <w:b w:val="false"/>
          <w:color w:val="000000"/>
          <w:sz w:val="22"/>
        </w:rPr>
        <w:t xml:space="preserve">represents the portion of carried interest allocation revenue and incentive fees that have been awarded to employees as a form of long-term incentive compensation. Performance fee-related compensation is generally tied to the investment performance of the StepStone Funds. </w:t>
      </w:r>
      <w:r>
        <w:rPr>
          <w:rFonts w:ascii="Times New Roman;serif" w:hAnsi="Times New Roman;serif"/>
          <w:b w:val="false"/>
          <w:color w:val="231F20"/>
          <w:sz w:val="22"/>
        </w:rPr>
        <w:t xml:space="preserve">Approximately 50% of carried interest allocation revenue is awarded to employees as part of our long-term incentive compensation plan, fostering alignment of interest with our clients and investors, and retaining key investment professionals. Carried interest-related compensation is accounted for as compensation expense in conjunction with the related carried interest allocation revenue and, until paid, is recorded as a component of accrued carried interest-related compensation in the condensed consolidated balance sheets. Amounts presented as realized indicate the amounts paid or payable to employees based on the receipt of carried interest allocation revenue from realized investment activity. Carried interest-related compensation expense may be subject to reversal to the extent that the related carried interest allocation revenue is reversed. Carried interest-related compensation paid to employees may be subject to clawback on an after-tax basis under certain scenarios. To date, no material amounts of realized carried interest-related compensation have been reversed. Incentive fee-related compensation is accrued as compensation expense when it is probable and estimable that payment will be made. On April 1, 2024, certain of our non-wholly owned subsidiaries underwent transactions to effect unitization of the outstanding limited partnership interests, including the class of interests relating to awards of carried interest allocations granted to employees, to combine into a single class of limited partnership interests and redesignated into units.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Legacy Greenspring performance fee-related compensation</w:t>
      </w:r>
      <w:r>
        <w:rPr>
          <w:color w:val="000000"/>
        </w:rPr>
        <w:t xml:space="preserve"> </w:t>
      </w:r>
      <w:r>
        <w:rPr>
          <w:rFonts w:ascii="Times New Roman;serif" w:hAnsi="Times New Roman;serif"/>
          <w:b w:val="false"/>
          <w:color w:val="000000"/>
          <w:sz w:val="22"/>
        </w:rPr>
        <w:t xml:space="preserve">represents the legacy Greenspring carried interest allocations which are entirely payable to certain employees. Legacy Greenspring </w:t>
      </w:r>
      <w:r>
        <w:rPr>
          <w:rFonts w:ascii="Times New Roman;serif" w:hAnsi="Times New Roman;serif"/>
          <w:b w:val="false"/>
          <w:color w:val="231F20"/>
          <w:sz w:val="22"/>
        </w:rPr>
        <w:t>carried interest-related compensation is accounted for as compensation expense in conjunction with the related legacy Greenspring carried interest allocation revenue and, until paid, is recorded as a component of legacy Greenspring accrued carried interest-related compensation in the condensed consolidated balance sheets. Legacy Greenspring carried interest-related compensation expense may be subject to reversal to the extent that the related legacy Greenspring carried interest allocation revenue is reversed. However, none of the legacy Greenspring carried interest allocation revenue is attributable to the Company.</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General, administrative and other</w:t>
      </w:r>
      <w:r>
        <w:rPr>
          <w:color w:val="000000"/>
        </w:rPr>
        <w:t xml:space="preserve"> </w:t>
      </w:r>
      <w:r>
        <w:rPr>
          <w:rFonts w:ascii="Times New Roman;serif" w:hAnsi="Times New Roman;serif"/>
          <w:b w:val="false"/>
          <w:color w:val="000000"/>
          <w:sz w:val="22"/>
        </w:rPr>
        <w:t>includes occupancy, travel and related costs, insurance, legal and other professional fees, depreciation, amortization of intangible assets, system-related costs, and other general costs associated with operating our business. General, administrative and other includes costs associated with the Consolidated Funds. Expenses of the Consolidated Funds have no impact on net income or loss attributable to us to the extent such expenses are borne by third-party investors.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60655"/>
                <wp:effectExtent l="0" t="0" r="0" b="0"/>
                <wp:wrapNone/>
                <wp:docPr id="61" name="Frame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Other Income (Expense)</w:t>
      </w:r>
    </w:p>
    <w:p>
      <w:pPr>
        <w:pStyle w:val="TextBody"/>
        <w:bidi w:val="0"/>
        <w:spacing w:lineRule="auto" w:line="288" w:before="0" w:after="240"/>
        <w:ind w:left="0" w:right="0" w:firstLine="720"/>
        <w:jc w:val="left"/>
        <w:rPr/>
      </w:pPr>
      <w:r>
        <w:rPr>
          <w:rFonts w:ascii="Times New Roman;serif" w:hAnsi="Times New Roman;serif"/>
          <w:b w:val="false"/>
          <w:i/>
          <w:color w:val="231F20"/>
          <w:sz w:val="22"/>
        </w:rPr>
        <w:t xml:space="preserve">Investment income (loss) </w:t>
      </w:r>
      <w:r>
        <w:rPr>
          <w:rFonts w:ascii="Times New Roman;serif" w:hAnsi="Times New Roman;serif"/>
          <w:b w:val="false"/>
          <w:color w:val="231F20"/>
          <w:sz w:val="22"/>
        </w:rPr>
        <w:t>primarily represents our share of earnings (losses) from the investments we make in our SMAs and focused commingled funds. We, either directly or through our subsidiaries, generally have a general partner interest in the StepStone Funds, which invest in primary funds, secondary funds and co-investment funds, or a combination thereof. Investment income will increase or decrease based on the earnings of the StepStone Funds, which are primarily driven by net realized and unrealized gains (losses) on the underlying investments held by the funds. Our co-investment funds invest in underlying portfolio companies and therefore their valuation changes from period to period are more influenced by individual companies than our primary and secondary funds, which have exposures across multiple portfolio companies in underlying private markets funds. Our SMAs and focused commingled funds invest across various industries, strategies and geographies.</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Consequently, our general partner investments do not include any significant concentrations in a specific sector or geography outside the United States. Investment income and legacy Greenspring investment income exclude carried interest allocations, which are presented as revenues as described above.</w:t>
      </w:r>
    </w:p>
    <w:p>
      <w:pPr>
        <w:pStyle w:val="TextBody"/>
        <w:bidi w:val="0"/>
        <w:spacing w:lineRule="auto" w:line="288" w:before="0" w:after="240"/>
        <w:ind w:left="0" w:right="0" w:firstLine="720"/>
        <w:jc w:val="left"/>
        <w:rPr/>
      </w:pPr>
      <w:r>
        <w:rPr>
          <w:rFonts w:ascii="Times New Roman;serif" w:hAnsi="Times New Roman;serif"/>
          <w:b w:val="false"/>
          <w:i/>
          <w:color w:val="231F20"/>
          <w:sz w:val="22"/>
        </w:rPr>
        <w:t xml:space="preserve">Legacy Greenspring investment income (loss) </w:t>
      </w:r>
      <w:r>
        <w:rPr>
          <w:rFonts w:ascii="Times New Roman;serif" w:hAnsi="Times New Roman;serif"/>
          <w:b w:val="false"/>
          <w:color w:val="231F20"/>
          <w:sz w:val="22"/>
        </w:rPr>
        <w:t xml:space="preserve">represents our share of earnings (losses) from the investments we make in certain legacy Greenspring funds through the legacy Greenspring general partner entities. We have no direct economic interests in the legacy Greenspring general partner entities. As a result, all such income is reflected as non-controlling interests in legacy Greenspring entities. Legacy Greenspring investment income will increase or decrease based on the earnings of such legacy Greenspring funds, which are primarily driven by net realized and unrealized gains (losses) on the underlying investments held by the funds.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Investment income (loss) of Consolidated Funds</w:t>
      </w:r>
      <w:r>
        <w:rPr>
          <w:color w:val="000000"/>
        </w:rPr>
        <w:t xml:space="preserve"> </w:t>
      </w:r>
      <w:r>
        <w:rPr>
          <w:rFonts w:ascii="Times New Roman;serif" w:hAnsi="Times New Roman;serif"/>
          <w:b w:val="false"/>
          <w:color w:val="000000"/>
          <w:sz w:val="22"/>
        </w:rPr>
        <w:t xml:space="preserve">represents gains (losses) from the investments held by the Consolidated Funds.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Interest income</w:t>
      </w:r>
      <w:r>
        <w:rPr>
          <w:color w:val="000000"/>
        </w:rPr>
        <w:t xml:space="preserve"> </w:t>
      </w:r>
      <w:r>
        <w:rPr>
          <w:rFonts w:ascii="Times New Roman;serif" w:hAnsi="Times New Roman;serif"/>
          <w:b w:val="false"/>
          <w:color w:val="000000"/>
          <w:sz w:val="22"/>
        </w:rPr>
        <w:t>consists of income earned on cash and cash equivalents, restricted cash, and amounts associated with the Consolidated Funds.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Interest expense</w:t>
      </w:r>
      <w:r>
        <w:rPr>
          <w:color w:val="000000"/>
        </w:rPr>
        <w:t xml:space="preserve"> </w:t>
      </w:r>
      <w:r>
        <w:rPr>
          <w:rFonts w:ascii="Times New Roman;serif" w:hAnsi="Times New Roman;serif"/>
          <w:b w:val="false"/>
          <w:color w:val="000000"/>
          <w:sz w:val="22"/>
        </w:rPr>
        <w:t>primarily consists of the interest expense on the Revolver and the Notes, the related amortization of deferred financing costs, and amounts associated with the Consolidated Funds.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 xml:space="preserve">Other income (loss) </w:t>
      </w:r>
      <w:r>
        <w:rPr>
          <w:rFonts w:ascii="Times New Roman;serif" w:hAnsi="Times New Roman;serif"/>
          <w:b w:val="false"/>
          <w:color w:val="000000"/>
          <w:sz w:val="22"/>
        </w:rPr>
        <w:t>includes foreign currency transaction gains and losses, non-operating activities, and amounts associated with the Consolidated Funds.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Income Tax Expense </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We are a corporation for U.S. federal income tax purposes and therefore are subject to U.S. federal and state income taxes on our share of taxable income generated by the Partnership. The Partnership is treated as a pass-through entity for U.S. federal and state income tax purposes. As such, income generated by the Partnership flows through to its limited partners, including us, and is generally not subject to U.S. federal or state income tax at the Partnership level. Our non-U.S. subsidiaries generally operate as corporate entities in non-U.S. jurisdictions, with certain of these entities subject to local or non-U.S. income taxes. Additionally, certain of our subsidiaries are subject to local jurisdiction income taxes at the entity level, which are reflected within income tax expense in the condensed consolidated statements of income. As a result, the Partnership does not record U.S. federal and state income taxes on income generated by the Partnership or its subsidiaries, except for certain local and foreign income taxes discussed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60655"/>
                <wp:effectExtent l="0" t="0" r="0" b="0"/>
                <wp:wrapNone/>
                <wp:docPr id="62" name="Frame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Non-Controlling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NCI reflects the portion of income or loss and the corresponding equity attributable to third-party equity holders and employees in certain consolidated subsidiaries that are not 100% owned by us. Non-controlling interests are presented as separate components in our condensed consolidated statements of income (loss) to clearly distinguish between our interests and the economic interests of third parties and employees in those entities. Net income (loss) attributable to SSG, as reported in the condensed consolidated statements of income (loss), is presented net of the portion of net income (loss) attributable to holders of non-controlling interests.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Non-controlling interests in subsidiaries</w:t>
      </w:r>
      <w:r>
        <w:rPr>
          <w:color w:val="000000"/>
        </w:rPr>
        <w:t xml:space="preserve"> </w:t>
      </w:r>
      <w:r>
        <w:rPr>
          <w:rFonts w:ascii="Times New Roman;serif" w:hAnsi="Times New Roman;serif"/>
          <w:b w:val="false"/>
          <w:color w:val="000000"/>
          <w:sz w:val="22"/>
        </w:rPr>
        <w:t>represent the economic interests in the consolidated subsidiaries of the Partnership held by third parties and employees, and the economic interests in certain Consolidated Funds that are not held by us but are held by the third-party investors in the funds. Non-controlling interests in subsidiaries are allocated a share of income or loss in the respective consolidated subsidiary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Non-controlling interests in legacy Greenspring entities</w:t>
      </w:r>
      <w:r>
        <w:rPr>
          <w:color w:val="000000"/>
        </w:rPr>
        <w:t xml:space="preserve"> </w:t>
      </w:r>
      <w:r>
        <w:rPr>
          <w:rFonts w:ascii="Times New Roman;serif" w:hAnsi="Times New Roman;serif"/>
          <w:b w:val="false"/>
          <w:color w:val="000000"/>
          <w:sz w:val="22"/>
        </w:rPr>
        <w:t>represent the economic interests in the legacy Greenspring general partner entities. We did not acquire any direct economic interests in the legacy Greenspring general partner entities. As a result, all of the net income (loss) attributable to the legacy Greenspring general partner entities is allocated to non-controlling interests in legacy Greenspring entities.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Non-controlling interests in the Partnership</w:t>
      </w:r>
      <w:r>
        <w:rPr>
          <w:color w:val="000000"/>
        </w:rPr>
        <w:t xml:space="preserve"> </w:t>
      </w:r>
      <w:r>
        <w:rPr>
          <w:rFonts w:ascii="Times New Roman;serif" w:hAnsi="Times New Roman;serif"/>
          <w:b w:val="false"/>
          <w:color w:val="000000"/>
          <w:sz w:val="22"/>
        </w:rPr>
        <w:t>represent the economic interests in the Partnership held by the Class B, Class C and Class D unitholders of the Partnership. Non-controlling interests in the Partnership are allocated a share of income or loss in the Partnership in proportion to their relative ownership interests, after consideration of contractual arrangements that govern allocations of income or loss.</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Redeemable non-controlling interests in Consolidated Funds</w:t>
      </w:r>
      <w:r>
        <w:rPr>
          <w:color w:val="000000"/>
        </w:rPr>
        <w:t xml:space="preserve"> </w:t>
      </w:r>
      <w:r>
        <w:rPr>
          <w:rFonts w:ascii="Times New Roman;serif" w:hAnsi="Times New Roman;serif"/>
          <w:b w:val="false"/>
          <w:color w:val="000000"/>
          <w:sz w:val="22"/>
        </w:rPr>
        <w:t xml:space="preserve">represent the economic interests in the redeemable Consolidated Funds which are not held by us, but are held by the third-party investors in the funds. Redeemable non-controlling interests in Consolidated Funds are allocated a share of income or loss in the respective fund in proportion to their relative ownership interests, after consideration of contractual arrangements that govern allocations of income or loss. </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Redeemable non-controlling interests in subsidiaries</w:t>
      </w:r>
      <w:r>
        <w:rPr>
          <w:color w:val="000000"/>
        </w:rPr>
        <w:t xml:space="preserve"> </w:t>
      </w:r>
      <w:r>
        <w:rPr>
          <w:rFonts w:ascii="Times New Roman;serif" w:hAnsi="Times New Roman;serif"/>
          <w:b w:val="false"/>
          <w:color w:val="000000"/>
          <w:sz w:val="22"/>
        </w:rPr>
        <w:t xml:space="preserve">represent the redeemable economic interests in the consolidated subsidiaries of the Partnership held by third parties and employees in those entities that were established in connection with the Transaction Agreements. Redeemable non-controlling interests in subsidiaries are allocated a share of income or loss in the respective consolidated subsidiary in proportion to their relative ownership interests, after consideration of contractual arrangements that govern allocations of income or loss.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Key Operating Metrics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monitor certain operating metrics that are either common to the asset management industry or that we believe provide important data regarding our business.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Assets Under Management</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AUM primarily reflects the assets associated with our SMAs and focused commingled funds. We classify assets as AUM if we have full discretion over the investment decisions in an account or have responsibility or custody of assets. Although management fees are based on a variety of factors and are not linearly correlated with AUM, we believe AUM is a useful metric for assessing the relative size and scope of our asset management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60655"/>
                <wp:effectExtent l="0" t="0" r="0" b="0"/>
                <wp:wrapNone/>
                <wp:docPr id="63" name="Frame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 xml:space="preserve">Our AUM is calculated as the sum of (i) the net asset value (“NAV”) of client portfolio assets, including the StepStone Funds and (ii) the unfunded commitments of clients to the underlying investments and the StepStone Funds. Our AUM reflects the investment valuations in respect of the underlying investments of our funds and accounts on a three-month lag, adjusted for new client account activity through the period end. Our AUM does not include post-period investment valuation or cash activity. AUM as of June 30, 2026 reflects final data for the prior period (March 31, 2026), adjusted for net new client account activity through June 30, 2026. NAV data for underlying investments is as of March 31, 2026, as reported by underlying managers up to the business day occurring on or after 100 days following March 31, 2026. When NAV data is not available by the business day occurring on or after 100 days following March 31, 2026, such NAVs are adjusted for cash activity following the last available reported NAV. </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Assets Under Advisement</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AUA consists of client assets for which we do not have full discretion to make investment decisions but play a role in advising the client or monitoring their investments. We generally earn revenue for advisory-related services on a contractual fixed fee basis. Advisory-related services include asset allocation, strategic planning, development of investment policies and guidelines, screening and recommending investments, legal negotiations, monitoring and reporting on investments, and investment manager review and due diligence. Advisory fees vary by client based on the scope of services, investment activity and other factors. Most of our advisory fees are fixed, and therefore, increases or decreases in AUA do not necessarily lead to proportionate changes in revenue. We believe AUA is a useful metric for assessing the relative size of our advisory business.</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Our AUA is calculated as the sum of (i) the NAV of client portfolio assets for which we do not have full discretion and (ii) the unfunded commitments of clients to the underlying investments. Our AUA reflects the investment valuations in respect of the underlying investments of our client accounts on a three-month lag, adjusted for new client account activity through the period end. Our AUA does not include post-period investment valuation or cash activity. AUA as of June 30, 2026 reflects final data for the prior period (March 31, 2026), adjusted for net new client account activity through June 30, 2026. NAV data for underlying investments is as of March 31, 2026, as reported by underlying managers up to the business day occurring on or after 100 days following March 31, 2026. When NAV data is not available by the business day occurring on or after 100 days following March 31, 2026, such NAVs are adjusted for cash activity following the last available reported NAV.</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Fee-Earning AUM</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FEAUM reflects the assets from which we earn management fee revenue (i.e., fee basis) and includes assets in our SMAs, focused commingled funds and assets held directly by our clients for which we have fiduciary oversight and are paid fees as the manager of the assets. Our SMAs and focused commingled funds typically pay management fees based on capital commitments, net invested capital and, in certain cases, NAV, depending on the fee terms. Management fees are only marginally affected by market appreciation or depreciation because substantially all of the StepStone Funds pay management fees based on capital commitments or net invested capital. As a result, management fees and FEAUM are not materially affected by changes in market value. We believe FEAUM is a useful metric in order to assess assets forming the basis of our management fee revenue.</w:t>
      </w:r>
    </w:p>
    <w:p>
      <w:pPr>
        <w:pStyle w:val="TextBody"/>
        <w:bidi w:val="0"/>
        <w:spacing w:lineRule="auto" w:line="288" w:before="0" w:after="240"/>
        <w:ind w:left="0" w:right="0" w:firstLine="720"/>
        <w:jc w:val="left"/>
        <w:rPr>
          <w:rFonts w:ascii="Times New Roman;serif" w:hAnsi="Times New Roman;serif"/>
          <w:b w:val="false"/>
          <w:color w:val="231F20"/>
          <w:sz w:val="22"/>
        </w:rPr>
      </w:pPr>
      <w:r>
        <w:rPr>
          <w:rFonts w:ascii="Times New Roman;serif" w:hAnsi="Times New Roman;serif"/>
          <w:b w:val="false"/>
          <w:color w:val="231F20"/>
          <w:sz w:val="22"/>
        </w:rPr>
        <w:t>Our calculation of FEAUM may differ from the calculations of other asset managers and, as a result, may not be comparable to similar measures presented by other asset managers.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60655"/>
                <wp:effectExtent l="0" t="0" r="0" b="0"/>
                <wp:wrapNone/>
                <wp:docPr id="64" name="Frame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 xml:space="preserve">Undeployed Fee-Earning Capital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Undeployed fee-earning capital represents the amount of capital commitments to StepStone Funds that has not yet been invested or considered active but will generate management fee revenue once this capital is invested or activated. We believe undeployed fee-earning capital is a useful metric for measuring the amount of capital that we can put to work in the future and thus earn management fee revenue thereon.</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Consolidation of StepStone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activity of the Consolidated Funds is reflected within the condensed consolidated financial statement line items as indicated by reference thereto. The impact of the Consolidated Funds decrease revenues reported under GAAP to the extent these amounts are eliminated upon consolidation. The assets and liabilities of our Consolidated Funds are held within separate legal entities and, as a result, the liabilities of our Consolidated Funds are typically non-recourse to us. The net economic ownership interests of our Consolidated Funds held by third parties are reflected in our condensed consolidated financial statements as either non-controlling interests in subsidiaries or redeemable non-controlling interests in Consolidated Funds when the equity of the fund is redeemable. We generally deconsolidate funds when we are no longer deemed to have a controlling financial interest in the entity. The performance of our Consolidated Funds is not necessarily consistent with, or representative of, the combined performance trends of all of our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Consolidated Results of Operations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consolidate funds and entities where we are deemed to hold a controlling financial interest. The Consolidated Funds are not necessarily the same entities in each year presented due to changes in ownership, changes in limited partners’ or investor rights, and the creation and termination of funds and entities. The following is a discussion of our unaudited consolidated results of operations for the periods presented. The information is derived from our accompanying condensed consolidated financial statements prepared in accordance with GAAP.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During the three months ended June 30, 2026, we consolidated six additional StepStone Funds as it was determined that we hold a controlling financial interest in these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60655"/>
                <wp:effectExtent l="0" t="0" r="0" b="0"/>
                <wp:wrapNone/>
                <wp:docPr id="65" name="Frame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64</w:t>
                      </w:r>
                    </w:p>
                  </w:txbxContent>
                </v:textbox>
                <w10:wrap type="none"/>
              </v:rect>
            </w:pict>
          </mc:Fallback>
        </mc:AlternateContent>
      </w:r>
    </w:p>
    <w:p>
      <w:pPr>
        <w:pStyle w:val="TextBody"/>
        <w:bidi w:val="0"/>
        <w:spacing w:before="0" w:after="240"/>
        <w:jc w:val="left"/>
        <w:rPr/>
      </w:pPr>
      <w:r>
        <w:rPr/>
      </w:r>
    </w:p>
    <w:tbl>
      <w:tblPr>
        <w:tblW w:w="9655" w:type="dxa"/>
        <w:jc w:val="left"/>
        <w:tblInd w:w="0" w:type="dxa"/>
        <w:tblLayout w:type="fixed"/>
        <w:tblCellMar>
          <w:top w:w="28" w:type="dxa"/>
          <w:left w:w="28" w:type="dxa"/>
          <w:bottom w:w="28" w:type="dxa"/>
          <w:right w:w="28" w:type="dxa"/>
        </w:tblCellMar>
      </w:tblPr>
      <w:tblGrid>
        <w:gridCol w:w="2422"/>
        <w:gridCol w:w="2131"/>
        <w:gridCol w:w="2137"/>
        <w:gridCol w:w="196"/>
        <w:gridCol w:w="811"/>
        <w:gridCol w:w="109"/>
        <w:gridCol w:w="109"/>
        <w:gridCol w:w="109"/>
        <w:gridCol w:w="109"/>
        <w:gridCol w:w="196"/>
        <w:gridCol w:w="736"/>
        <w:gridCol w:w="109"/>
        <w:gridCol w:w="109"/>
        <w:gridCol w:w="109"/>
        <w:gridCol w:w="109"/>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Management and advisory fees,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fees: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fees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Carried interest allocations: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carried interest allocations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113,287 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Legacy Greenspring carried interest allocations</w:t>
            </w:r>
            <w:r>
              <w:rPr>
                <w:rFonts w:ascii="Times New Roman;serif" w:hAnsi="Times New Roman;serif"/>
                <w:b w:val="false"/>
                <w:color w:val="000000"/>
                <w:sz w:val="10"/>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performance fees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Compensation and benefits: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Equity-based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Performance fee-related compensation:</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Realized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performance fee-related compensation</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58,548 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56,062 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Legacy Greenspring performance fee-related compensation</w:t>
            </w:r>
            <w:r>
              <w:rPr>
                <w:rFonts w:ascii="Times New Roman;serif" w:hAnsi="Times New Roman;serif"/>
                <w:b w:val="false"/>
                <w:color w:val="000000"/>
                <w:sz w:val="10"/>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compensation and benefits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530,230 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380,402 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administrative and 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583,699 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423,316 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Other income (expense)</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Legacy Greenspring investment income (loss)</w:t>
            </w:r>
            <w:r>
              <w:rPr>
                <w:rFonts w:ascii="Times New Roman;serif" w:hAnsi="Times New Roman;serif"/>
                <w:b w:val="false"/>
                <w:color w:val="000000"/>
                <w:sz w:val="10"/>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income of Consolidated Funds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(loss)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income</w:t>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income tax</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(200,250)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(170,366)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non-controlling interests in subsidiaries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6"/>
              </w:rPr>
              <w:t>Less: Net income (loss) attributable to non-controlling interests in legacy Greenspring entities</w:t>
            </w:r>
            <w:r>
              <w:rPr>
                <w:rFonts w:ascii="Times New Roman;serif" w:hAnsi="Times New Roman;serif"/>
                <w:b w:val="false"/>
                <w:color w:val="000000"/>
                <w:sz w:val="10"/>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loss attributable to non-controlling interests in the Partnership</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redeemable non-controlling interests in Consolidated Funds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Less: Net income attributable to redeemable non-controlling interests in subsidiaries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attributable to StepStone Group Inc.</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(115,816)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16"/>
        </w:rPr>
      </w:pPr>
      <w:r>
        <w:rPr>
          <w:rFonts w:ascii="Times New Roman;serif" w:hAnsi="Times New Roman;serif"/>
          <w:b w:val="false"/>
          <w:color w:val="000000"/>
          <w:sz w:val="16"/>
        </w:rPr>
        <w:t>(1)Reflects amounts attributable to consolidated VIEs for which we did not acquire any direct economic interests. See notes 2, 3 and 5 to our condensed consolidated financial statements included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60655"/>
                <wp:effectExtent l="0" t="0" r="0" b="0"/>
                <wp:wrapNone/>
                <wp:docPr id="66" name="Frame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Revenues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Total revenues increased $14.6 million, or 4%, to $378.9 million for the three months ended June 30, 2026 as compared to the three months ended June 30, 2025. The overall increase was driven by higher management and advisory fees, net, partially offset by lower carried interest allocations, lower legacy Greenspring carried interest allocations, and lower incentive fees, in each case, as described below.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Management and advisory fees, net increased $58.0 million, or 27%, to $269.2 million for the three months ended June 30, 2026 as compared to the three months ended June 30, 2025. The increase was driven by new client activity resulting in 20% growth in average FEAUM across the platform and a higher average fee rate driven by a mix shift towards commingled funds. The three months ended June 30, 2026 included retroactive fees of $1.1 million from the closings of StepStone’s infrastructure secondaries, infrastructure co-investment and multi-strategy venture capital funds. The three months ended June 30, 2025 included retroactive fees of $2.9 million from the closings of StepStone’s Real Estate Partners V and infrastructure secondaries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There were no incentive fees for the three months ended June 30, 2026. Incentive fees were $0.2 million for the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Realized carried interest allocation revenues increased $4.2 million, or 17%, to $28.6 million for the three months ended June 30, 2026 as compared to the three months ended June 30, 2025, reflecting higher realization activity within our private equity funds. Unrealized carried interest allocation revenues include the reversal of realized carried interest allocation revenues. Excluding the reversal of $28.6 million, unrealized carried interest allocation revenues decreased $40.7 million, or 36%, to $72.5 million for the three months ended June 30, 2026 as compared to the three months ended June 30, 2025. The decrease in unrealized carried interest allocations for the three months ended June 30, 2026 primarily reflected a lower net increase in the cumulative allocation of gains associated with the underlying portfolios within our private equity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Legacy Greenspring carried interest allocation revenues decreased $2.5 million, or 6%, to $37.2 million for the three months ended June 30, 2026 as compared to the three months ended June 30, 2025 as a result of lower net unrealized appreciation in the fair value of certain underlying fund investments in the current year period as compared to the prior year period. The three months ended June 30, 2026 reflect gross realized carried interest allocations of $0.6 million and unrealized carried interest allocations, net of the reversal of realized carried interest allocations, of $36.5 million. The three months ended June 30, 2025 reflect gross realized carried interest allocations of $4.9 million and unrealized carried interest allocations, net of the reversal of realized carried interest allocations, of $34.8 million.</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Expenses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Total expenses increased $160.4 million, or 38%, to $583.7 million for the three months ended June 30, 2026 as compared to the three months ended June 30, 2025. The overall increase resulted from increases in equity-based compensation, cash-based compensation, general, administrative and other expenses, and performance fee-related compensation, partially offset by lower legacy Greenspring performance fee-related compensation, in each case, as described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60655"/>
                <wp:effectExtent l="0" t="0" r="0" b="0"/>
                <wp:wrapNone/>
                <wp:docPr id="67" name="Frame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Cash-based compensation increased $21.2 million, or 22%, to $117.2 million for the three months ended June 30, 2026 as compared to the three months ended June 30, 2025, due to 16% higher average headcount, increased compensation levels from merit increases and higher income-based incentive fee compensation in the current year period as compared to the prior year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Equity-based compensation increased $128.6 million, or 68%, to $317.3 million for the three months ended June 30, 2026 as compared to the three months ended June 30, 2025. The increase was primarily attributable to a $126.1 million increase in expenses for liability classified awards related to the profits interest issued in SPW in the current year period as compared to the prior year period, a $1.1 million increase for restricted stock units (“RSUs”) and performance-based RSUs (“PRSUs”) granted in the current year period with no comparable expense for these grants in the prior year period, and an increase of $1.1 million for the acceleration of RSU expense in the current year period with no comparable expense in the prior year period. Future periods may experience significant fluctuations in equity-based compensation resulting from changes in the fair value of liability classified awards, which is driven by the performance of SPW. SPW generated profitability in fiscal 2026 and in fiscal 2027 to date, and we expect that there will be an increase in the profitability generated by SPW in the future which would increase the fair value of the associated liability for the profits interest issued in SPW. As of June 30, 2026 and March 31, 2026, we had recognized $2,552.9 million and $2,265.8 million, respectively, for liability classified awards within accrued compensation and benefits in the condensed consolidated balance sheets.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Total performance fee-related compensation expense increased $2.5 million, or 4%, to $58.5 million for the three months ended June 30, 2026 as compared to the three months ended June 30, 2025, primarily reflecting the increase in realized carried interest allocation revenues. Realized performance fee-related compensation increased $2.2 million, or 18%, to $13.9 million for the three months ended June 30, 2026 as compared to the three months ended June 30, 2025, primarily reflecting higher realization activity.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Legacy Greenspring performance fee-related compensation expense decreased $2.5 million, or 6%, to $37.2 million for the three months ended June 30, 2026 as compared to the three months ended June 30, 2025. The three months ended June 30, 2026 reflect gross realized performance fee-related compensation expense of $0.6 million and unrealized performance fee-related compensation expense, net of the reversal of realized performance fee-related compensation expense, of $36.5 million. The three months ended June 30, 2025 reflect gross realized performance fee-related compensation expense of $4.9 million and unrealized performance fee-related compensation expense, net of the reversal of realized performance fee-related compensation expense, of $34.8 million.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General, administrative and other expenses increased $10.6 million, or 25%, to $53.5 million for the three months ended June 30, 2026 as compared to the three months ended June 30, 2025. The overall increase primarily reflected $3.8 million in platform fees, $1.8 million in travel and associated costs for investment evaluation and client service, $1.5 million in information and technology expenses, $1.4 million in occupancy costs and other general operating expenses.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Other Income (Expense)</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Investment income increased $0.3 million, or 3%, to $10.8 million for the three months ended June 30, 2026 as compared to the three months ended June 30, 2025, primarily reflecting overall changes in the valuations of the underlying investments in StepStone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60655"/>
                <wp:effectExtent l="0" t="0" r="0" b="0"/>
                <wp:wrapNone/>
                <wp:docPr id="68" name="Frame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Legacy Greenspring investment income (loss) decreased $8.6 million to a loss of $5.2 million for the three months ended June 30, 2026 as compared to the three months ended June 30, 2025. The three months ended June 30, 2026 reflect gross realized investment income of $0.2 million and unrealized investment loss, net of the reversal of realized investment income, of $5.4 million. The three months ended June 30, 2025 reflect gross realized investment income of $1.8 million and unrealized investment income, net of the reversal of realized investment income, of $1.6 million.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Investment income of Consolidated Funds decreased $18.8 million, or 87%, to $2.8 million for the three months ended June 30, 2026 as compared to the three months ended June 30, 2025, primarily reflecting overall changes in the valuations of the underlying investments of the Consolidated Funds and the impact of consolidation of additional Consolidated Funds during the current year period that were not included in the prior year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Interest income increased $2.2 million, or 89% to $4.7 million for the three months ended June 30, 2026 as compared to the three months ended June 30, 2025, primarily due to the impact of consolidation of additional Consolidated Funds during the current year period that were not included in the prior year period. Interest income attributable to Consolidated Funds was $3.3 million in the current year period as compared to $1.0 million in the prior year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Interest expense decreased $0.2 million, or 4%, to $4.3 million for the three months ended June 30, 2026 as compared to the three months ended June 30, 2025. The decrease was due to the lower interest rate on the Revolver for the current year period as compared with the prior year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Other income (loss) decreased $9.4 million to a loss of $4.2 million for the three months ended June 30, 2026 as compared to the three months ended June 30, 2025, primarily reflecting the impact of consolidation of additional Consolidated Funds during the current year period that were not included in the prior year period as well as net foreign currency transaction losses in the current year period as compared with net foreign currency transaction gains in the prior year period.</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Income Tax Expense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Income tax expense primarily reflects U.S. federal and state income taxes on our share of taxable income generated by the Partnership, as well as local and foreign income taxes of certain of the Partnership’s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effective income tax rate was 14.9% and 41.0% for the three months ended June 30, 2026 and 2025, respectively. The overall effective tax rate for the three months ended June 30, 2026 is less than the statutory rate. This is primarily due to a portion of net loss allocated to non-controlling interests and the related tax benefit being borne by the holders of non-controlling interests. The decrease in the effective tax rate for the three months ended June 30, 2026 as compared to the prior year period was mainly driven by a decrease in the tax benefit associated with net loss allocated to non-controlling interests in a period of increased pre-tax net loss.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Income tax benefit increased $21.5 million, or 258%, to $29.9 million for the three months ended June 30, 2026 as compared to the three months ended June 30, 2025. The increase in income tax benefit was primarily driven by the increase in pre-tax net loss for the three months ended June 30, 2026 as compared to the three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60655"/>
                <wp:effectExtent l="0" t="0" r="0" b="0"/>
                <wp:wrapNone/>
                <wp:docPr id="69" name="Frame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Net Income Attributable to Non-Controlling Interests in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non-controlling interests in subsidiaries decreased $5.9 million, or 21%, to $22.7 million for the three months ended June 30, 2026 as compared to the three months ended June 30, 2025. The decrease was primarily attributable to an increase in our economic interests in the Asset Class Entities as a result of the Transaction Agreements resulting in a lower rate of allocation of net income to non-controlling interests in subsidiaries.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Net Income (Loss) Attributable to Non-Controlling Interests in Legacy Greenspring Entities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Net income (loss) attributable to non-controlling interests in legacy Greenspring entities represents the net income or loss attributable to the interests held by the legacy Greenspring general partner entities. We did not acquire any direct economic interests in the legacy Greenspring general partner entities. As a result, all of the net income or loss related to the legacy Greenspring general partner entities is allocated to non-controlling interests in legacy Greenspring entities. Net income (loss) attributable to non-controlling interests in legacy Greenspring entities was $(5.2) million and $3.4 million for the three months ended June 30, 2026 and 2025, respectively.</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Net Loss Attributable to Non-Controlling Interests in the Partnership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Net loss attributable to non-controlling interests in the Partnership represents the portion of net income or loss attributable to the interests held by the Class B, Class C and Class D unitholders of the Partnership. Net loss attributable to non-controlling interests in the Partnership was $76.1 million and $27.1 million for the three months ended June 30, 2026 and 2025, respectively.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Net Income Attributable to Redeemable Non-Controlling Interests in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redeemable non-controlling interests in Consolidated Funds represents income of the Consolidated Funds attributable to third-party investors. Net income attributable to redeemable non-controlling interests in Consolidated Funds was $3.7 million and $21.0 million for the three months ended June 30, 2026 and 2025, respectively.</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Net Income Attributable to Redeemable Non-Controlling Interests in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Net income attributable to redeemable non-controlling interests in subsidiaries was $0.4 million and $0.6 million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ind w:left="0" w:right="0" w:firstLine="720"/>
        <w:jc w:val="center"/>
        <w:rPr>
          <w:rFonts w:ascii="Times New Roman;serif" w:hAnsi="Times New Roman;serif"/>
          <w:b/>
          <w:color w:val="000000"/>
          <w:sz w:val="22"/>
        </w:rPr>
      </w:pPr>
      <w:r>
        <w:rPr>
          <w:rFonts w:ascii="Times New Roman;serif" w:hAnsi="Times New Roman;serif"/>
          <w:b/>
          <w:color w:val="000000"/>
          <w:sz w:val="22"/>
        </w:rPr>
        <w:t>Key Operating Metrics</w:t>
      </w:r>
    </w:p>
    <w:p>
      <w:pPr>
        <w:pStyle w:val="TextBody"/>
        <w:bidi w:val="0"/>
        <w:spacing w:lineRule="auto" w:line="288" w:before="24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Assets Under Management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AUM was $245 billion as of June 30, 2026, $233 billion as of March 31, 2026 and $199 billion as of June 30, 2025.</w:t>
      </w:r>
    </w:p>
    <w:p>
      <w:pPr>
        <w:pStyle w:val="TextBody"/>
        <w:bidi w:val="0"/>
        <w:spacing w:lineRule="auto" w:line="288" w:before="240" w:after="24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Assets Under Advisement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Assets related to our advisory accounts were $668 billion as of June 30, 2026, $652 billion as of March 31, 2026 and $524 billion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60655"/>
                <wp:effectExtent l="0" t="0" r="0" b="0"/>
                <wp:wrapNone/>
                <wp:docPr id="70" name="Frame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69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Fee-Earning AUM</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FEAUM increased approximately $9.5 billion to $153.6 billion as of June 30, 2026 as compared to March 31, 2026. During the period, FEAUM from SMAs increased approximately $1.4 billion and FEAUM from commingled funds increased approximately $8.1 billion.</w:t>
      </w:r>
    </w:p>
    <w:tbl>
      <w:tblPr>
        <w:tblW w:w="8535" w:type="dxa"/>
        <w:jc w:val="left"/>
        <w:tblInd w:w="0" w:type="dxa"/>
        <w:tblLayout w:type="fixed"/>
        <w:tblCellMar>
          <w:top w:w="28" w:type="dxa"/>
          <w:left w:w="28" w:type="dxa"/>
          <w:bottom w:w="28" w:type="dxa"/>
          <w:right w:w="28" w:type="dxa"/>
        </w:tblCellMar>
      </w:tblPr>
      <w:tblGrid>
        <w:gridCol w:w="908"/>
        <w:gridCol w:w="795"/>
        <w:gridCol w:w="802"/>
        <w:gridCol w:w="211"/>
        <w:gridCol w:w="721"/>
        <w:gridCol w:w="109"/>
        <w:gridCol w:w="109"/>
        <w:gridCol w:w="109"/>
        <w:gridCol w:w="109"/>
        <w:gridCol w:w="504"/>
        <w:gridCol w:w="1723"/>
        <w:gridCol w:w="263"/>
        <w:gridCol w:w="109"/>
        <w:gridCol w:w="109"/>
        <w:gridCol w:w="109"/>
        <w:gridCol w:w="211"/>
        <w:gridCol w:w="826"/>
        <w:gridCol w:w="109"/>
        <w:gridCol w:w="109"/>
        <w:gridCol w:w="109"/>
        <w:gridCol w:w="109"/>
        <w:gridCol w:w="109"/>
        <w:gridCol w:w="109"/>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SMAs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Focused Commingled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62,232 </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Contributions</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8,205 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Distributions</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Market value, FX and other</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70,313 </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(1)Contributions consist of new capital commitments that earn fees on committed capital and capital contributions to funds and accounts that earn fees on net invested capital or NAV.</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(2)Distributions consist of returns of capital from funds and accounts that pay fees on net invested capital or NAV and reductions in fee-earning AUM from funds that moved from a committed capital to net invested capital fee basis or from funds and accounts that no longer pay fees.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(3)Market value, FX and other primarily consist of changes in market value appreciation (depreciation) for funds that pay on NAV and the effect of foreign exchange rate changes on non-U.S. dollar denominated commitments.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tables set forth FEAUM by asset class and selected weighted-average management fee rate data:</w:t>
      </w:r>
    </w:p>
    <w:tbl>
      <w:tblPr>
        <w:tblW w:w="5948" w:type="dxa"/>
        <w:jc w:val="left"/>
        <w:tblInd w:w="0" w:type="dxa"/>
        <w:tblLayout w:type="fixed"/>
        <w:tblCellMar>
          <w:top w:w="28" w:type="dxa"/>
          <w:left w:w="28" w:type="dxa"/>
          <w:bottom w:w="28" w:type="dxa"/>
          <w:right w:w="28" w:type="dxa"/>
        </w:tblCellMar>
      </w:tblPr>
      <w:tblGrid>
        <w:gridCol w:w="457"/>
        <w:gridCol w:w="400"/>
        <w:gridCol w:w="403"/>
        <w:gridCol w:w="234"/>
        <w:gridCol w:w="919"/>
        <w:gridCol w:w="121"/>
        <w:gridCol w:w="109"/>
        <w:gridCol w:w="109"/>
        <w:gridCol w:w="109"/>
        <w:gridCol w:w="265"/>
        <w:gridCol w:w="1038"/>
        <w:gridCol w:w="137"/>
        <w:gridCol w:w="109"/>
        <w:gridCol w:w="109"/>
        <w:gridCol w:w="109"/>
        <w:gridCol w:w="234"/>
        <w:gridCol w:w="916"/>
        <w:gridCol w:w="170"/>
      </w:tblGrid>
      <w:tr>
        <w:trPr/>
        <w:tc>
          <w:tcPr>
            <w:tcW w:w="457"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FEAUM</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w:t>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debt</w:t>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21,435 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13,266 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153,564 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144,047 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127,219 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427" w:type="dxa"/>
        <w:jc w:val="left"/>
        <w:tblInd w:w="0" w:type="dxa"/>
        <w:tblLayout w:type="fixed"/>
        <w:tblCellMar>
          <w:top w:w="28" w:type="dxa"/>
          <w:left w:w="28" w:type="dxa"/>
          <w:bottom w:w="28" w:type="dxa"/>
          <w:right w:w="28" w:type="dxa"/>
        </w:tblCellMar>
      </w:tblPr>
      <w:tblGrid>
        <w:gridCol w:w="1717"/>
        <w:gridCol w:w="1508"/>
        <w:gridCol w:w="1514"/>
        <w:gridCol w:w="282"/>
        <w:gridCol w:w="282"/>
        <w:gridCol w:w="711"/>
        <w:gridCol w:w="109"/>
        <w:gridCol w:w="109"/>
        <w:gridCol w:w="109"/>
        <w:gridCol w:w="319"/>
        <w:gridCol w:w="319"/>
        <w:gridCol w:w="801"/>
        <w:gridCol w:w="109"/>
        <w:gridCol w:w="109"/>
        <w:gridCol w:w="109"/>
        <w:gridCol w:w="268"/>
        <w:gridCol w:w="268"/>
        <w:gridCol w:w="784"/>
      </w:tblGrid>
      <w:tr>
        <w:trPr/>
        <w:tc>
          <w:tcPr>
            <w:tcW w:w="1717"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Weighted-average fee rate</w:t>
            </w:r>
            <w:r>
              <w:rPr>
                <w:rFonts w:ascii="Times New Roman;serif" w:hAnsi="Times New Roman;serif"/>
                <w:b/>
                <w:color w:val="000000"/>
                <w:sz w:val="13"/>
              </w:rPr>
              <w:t>(1)</w:t>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Private equity</w:t>
            </w:r>
            <w:r>
              <w:rPr>
                <w:rFonts w:ascii="Times New Roman;serif" w:hAnsi="Times New Roman;serif"/>
                <w:b w:val="false"/>
                <w:color w:val="000000"/>
                <w:sz w:val="13"/>
              </w:rPr>
              <w:t>(2)</w:t>
            </w:r>
          </w:p>
        </w:tc>
        <w:tc>
          <w:tcPr>
            <w:tcW w:w="5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0.76 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0.74 </w:t>
            </w:r>
          </w:p>
        </w:tc>
        <w:tc>
          <w:tcPr>
            <w:tcW w:w="8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0.73 </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Real estate, infrastructure and private debt asset classes</w:t>
            </w:r>
            <w:r>
              <w:rPr>
                <w:rFonts w:ascii="Times New Roman;serif" w:hAnsi="Times New Roman;serif"/>
                <w:b w:val="false"/>
                <w:color w:val="000000"/>
                <w:sz w:val="13"/>
              </w:rPr>
              <w:t>(3)</w:t>
            </w:r>
          </w:p>
        </w:tc>
        <w:tc>
          <w:tcPr>
            <w:tcW w:w="5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64"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0.65 </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8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0.64 </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(1)Weighted-average fee rates reflect the applicable management fees for the last 12 months ended on each period presented, and is inclusive of any retroactive fees for such period.</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(2)The change in weighted-average fee rates primarily reflected the timing of new funds, shifts in mix between SMAs and focused commingled funds and growth in our private wealth funds which earn higher fee rates.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60655"/>
                <wp:effectExtent l="0" t="0" r="0" b="0"/>
                <wp:wrapNone/>
                <wp:docPr id="71" name="Frame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(3)The change in weighted-average fee rates primarily reflected the timing of new funds, shifts in asset class mix, shifts in mix between SMAs and focused commingled funds and growth in our private wealth funds which earn higher fee rates.</w:t>
      </w:r>
    </w:p>
    <w:p>
      <w:pPr>
        <w:pStyle w:val="TextBody"/>
        <w:bidi w:val="0"/>
        <w:spacing w:lineRule="auto" w:line="288" w:before="0" w:after="240"/>
        <w:ind w:left="0" w:right="0" w:hanging="360"/>
        <w:jc w:val="left"/>
        <w:rPr>
          <w:rFonts w:ascii="Times New Roman;serif" w:hAnsi="Times New Roman;serif"/>
          <w:b/>
          <w:color w:val="000000"/>
          <w:sz w:val="22"/>
        </w:rPr>
      </w:pPr>
      <w:r>
        <w:rPr>
          <w:rFonts w:ascii="Times New Roman;serif" w:hAnsi="Times New Roman;serif"/>
          <w:b/>
          <w:color w:val="000000"/>
          <w:sz w:val="22"/>
        </w:rPr>
        <w:t>Undeployed Fee-Earning Capital</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we had $39.3 billion of undeployed fee-earning capital, which will generate management fee revenue once invested or activated.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Below is a description of our non-GAAP financial measures. These measures are presented on a basis other than GAAP and should be considered in addition to, and not as a substitute for or superior to, financial measures calculated in accordance with GAAP. </w:t>
      </w:r>
    </w:p>
    <w:p>
      <w:pPr>
        <w:pStyle w:val="TextBody"/>
        <w:bidi w:val="0"/>
        <w:spacing w:lineRule="auto" w:line="288" w:before="0" w:after="240"/>
        <w:ind w:left="0" w:right="0" w:firstLine="720"/>
        <w:jc w:val="left"/>
        <w:rPr/>
      </w:pPr>
      <w:r>
        <w:rPr>
          <w:rFonts w:ascii="Times New Roman;serif" w:hAnsi="Times New Roman;serif"/>
          <w:b/>
          <w:color w:val="000000"/>
          <w:sz w:val="22"/>
        </w:rPr>
        <w:t>Adjusted Net Income</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Adjusted net income (“ANI”) is a non-GAAP performance measure that we present before the consolidation of StepStone Funds on a pre-tax and after-tax basis used to evaluate profitability. ANI represents the after-tax net realized income attributable to us. ANI does not reflect legacy Greenspring carried interest allocation revenues, legacy Greenspring carried interest-related compensation and legacy Greenspring investment income (loss) as none of the economics are attributable to us. The components of revenues used in the determination of ANI (“adjusted revenues”) comprise fee revenues, adjusted incentive fees and realized carried interest allocations. In addition, ANI excludes: (a) unrealized carried interest allocation revenues and related compensation, (b) unrealized investment income (loss), (c) equity-based compensation for awards granted prior to and in connection with our IPO, profits interests issued by our non-wholly owned subsidiaries, and unrealized mark-to-market changes in the fair value of the profits interests issued in SPW, (d) amortization of intangibles, (e) net income (loss) attributable to non-controlling interests in our subsidiaries and realized gains attributable to the profits interests issued in SPW, (f) charges associated with acquisitions and corporate transactions, and (g) certain other items that we believe are not indicative of our core operating performance (as listed in the below table). ANI is fully taxed at our blended statutory rate. We believe ANI and adjusted revenues are useful to investors because they enable investors to evaluate the performance of our business across reporting periods.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Adjusted revenues represents the components of revenues used in the determination of ANI and comprise fee revenues, adjusted incentive fees and realized carried interest allocations. We believe adjusted revenues is useful to investors because it presents a measure of realized revenues.</w:t>
      </w:r>
    </w:p>
    <w:p>
      <w:pPr>
        <w:pStyle w:val="TextBody"/>
        <w:bidi w:val="0"/>
        <w:spacing w:lineRule="auto" w:line="288" w:before="0" w:after="240"/>
        <w:ind w:left="0" w:right="0" w:firstLine="720"/>
        <w:jc w:val="left"/>
        <w:rPr/>
      </w:pPr>
      <w:r>
        <w:rPr>
          <w:rFonts w:ascii="Times New Roman;serif" w:hAnsi="Times New Roman;serif"/>
          <w:b/>
          <w:color w:val="000000"/>
          <w:sz w:val="22"/>
        </w:rPr>
        <w:t>Fee-Related Earnings</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Fee-related earnings (“FRE”) is a non-GAAP performance measure used to monitor our baseline earnings from recurring management and advisory fees. FRE is a component of ANI and comprises fee revenues less adjusted expenses which are operating expenses other than (a) performance fee-related compensation, (b) equity-based compensation for awards granted prior to and in connection with our IPO, profits interests issued by our non-wholly owned subsidiaries, and unrealized mark-to-market changes in the fair value of the profits interests issued in SPW, (c) amortization of intangibles, (d) charges associated with acquisitions and corporate transactions, and (e) certain other items that we believe are not indicative of our core operating performance (as listed in the below table). FRE is presented before income taxes. We believe FRE is useful to investors because it provides additional insight into the operating profitability of our business and our ability to cover direct base compensation and operating expenses from total fee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60655"/>
                <wp:effectExtent l="0" t="0" r="0" b="0"/>
                <wp:wrapNone/>
                <wp:docPr id="72" name="Frame7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Fee Revenues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Fee revenues represents management and advisory fees, net, including amounts earned from the Consolidated Funds which are eliminated in consolidation. We believe fee revenues is useful to investors because it presents the net amount of management and advisory fee revenues attributable to us.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Weighted-Average Shares and Adjusted Net Income Per Share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ANI per share measures our per-share earnings assuming all Class B units, Class C units and Class D units in the Partnership were exchanged for Class A common stock in SSG, including the dilutive impact of outstanding equity-based awards. ANI per share is calculated as ANI divided by adjusted weighted-average shares outstanding. We believe adjusted weighted-average shares and ANI per share are useful to investors because they enable investors to better evaluate per-share operating performance across reporting periods.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Fee-Related Earnings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FRE increased $24.4 million, or 30%, to $105.6 million for the three months ended June 30, 2026 as compared to the three months ended June 30, 2025, primarily reflecting higher fee revenues, partially offset by higher adjusted cash-based compensation, adjusted general, administrative and other expenses and adjusted equity-based compensation.</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Revenues and Adjusted Net Income</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Three Months Ended June 30, 2026 Compared to Three Months Ended June 30, 2025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Adjusted revenues increased $63.1 million, or 27%, to $300.6 million for the three months ended June 30, 2026 as compared to the three months ended June 30, 2025, primarily reflecting increases in fee revenues and realized carried interest allocation revenues.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ANI increased $11.8 million, or 24%, to $60.3 million for the three months ended June 30, 2026 as compared to the three months ended June 30, 2025, primarily due to the increase in FRE as discussed above, higher performance fee-related earnings and higher adjusted realized investment income. The overall increase was partially offset by a higher allocation of income to non-controlling interests.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60655"/>
                <wp:effectExtent l="0" t="0" r="0" b="0"/>
                <wp:wrapNone/>
                <wp:docPr id="73" name="Frame7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Adjusted Weighted-Average Shares and Adjusted Net Income Per Share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shows a reconciliation of diluted weighted-average shares of Class A common stock outstanding to adjusted weighted-average shares outstanding used in the computation of ANI per share for the three months ended June 30, 2026 and 2025.</w:t>
      </w:r>
    </w:p>
    <w:tbl>
      <w:tblPr>
        <w:tblW w:w="9353" w:type="dxa"/>
        <w:jc w:val="left"/>
        <w:tblInd w:w="0" w:type="dxa"/>
        <w:tblLayout w:type="fixed"/>
        <w:tblCellMar>
          <w:top w:w="28" w:type="dxa"/>
          <w:left w:w="28" w:type="dxa"/>
          <w:bottom w:w="28" w:type="dxa"/>
          <w:right w:w="28" w:type="dxa"/>
        </w:tblCellMar>
      </w:tblPr>
      <w:tblGrid>
        <w:gridCol w:w="2138"/>
        <w:gridCol w:w="1883"/>
        <w:gridCol w:w="1889"/>
        <w:gridCol w:w="267"/>
        <w:gridCol w:w="919"/>
        <w:gridCol w:w="118"/>
        <w:gridCol w:w="118"/>
        <w:gridCol w:w="118"/>
        <w:gridCol w:w="118"/>
        <w:gridCol w:w="267"/>
        <w:gridCol w:w="919"/>
        <w:gridCol w:w="118"/>
        <w:gridCol w:w="109"/>
        <w:gridCol w:w="109"/>
        <w:gridCol w:w="109"/>
        <w:gridCol w:w="154"/>
      </w:tblGrid>
      <w:tr>
        <w:trPr/>
        <w:tc>
          <w:tcPr>
            <w:tcW w:w="2138"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of Class A common stock outstanding –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81,995,674 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77,846,710 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vesting of RSUs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343,420 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347,813 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purchase under ESPP</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Exchange of Class B units in the Partnership</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38,555,343 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39,608,270 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Exchange of Class C units in the Partnership</w:t>
            </w:r>
            <w:r>
              <w:rPr>
                <w:rFonts w:ascii="Times New Roman;serif" w:hAnsi="Times New Roman;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914,619 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960,025 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Exchange of Class D units in the Partnership</w:t>
            </w:r>
            <w:r>
              <w:rPr>
                <w:rFonts w:ascii="Times New Roman;serif" w:hAnsi="Times New Roman;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4,083,590 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3,530,125 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shares</w:t>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125,893,054 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122,292,943 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 per share</w:t>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0.48 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(1)Assumes the full exchange of Class B units, Class C units or Class D units in the Partnership for Class A common stock of SSG pursuant to the Class B Exchange Agreement, Class C Exchange Agreement or Class D Exchange Agreement, respectively.</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Reconciliation of GAAP to Non-GAAP Financial Measures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revenues to adjusted revenues.</w:t>
      </w:r>
    </w:p>
    <w:tbl>
      <w:tblPr>
        <w:tblW w:w="8848" w:type="dxa"/>
        <w:jc w:val="left"/>
        <w:tblInd w:w="0" w:type="dxa"/>
        <w:tblLayout w:type="fixed"/>
        <w:tblCellMar>
          <w:top w:w="28" w:type="dxa"/>
          <w:left w:w="28" w:type="dxa"/>
          <w:bottom w:w="28" w:type="dxa"/>
          <w:right w:w="28" w:type="dxa"/>
        </w:tblCellMar>
      </w:tblPr>
      <w:tblGrid>
        <w:gridCol w:w="2082"/>
        <w:gridCol w:w="1829"/>
        <w:gridCol w:w="1833"/>
        <w:gridCol w:w="211"/>
        <w:gridCol w:w="828"/>
        <w:gridCol w:w="109"/>
        <w:gridCol w:w="109"/>
        <w:gridCol w:w="109"/>
        <w:gridCol w:w="109"/>
        <w:gridCol w:w="211"/>
        <w:gridCol w:w="828"/>
        <w:gridCol w:w="109"/>
        <w:gridCol w:w="109"/>
        <w:gridCol w:w="109"/>
        <w:gridCol w:w="109"/>
        <w:gridCol w:w="154"/>
      </w:tblGrid>
      <w:tr>
        <w:trPr/>
        <w:tc>
          <w:tcPr>
            <w:tcW w:w="2082"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carried interest allocations</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40"/>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Legacy Greenspring carried interest allocations</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Management and advisory fee revenues for the Consolidated Funds</w:t>
            </w:r>
            <w:r>
              <w:rPr>
                <w:rFonts w:ascii="Times New Roman;serif" w:hAnsi="Times New Roman;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Incentive fees for the Consolidated Funds</w:t>
            </w:r>
            <w:r>
              <w:rPr>
                <w:rFonts w:ascii="Times New Roman;serif" w:hAnsi="Times New Roman;serif"/>
                <w:b w:val="false"/>
                <w:color w:val="000000"/>
                <w:sz w:val="13"/>
              </w:rPr>
              <w:t>(2)</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revenues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the add-back of incentive fee revenues for the Consolidated Funds, which have been eliminated in consolidation.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60655"/>
                <wp:effectExtent l="0" t="0" r="0" b="0"/>
                <wp:wrapNone/>
                <wp:docPr id="74" name="Frame7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GAAP measures to additional non-GAAP measures. We use the non-GAAP measures presented below as components when calculating FRE and ANI. We believe these additional non-GAAP measures are useful to investors in evaluating both the baseline earnings from recurring management and advisory fees, which provide additional insight into the operating profitability of our business, and the after-tax net realized income attributable to us, allowing investors to evaluate the performance of our business. These additional non-GAAP measures remove the impact of Consolidated Funds that we are required to consolidate under GAAP, and certain other items that we believe are not indicative of our core operating performance.</w:t>
      </w:r>
    </w:p>
    <w:tbl>
      <w:tblPr>
        <w:tblW w:w="6614" w:type="dxa"/>
        <w:jc w:val="left"/>
        <w:tblInd w:w="0" w:type="dxa"/>
        <w:tblLayout w:type="fixed"/>
        <w:tblCellMar>
          <w:top w:w="28" w:type="dxa"/>
          <w:left w:w="28" w:type="dxa"/>
          <w:bottom w:w="28" w:type="dxa"/>
          <w:right w:w="28" w:type="dxa"/>
        </w:tblCellMar>
      </w:tblPr>
      <w:tblGrid>
        <w:gridCol w:w="1271"/>
        <w:gridCol w:w="1118"/>
        <w:gridCol w:w="1121"/>
        <w:gridCol w:w="211"/>
        <w:gridCol w:w="828"/>
        <w:gridCol w:w="109"/>
        <w:gridCol w:w="109"/>
        <w:gridCol w:w="109"/>
        <w:gridCol w:w="109"/>
        <w:gridCol w:w="211"/>
        <w:gridCol w:w="828"/>
        <w:gridCol w:w="109"/>
        <w:gridCol w:w="109"/>
        <w:gridCol w:w="109"/>
        <w:gridCol w:w="109"/>
        <w:gridCol w:w="154"/>
      </w:tblGrid>
      <w:tr>
        <w:trPr/>
        <w:tc>
          <w:tcPr>
            <w:tcW w:w="127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management and advisory fees, net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(1)</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incentive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(2)</w:t>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incentive fees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realized investment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realized investment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interest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(3)</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interest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other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Adjustments</w:t>
            </w:r>
            <w:r>
              <w:rPr>
                <w:rFonts w:ascii="Times New Roman;serif" w:hAnsi="Times New Roman;serif"/>
                <w:b w:val="false"/>
                <w:color w:val="000000"/>
                <w:sz w:val="13"/>
              </w:rPr>
              <w:t>(4)</w:t>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other income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add-back of management and advisory fee revenues for the Consolidated Funds, which have been eliminated in consolidation.</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the add-back of incentive fee revenues for the Consolidated Funds, which have been eliminated in consolidation, and deferred incentive fees that are not included in GAAP revenues.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(3)Reflects the removal of interest income earned by the Consolidated Funds.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(4)Reflects the removal of unrealized amounts associated with deferred compensation plan asset adjustments and the impact of consolidation of the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60655"/>
                <wp:effectExtent l="0" t="0" r="0" b="0"/>
                <wp:wrapNone/>
                <wp:docPr id="75" name="Frame7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table below shows a reconciliation of loss before income tax to ANI and FRE.</w:t>
      </w:r>
    </w:p>
    <w:tbl>
      <w:tblPr>
        <w:tblW w:w="10205" w:type="dxa"/>
        <w:jc w:val="left"/>
        <w:tblInd w:w="0" w:type="dxa"/>
        <w:tblLayout w:type="fixed"/>
        <w:tblCellMar>
          <w:top w:w="28" w:type="dxa"/>
          <w:left w:w="28" w:type="dxa"/>
          <w:bottom w:w="28" w:type="dxa"/>
          <w:right w:w="28" w:type="dxa"/>
        </w:tblCellMar>
      </w:tblPr>
      <w:tblGrid>
        <w:gridCol w:w="2566"/>
        <w:gridCol w:w="2245"/>
        <w:gridCol w:w="2251"/>
        <w:gridCol w:w="211"/>
        <w:gridCol w:w="898"/>
        <w:gridCol w:w="109"/>
        <w:gridCol w:w="109"/>
        <w:gridCol w:w="109"/>
        <w:gridCol w:w="109"/>
        <w:gridCol w:w="211"/>
        <w:gridCol w:w="793"/>
        <w:gridCol w:w="109"/>
        <w:gridCol w:w="109"/>
        <w:gridCol w:w="109"/>
        <w:gridCol w:w="109"/>
        <w:gridCol w:w="158"/>
      </w:tblGrid>
      <w:tr>
        <w:trPr/>
        <w:tc>
          <w:tcPr>
            <w:tcW w:w="2566" w:type="dxa"/>
            <w:tcBorders/>
            <w:vAlign w:val="center"/>
          </w:tcPr>
          <w:p>
            <w:pPr>
              <w:pStyle w:val="TableContents"/>
              <w:bidi w:val="0"/>
              <w:spacing w:before="0" w:after="283"/>
              <w:jc w:val="left"/>
              <w:rPr>
                <w:sz w:val="4"/>
                <w:szCs w:val="4"/>
              </w:rPr>
            </w:pPr>
            <w:r>
              <w:rPr>
                <w:sz w:val="4"/>
                <w:szCs w:val="4"/>
              </w:rPr>
            </w:r>
          </w:p>
        </w:tc>
        <w:tc>
          <w:tcPr>
            <w:tcW w:w="2245"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7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(200,250)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Net income attributable to non-controlling interests in subsidiaries</w:t>
            </w:r>
            <w:r>
              <w:rPr>
                <w:rFonts w:ascii="Times New Roman;serif" w:hAnsi="Times New Roman;serif"/>
                <w:b w:val="false"/>
                <w:color w:val="000000"/>
                <w:sz w:val="13"/>
              </w:rPr>
              <w:t>(1)</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interests in legacy Greenspring entities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carried interest allocations</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performance fee-related compensation</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investment income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Consolidated Funds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Equity-based compensation</w:t>
            </w:r>
            <w:r>
              <w:rPr>
                <w:rFonts w:ascii="Times New Roman;serif" w:hAnsi="Times New Roman;serif"/>
                <w:b w:val="false"/>
                <w:color w:val="000000"/>
                <w:sz w:val="13"/>
              </w:rPr>
              <w:t>(2)</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Non-core items</w:t>
            </w:r>
            <w:r>
              <w:rPr>
                <w:rFonts w:ascii="Times New Roman;serif" w:hAnsi="Times New Roman;serif"/>
                <w:b w:val="false"/>
                <w:color w:val="000000"/>
                <w:sz w:val="13"/>
              </w:rPr>
              <w:t>(3)</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ANI</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(4)</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ANI</w:t>
            </w:r>
          </w:p>
        </w:tc>
        <w:tc>
          <w:tcPr>
            <w:tcW w:w="11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Income taxes</w:t>
            </w:r>
            <w:r>
              <w:rPr>
                <w:rFonts w:ascii="Times New Roman;serif" w:hAnsi="Times New Roman;serif"/>
                <w:b w:val="false"/>
                <w:color w:val="000000"/>
                <w:sz w:val="13"/>
              </w:rPr>
              <w:t>(4)</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carried interest allocations</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Realized performance fee-related compensation</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realized investment income</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pPr>
            <w:r>
              <w:rPr>
                <w:rFonts w:ascii="Times New Roman;serif" w:hAnsi="Times New Roman;serif"/>
                <w:b w:val="false"/>
                <w:color w:val="000000"/>
                <w:sz w:val="20"/>
              </w:rPr>
              <w:t>Adjusted incentive fees</w:t>
            </w:r>
            <w:r>
              <w:rPr>
                <w:rFonts w:ascii="Times New Roman;serif" w:hAnsi="Times New Roman;serif"/>
                <w:b w:val="false"/>
                <w:color w:val="000000"/>
                <w:sz w:val="13"/>
              </w:rPr>
              <w:t>(5)</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Adjusted interest income</w:t>
            </w:r>
            <w:r>
              <w:rPr>
                <w:rFonts w:ascii="Times New Roman;serif" w:hAnsi="Times New Roman;serif"/>
                <w:b w:val="false"/>
                <w:color w:val="000000"/>
                <w:sz w:val="13"/>
              </w:rPr>
              <w:t>(6)</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40"/>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Adjusted other (income) loss</w:t>
            </w:r>
            <w:r>
              <w:rPr>
                <w:rFonts w:ascii="Times New Roman;serif" w:hAnsi="Times New Roman;serif"/>
                <w:b w:val="false"/>
                <w:color w:val="000000"/>
                <w:sz w:val="13"/>
              </w:rPr>
              <w:t>(7)</w:t>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Net income attributable to non-controlling interests in subsidiaries</w:t>
            </w:r>
            <w:r>
              <w:rPr>
                <w:rFonts w:ascii="Times New Roman;serif" w:hAnsi="Times New Roman;serif"/>
                <w:b w:val="false"/>
                <w:color w:val="000000"/>
                <w:sz w:val="13"/>
              </w:rPr>
              <w:t>(1)</w:t>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(1)Reflects the portion of pre-tax ANI attributable to non-controlling interests in our subsidiaries and realized gains attributable to the profits interests issued in the private wealth subsidiary. Amounts attributable to the profits interests issued in the private wealth subsidiary were $24.4 million and $8.5 million for the three months ended June 30, 2026 and 2025, respectively. Amounts specifically attributable to non-controlling interests in subsidiaries not attributable to the private wealth subsidiary were $17.1 million and $22.3 million for the three months ended June 30, 2026 and 2025, respectively.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(2)Reflects equity-based compensation for awards granted prior to and in connection with the IPO, profits interests issued by our non-wholly owned subsidiaries, and unrealized mark-to-market changes in the fair value of the profits interests issued in the private wealth subsidiary.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(3)Includes (income) expense related to transaction costs ($0.2 million and $0.6 million for the three months ended June 30, 2026 and 2025, respectively), unrealized amounts associated with cash-based incentive awards tracked to investment funds ($6 thousand and $17 thousand for the three months ended June 30, 2026 and 2025, respectively), loss on change in fair value for contingent consideration obligation ($0.1 million for the three months ended June 30, 2025), unrealized amounts associated with deferred compensation plan asset adjustments ($(11) thousand for the three months ended June 30, 2026), unrealized amounts associated with deferred compensation plan liability adjustments ($64 thousand for the three months ended June 30, 2026) and other non-core operating income and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60655"/>
                <wp:effectExtent l="0" t="0" r="0" b="0"/>
                <wp:wrapNone/>
                <wp:docPr id="76" name="Frame7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(4)Represents corporate income taxes at a blended statutory rate of 22.6% and 22.3% applied to pre-tax ANI for the three months ended June 30, 2026 and 2025, respectively. The 22.6% rate for the three months ended June 30, 2026 is based on a federal statutory rate of 21.0% and a combined state, local and foreign rate net of federal benefits of 1.6%. The 22.3% rate for the three months ended June 30, 2025 is based on a federal statutory rate of 21.0% and a combined state, local and foreign rate net of federal benefits of 1.3%.</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(5)Reflects the add-back of incentive fee revenues for the Consolidated Funds, which have been eliminated in consolidation, and deferred incentive fees that are not included in GAAP revenues.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(6)Reflects the removal of interest income earned by the Consolidated Funds.</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(7)Reflects the removal of unrealized amounts associated with deferred compensation plan asset adjustments and the impact of consolidation of the Consolidated Funds.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Investment Performance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relating to the performance of all the investments that StepStone has recommended and subsequently tracked across asset classes and investment strategies, except as set forth in greater detail below. The data for these investments are generally presented from the inception date of each strategy and asset class through March 31, 2026 and have not been adjusted to reflect acquisitions or disposals of investments subsequent to that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historical results of our investments are not indicative of future results to be expected of existing or new investment funds, and are not a proxy for the performance of our Class A common stock, including because: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market conditions and investment opportunities may differ from those in the past;</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the performance of our funds is largely based on the NAV (as defined below) of the funds’ investments, including unrealized gains, which may never be realized;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newly-established funds may generate lower investment returns during the period that they initially deploy their capital;</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changes in the global tax and regulatory environment may impact both the investment preferences of our clients and the financing strategies employed by businesses in which particular funds invest, which may reduce the overall capital available for investment and the availability of suitable investments, thereby reducing investment returns in the future;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competition for investment opportunities, resulting from the increasing amount of capital invested in private markets alternatives, may increase the cost and reduce the availability of suitable investments, thereby reducing investment returns in the future;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the industries and businesses in which particular funds invest will vary.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Historical and future returns of investments included in our track record are not directly correlated to potential returns on our Class A common stock.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purposes of the following table: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Invested capital” refers to the total amount of all investments made by a fund, including commitment-reducing and non-commitment-reducing capital calls;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NAV” refers to the estimated fair value of unrealized investments plus any net assets or liabilities associated with the investment as of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60655"/>
                <wp:effectExtent l="0" t="0" r="0" b="0"/>
                <wp:wrapNone/>
                <wp:docPr id="77" name="Frame7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IRR” refers to the annualized internal rate of return for all investments within the relevant investment strategy on an inception-to-date basis as of March 31, 2026 (except as noted otherwise below), based on contributions, distributions and unrealized value;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IRR” refers to IRR net of fees and expenses charged by both the underlying fund managers and StepStone;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TVM” refers to the total value to paid-in capital or invested capital expressed as a multiple, and is calculated as distributions plus unrealized valuations divided by invested capital (including all capitalized costs).</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StepStone Performance Summary by Asset Class</w:t>
      </w:r>
    </w:p>
    <w:tbl>
      <w:tblPr>
        <w:tblW w:w="11673" w:type="dxa"/>
        <w:jc w:val="left"/>
        <w:tblInd w:w="0" w:type="dxa"/>
        <w:tblLayout w:type="fixed"/>
        <w:tblCellMar>
          <w:top w:w="28" w:type="dxa"/>
          <w:left w:w="28" w:type="dxa"/>
          <w:bottom w:w="28" w:type="dxa"/>
          <w:right w:w="28" w:type="dxa"/>
        </w:tblCellMar>
      </w:tblPr>
      <w:tblGrid>
        <w:gridCol w:w="440"/>
        <w:gridCol w:w="387"/>
        <w:gridCol w:w="374"/>
        <w:gridCol w:w="155"/>
        <w:gridCol w:w="139"/>
        <w:gridCol w:w="142"/>
        <w:gridCol w:w="109"/>
        <w:gridCol w:w="120"/>
        <w:gridCol w:w="120"/>
        <w:gridCol w:w="120"/>
        <w:gridCol w:w="395"/>
        <w:gridCol w:w="395"/>
        <w:gridCol w:w="396"/>
        <w:gridCol w:w="195"/>
        <w:gridCol w:w="120"/>
        <w:gridCol w:w="121"/>
        <w:gridCol w:w="122"/>
        <w:gridCol w:w="122"/>
        <w:gridCol w:w="122"/>
        <w:gridCol w:w="526"/>
        <w:gridCol w:w="391"/>
        <w:gridCol w:w="404"/>
        <w:gridCol w:w="145"/>
        <w:gridCol w:w="145"/>
        <w:gridCol w:w="146"/>
        <w:gridCol w:w="409"/>
        <w:gridCol w:w="409"/>
        <w:gridCol w:w="409"/>
        <w:gridCol w:w="409"/>
        <w:gridCol w:w="485"/>
        <w:gridCol w:w="395"/>
        <w:gridCol w:w="396"/>
        <w:gridCol w:w="210"/>
        <w:gridCol w:w="210"/>
        <w:gridCol w:w="210"/>
        <w:gridCol w:w="211"/>
        <w:gridCol w:w="109"/>
        <w:gridCol w:w="109"/>
        <w:gridCol w:w="109"/>
        <w:gridCol w:w="470"/>
        <w:gridCol w:w="395"/>
        <w:gridCol w:w="396"/>
        <w:gridCol w:w="140"/>
        <w:gridCol w:w="140"/>
        <w:gridCol w:w="201"/>
      </w:tblGrid>
      <w:tr>
        <w:trPr/>
        <w:tc>
          <w:tcPr>
            <w:tcW w:w="4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16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PRIVATE EQUITY BUYOUT*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VENTURE CAPITAL &amp; GROWTH EQUITY</w:t>
            </w:r>
          </w:p>
        </w:tc>
        <w:tc>
          <w:tcPr>
            <w:tcW w:w="168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INFRASTRUCTURE</w:t>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PRIVATE DEBT</w:t>
            </w:r>
          </w:p>
        </w:tc>
        <w:tc>
          <w:tcPr>
            <w:tcW w:w="2069" w:type="dxa"/>
            <w:gridSpan w:val="9"/>
            <w:tcBorders/>
          </w:tcPr>
          <w:p>
            <w:pPr>
              <w:pStyle w:val="TableContents"/>
              <w:bidi w:val="0"/>
              <w:spacing w:before="0" w:after="283"/>
              <w:jc w:val="left"/>
              <w:rPr>
                <w:sz w:val="4"/>
                <w:szCs w:val="4"/>
              </w:rPr>
            </w:pPr>
            <w:r>
              <w:rPr>
                <w:sz w:val="4"/>
                <w:szCs w:val="4"/>
              </w:rPr>
            </w:r>
          </w:p>
        </w:tc>
      </w:tr>
      <w:tr>
        <w:trPr/>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 STRATEGY</w:t>
            </w:r>
            <w:r>
              <w:rPr>
                <w:rFonts w:ascii="Times New Roman;serif" w:hAnsi="Times New Roman;serif"/>
                <w:b/>
                <w:color w:val="000000"/>
                <w:sz w:val="10"/>
              </w:rPr>
              <w:t>(1,3,4)</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IRR</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 STRATEGY</w:t>
            </w:r>
            <w:r>
              <w:rPr>
                <w:rFonts w:ascii="Times New Roman;serif" w:hAnsi="Times New Roman;serif"/>
                <w:b/>
                <w:color w:val="000000"/>
                <w:sz w:val="10"/>
              </w:rPr>
              <w:t>(1,3,5)</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IRR</w:t>
            </w:r>
            <w:r>
              <w:rPr>
                <w:rFonts w:ascii="Times New Roman;serif" w:hAnsi="Times New Roman;serif"/>
                <w:b/>
                <w:color w:val="000000"/>
                <w:sz w:val="10"/>
              </w:rPr>
              <w:t>(2)</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 STRATEGY</w:t>
            </w:r>
            <w:r>
              <w:rPr>
                <w:rFonts w:ascii="Times New Roman;serif" w:hAnsi="Times New Roman;serif"/>
                <w:b/>
                <w:color w:val="000000"/>
                <w:sz w:val="10"/>
              </w:rPr>
              <w:t>(1,3,6)</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IRR</w:t>
            </w:r>
            <w:r>
              <w:rPr>
                <w:rFonts w:ascii="Times New Roman;serif" w:hAnsi="Times New Roman;serif"/>
                <w:b/>
                <w:color w:val="000000"/>
                <w:sz w:val="10"/>
              </w:rPr>
              <w:t>(2)</w:t>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 STRATEGY</w:t>
            </w:r>
            <w:r>
              <w:rPr>
                <w:rFonts w:ascii="Times New Roman;serif" w:hAnsi="Times New Roman;serif"/>
                <w:b/>
                <w:color w:val="000000"/>
                <w:sz w:val="10"/>
              </w:rPr>
              <w:t>(1,3,7)</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IRR</w:t>
            </w:r>
            <w:r>
              <w:rPr>
                <w:rFonts w:ascii="Times New Roman;serif" w:hAnsi="Times New Roman;serif"/>
                <w:b/>
                <w:color w:val="000000"/>
                <w:sz w:val="10"/>
              </w:rPr>
              <w:t>(2)</w:t>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INVESTMENT STRATEGY</w:t>
            </w:r>
            <w:r>
              <w:rPr>
                <w:rFonts w:ascii="Times New Roman;serif" w:hAnsi="Times New Roman;serif"/>
                <w:b/>
                <w:color w:val="000000"/>
                <w:sz w:val="10"/>
              </w:rPr>
              <w:t>(1,3,8)</w:t>
            </w:r>
          </w:p>
        </w:tc>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NET IRR</w:t>
            </w:r>
            <w:r>
              <w:rPr>
                <w:rFonts w:ascii="Times New Roman;serif" w:hAnsi="Times New Roman;serif"/>
                <w:b/>
                <w:color w:val="000000"/>
                <w:sz w:val="10"/>
              </w:rPr>
              <w:t>(2)</w:t>
            </w:r>
          </w:p>
        </w:tc>
      </w:tr>
      <w:tr>
        <w:trPr/>
        <w:tc>
          <w:tcPr>
            <w:tcW w:w="12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Primaries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13.6%</w:t>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Primaries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14.4%</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Core/core+ fund investments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Core/debt - all strategies</w:t>
            </w:r>
          </w:p>
        </w:tc>
        <w:tc>
          <w:tcPr>
            <w:tcW w:w="6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6.8%</w:t>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Primaries</w:t>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w:t>
            </w:r>
          </w:p>
        </w:tc>
      </w:tr>
      <w:tr>
        <w:trPr/>
        <w:tc>
          <w:tcPr>
            <w:tcW w:w="120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Secondaries</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Secondaries</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14.0%</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Value-add/opportunistic fund investments</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7.8%</w:t>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Core+/value-add - primary fund investments</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10.4%</w:t>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lending</w:t>
            </w:r>
          </w:p>
        </w:tc>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w:t>
            </w:r>
          </w:p>
        </w:tc>
      </w:tr>
      <w:tr>
        <w:trPr/>
        <w:tc>
          <w:tcPr>
            <w:tcW w:w="120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Co-investments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15.8%</w:t>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Directs/co-investments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16.6%</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 debt fund investments</w:t>
            </w:r>
          </w:p>
        </w:tc>
        <w:tc>
          <w:tcPr>
            <w:tcW w:w="43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5.1%</w:t>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Core+/value-add - secondary fund investments</w:t>
            </w:r>
          </w:p>
        </w:tc>
        <w:tc>
          <w:tcPr>
            <w:tcW w:w="63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8.2%</w:t>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Opportunistic</w:t>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8.3%</w:t>
            </w:r>
          </w:p>
        </w:tc>
      </w:tr>
      <w:tr>
        <w:trPr/>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Value-add/opportunistic secondaries &amp; co-investments</w:t>
            </w:r>
          </w:p>
        </w:tc>
        <w:tc>
          <w:tcPr>
            <w:tcW w:w="4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8.8%</w:t>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Core+/value-add - co-investments</w:t>
            </w:r>
            <w:r>
              <w:rPr>
                <w:rFonts w:ascii="Times New Roman;serif" w:hAnsi="Times New Roman;serif"/>
                <w:b w:val="false"/>
                <w:color w:val="000000"/>
                <w:sz w:val="10"/>
              </w:rPr>
              <w:t>(3)</w:t>
            </w:r>
          </w:p>
        </w:tc>
        <w:tc>
          <w:tcPr>
            <w:tcW w:w="6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11.4%</w:t>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Co-investments/secondaries</w:t>
            </w:r>
          </w:p>
        </w:tc>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9.4%</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Direct lending</w:t>
            </w:r>
          </w:p>
        </w:tc>
        <w:tc>
          <w:tcPr>
            <w:tcW w:w="4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8.1%</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Opportunistic</w:t>
            </w:r>
          </w:p>
        </w:tc>
        <w:tc>
          <w:tcPr>
            <w:tcW w:w="4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11.1%</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Customized managed accounts</w:t>
            </w:r>
            <w:r>
              <w:rPr>
                <w:rFonts w:ascii="Times New Roman;serif" w:hAnsi="Times New Roman;serif"/>
                <w:b/>
                <w:color w:val="000000"/>
                <w:sz w:val="10"/>
              </w:rPr>
              <w:t>3</w:t>
            </w:r>
          </w:p>
        </w:tc>
        <w:tc>
          <w:tcPr>
            <w:tcW w:w="48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pPr>
      <w:r>
        <w:rPr>
          <w:rFonts w:ascii="Times New Roman;serif" w:hAnsi="Times New Roman;serif"/>
          <w:b w:val="false"/>
          <w:color w:val="231F20"/>
          <w:sz w:val="20"/>
        </w:rPr>
        <w:t>(1)</w:t>
      </w:r>
      <w:r>
        <w:rPr>
          <w:rFonts w:ascii="Times New Roman;serif" w:hAnsi="Times New Roman;serif"/>
          <w:b w:val="false"/>
          <w:color w:val="000000"/>
          <w:sz w:val="20"/>
        </w:rPr>
        <w:t xml:space="preserve">Investment returns reflect NAV data for underlying investments as of March 31, 2026, as reported by underlying managers up to </w:t>
      </w:r>
      <w:r>
        <w:rPr>
          <w:rFonts w:ascii="Times New Roman;serif" w:hAnsi="Times New Roman;serif"/>
          <w:b w:val="false"/>
          <w:color w:val="231F20"/>
          <w:sz w:val="20"/>
        </w:rPr>
        <w:t>the business day occurring on or after</w:t>
      </w:r>
      <w:r>
        <w:rPr>
          <w:color w:val="000000"/>
        </w:rPr>
        <w:t xml:space="preserve"> </w:t>
      </w:r>
      <w:r>
        <w:rPr>
          <w:rFonts w:ascii="Times New Roman;serif" w:hAnsi="Times New Roman;serif"/>
          <w:b w:val="false"/>
          <w:color w:val="231F20"/>
          <w:sz w:val="20"/>
        </w:rPr>
        <w:t>100</w:t>
      </w:r>
      <w:r>
        <w:rPr>
          <w:color w:val="000000"/>
        </w:rPr>
        <w:t xml:space="preserve"> </w:t>
      </w:r>
      <w:r>
        <w:rPr>
          <w:rFonts w:ascii="Times New Roman;serif" w:hAnsi="Times New Roman;serif"/>
          <w:b w:val="false"/>
          <w:color w:val="000000"/>
          <w:sz w:val="20"/>
        </w:rPr>
        <w:t xml:space="preserve">days following March 31, 2026. For investment returns where NAV data is not available by </w:t>
      </w:r>
      <w:r>
        <w:rPr>
          <w:rFonts w:ascii="Times New Roman;serif" w:hAnsi="Times New Roman;serif"/>
          <w:b w:val="false"/>
          <w:color w:val="231F20"/>
          <w:sz w:val="20"/>
        </w:rPr>
        <w:t>the business day occurring on or after</w:t>
      </w:r>
      <w:r>
        <w:rPr>
          <w:color w:val="000000"/>
        </w:rPr>
        <w:t xml:space="preserve"> </w:t>
      </w:r>
      <w:r>
        <w:rPr>
          <w:rFonts w:ascii="Times New Roman;serif" w:hAnsi="Times New Roman;serif"/>
          <w:b w:val="false"/>
          <w:color w:val="231F20"/>
          <w:sz w:val="20"/>
        </w:rPr>
        <w:t>100</w:t>
      </w:r>
      <w:r>
        <w:rPr>
          <w:color w:val="000000"/>
        </w:rPr>
        <w:t xml:space="preserve"> </w:t>
      </w:r>
      <w:r>
        <w:rPr>
          <w:rFonts w:ascii="Times New Roman;serif" w:hAnsi="Times New Roman;serif"/>
          <w:b w:val="false"/>
          <w:color w:val="000000"/>
          <w:sz w:val="20"/>
        </w:rPr>
        <w:t>days following March 31, 2026, such NAVs are adjusted for cash activity following the last available reported NAV. Investment returns are calculated on a constant currency adjusted reporting basis converting non-USD investment cash flows and NAVs to USD using the foreign currency exchange rate corresponding to each client’s first cash flow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(2)Net IRR and Net TVM are presented solely for illustrative purposes and do not represent actual returns received by any investor in any of the StepStone Funds. Returns represented are net of fees and expenses charged by both the underlying investment and hypothetical StepStone fees. The aggregate returns are not indicative of the returns an individual investor would receive from these investments. No individual investor received the aggregate returns described herein as the investments were made across multiple mandates over multiple years. StepStone fees and expenses are based on the following assumptions (management fees and expenses represent an annual rate, charged quarterly):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i.Primaries management fee: 25 basis points of net invested capital for private equity, real estate and infrastructure; 25 basis points of net asset value for private debt; 75 basis points of committed capital for the StepStone VC Platform.</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ii.Secondaries management fee: 125 basis points, 125 basis points and 95 basis points of capital commitments for private equity, real estate and infrastructure, respectively, in years 1 through 4 for management fees, charged quarterly. In year 5, management fees step down to 90% of the previous year’s fee. 65 basis points of net asset value for private debt; 75 basis points of committed capital for the StepStone VC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60655"/>
                <wp:effectExtent l="0" t="0" r="0" b="0"/>
                <wp:wrapNone/>
                <wp:docPr id="78" name="Frame7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iii.Co-investments management fee: 100 basis points of capital commitments for private equity in years 1 through 4 for management fees, charged quarterly. In year 5, management fees step down to 90 basis points of the net invested capital, charged quarterly. 100 basis points of net committed capital for real estate; 90 and 50 basis points of net committed capital for infrastructure co-investments and direct asset management investments, respectively; 65 basis points of net asset value for private debt; 200 basis points of net invested capital for the StepStone VC Platform.</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iv.All investments assess 5 basis points of capital commitments for fund expenses, charged quarterly, and 1 basis point of capital commitments drawn down in the first cash flow quarter for organizational costs.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v.Private equity secondaries and co-investments include 12.5% and 10.0% of paid and unrealized carry, respectively, with an 8.0% preferred return hurdle; infrastructure secondaries and co-investments include 10.0% of paid and unrealized carry, respectively, with an 8.0% preferred return hurdle; real estate secondaries and co-investments include 15.0% of paid and unrealized carry, with an 8.0% preferred return hurdle; private debt secondaries and co-investments include 10.0% of paid and unrealized carry, with a 5.0% preferred return hurdle; and the StepStone VC Platform primaries, secondaries and co-investments/directs include 5.0%, 5.0% and 20.0%, respectively, of paid and unrealized carry with no preferred return hurdle.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IRR and Net TVM for investments reflect the underlying fund manager’s use of subscription backed credit facilities, if reported to StepStone as such by the underlying managers. Aggregate net performance returns for private equity buyout secondaries and co-investments are presented on a levered basis. Without the subscription lines, Net IRR/Net TVM for private equity buyout secondaries and co-investments would be 14.6%/1.3x and 14.3%/1.6x, respectively. Reinvested/recycled amounts increase contributed capital.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(3)Investments returns of clients’ portfolios are included in the performance summary past the client’s termination date until such time as StepStone stops receiving current investment data (quarterly valuations and cash flows) for such investment. At that point, StepStone will then ‘liquidate’ the fund by entering a distribution amount equal to the last reported NAV, thus ending its contribution to the track record as of that date. Historical performance contribution will be maintained up until the ‘liquidation’ date.</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(4)Private equity buyout performance includes buyout-focused strategies comprising 1,140 investments totaling $171.6 billion of capital commitments, and excludes (i) venture capital and growth equity direct investments, reported separately; (ii) 189 client-directed buyout investments, totaling $33.2 billion of capital commitments; (iii) 93 investments with energy, infrastructure and other non-buyout-focused strategies totaling $9.4 billion of capital commitments; (iv) two advisory co-investments totaling $100 million; and (v) any investments that do not have client data monitored in SPI Reporting.</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Private equity buyout investment returns have replaced private equity investment returns. Private equity buyout investment returns represent StepStone’s buyout focused investment strategies and therefore do not include venture capital and growth equity direct investments, fund-of-funds investments, energy, opportunistic and other non-buyout-focused investment strategies previously reported as part of private equity investment returns. In addition, secondary and co-investment performance was previously presented on an unlevered basis. Private equity Net IRR/Net TVM investment returns for primaries, secondaries and co-investments, as previously presented would have been, for primary investments, secondaries and co-investments 13.2%/1.5x, 13.7%/1.3x, and 15.1%/1.5x, respectively.</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(5)Venture capital and growth equity includes 2,309 investments totaling $67.2 billion of capital commitments and excludes (i) 70 client-directed investments, totaling $2.4 billion of capital commitments, and (ii) investments that do not have client data monitored in SPI Reporting. StepStone's venture capital and growth equity strategy is composed of a) investments in the StepStone venture capital platform, comprising venture capital focused commingled funds and separately managed accounts (the “StepStone VC Platform”) and b) underlying venture capital investments within StepStone’s broader private equity accounts (“StepStone PE Accounts”).</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(6)Real estate includes 528 investments totaling $95.4 billion of capital commitments and excludes (i) 100 client-directed real estate investments, totaling $18.1 billion of capital commitments, (ii) 20 secondary/co-investment core/core+ or credit investments, totaling $1.2 billion of capital commitments, (iii) four advisory fund investments totaling $463.6 million of capital commitments, and (iv) investments that do not have client data monitored in SPI Reporting. </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(7)Infrastructure includes 373 investments totaling $77.2 billion of capital commitments and excludes (i) eight infrastructure investments made by the Partnership prior to the formation of the infrastructure subsidiary in 2013 or made prior to StepStone’s acquisition of Courtland Partners, Ltd. on April 1, 2018 (the “Courtland acquisition”), totaling $501.9 million of capital commitments, (ii) 53 client-directed infrastructure investments, totaling $12.7 billion of capital commitments, and (iii) investments that do not have client data monitored in SPI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60655"/>
                <wp:effectExtent l="0" t="0" r="0" b="0"/>
                <wp:wrapNone/>
                <wp:docPr id="79" name="Frame7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(8)Private debt includes 1,955 investments totaling $73.3 billion of capital commitments and excludes (i) 48 client-directed debt investments, totaling $4.3 billion of capital commitments, (ii) 50 real estate credit investments that were recommended by Courtland Partners, Ltd. prior to the Courtland acquisition, totaling $5.1 billion of capital commitments, and (iii) investments that do not have client data monitored in SPI Reporting. *Net IRRs are not aggregated and shown for customized managed accounts (which include capacity-negotiated GP co-investment accounts and GP primary managed accounts) totaling $36.5 billion of committed capital, as the investment objective of those investments are customized to the respective client’s investment target on multiple-on-committed-capital (“MOCC”) and can differ significantly.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Liquidity and Capital Resources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Sources and Uses of Liquidity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generate cash primarily from management and advisory fees and performance fees. We have historically managed our liquidity and capital resource needs through (a) cash generated from our operating activities, (b) realizations from investment activities, (c) borrowings, interest payments and repayments under credit agreements, senior note issuances and other borrowing arrangements, (d) funding capital commitments to our funds, and (e) funding our growth initiatives, including capital expenditures for property, equipment, and acquisitions to expand into new businesses.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we had $201.7 million of cash, cash equivalents and restricted cash ($703.1 million including Consolidated Funds) and $2,344.9 million of investments in StepStone Funds ($4,380.8 million including Consolidated Funds), including $2,080.4 million of accrued carried interest allocations, against $270.9 million in debt obligations, net of debt issuance costs ($1,451.5 million including Consolidated Funds), and $1,145.1 million in accrued carried interest-related compensation payable.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Ongoing sources of cash include (a) management and advisory fees, which are collected monthly or quarterly, (b) performance fees, which are volatile and largely unpredictable as to amount and timing; and (c) distributions from our investments in the StepStone Funds. We use cash flow from operations and distributions from our investments in the StepStone Funds to pay compensation and related expenses, general and administrative expenses, income taxes, debt service, capital expenditures, dividends to our stockholders and distributions to holders of Partnership units, make repurchases under our stock repurchase program and to make investments in the StepStone Funds. We believe we will have sufficient ability to meet our liquidity and capital resources requirements for the next 12 months through cash flows from operating activities, existing cash and cash equivalents, borrowings under the Revolver, and our ability to obtain future financing.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60655"/>
                <wp:effectExtent l="0" t="0" r="0" b="0"/>
                <wp:wrapNone/>
                <wp:docPr id="80" name="Frame7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79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Cash Flows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accompanying condensed consolidated cash flows include the Consolidated Funds, which activities primarily consist of raising capital from third-party investors, purchasing investments, making payment for the operating costs of the fund, generating cash flows from realized income allocations of investments and sales of investments, and making distributions to investors. The Consolidated Funds are accounted for as investment companies and therefore the cash flows from investing activities are included in cash flows from operations.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summarizes our cash flows attributable to operating, investing and financing activities:</w:t>
      </w:r>
    </w:p>
    <w:tbl>
      <w:tblPr>
        <w:tblW w:w="7448" w:type="dxa"/>
        <w:jc w:val="left"/>
        <w:tblInd w:w="0" w:type="dxa"/>
        <w:tblLayout w:type="fixed"/>
        <w:tblCellMar>
          <w:top w:w="28" w:type="dxa"/>
          <w:left w:w="28" w:type="dxa"/>
          <w:bottom w:w="28" w:type="dxa"/>
          <w:right w:w="28" w:type="dxa"/>
        </w:tblCellMar>
      </w:tblPr>
      <w:tblGrid>
        <w:gridCol w:w="1716"/>
        <w:gridCol w:w="1510"/>
        <w:gridCol w:w="1513"/>
        <w:gridCol w:w="211"/>
        <w:gridCol w:w="901"/>
        <w:gridCol w:w="109"/>
        <w:gridCol w:w="109"/>
        <w:gridCol w:w="109"/>
        <w:gridCol w:w="109"/>
        <w:gridCol w:w="211"/>
        <w:gridCol w:w="79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thousands)</w:t>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(457,511)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(45,149)</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Operating Activities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Operating activities provided (used) $(457.5) million and $46.3 million of cash for the three months ended June 30, 2026 and 2025, respectively. For the three months ended June 30, 2026 and 2025, respectively, these amounts primarily consisted of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income, after adjustments for non-cash items (including unrealized mark-to-market changes in the fair value of the profits interests issued in the private wealth subsidiary, unrealized carried interest allocations, unrealized performance fee-related compensation and unrealized investment (income) loss), of $87.8 million and $111.6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change in operating assets and liabilities of $4.9 million and $12.8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adjustments for unrealized (income) loss on investments of Consolidated Funds of $10.3 million and $(20.8) million;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adjustments for unrealized income from notes payable of Consolidated Funds of $18.1 million and $0 million;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contributions to investments of Consolidated Funds of $614.6 million and $57.7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change in operating assets and liabilities of Consolidated Funds of $72.2 million and $0.4 million.</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Investing Activities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Investing activities provided (used) $21.4 million and $(11.8) million of cash for the three months ended June 30, 2026 and 2025, respectively, and primarily consisted of the following amounts: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contributions to investments of $6.0 million and $11.5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distributions from investments in legacy Greenspring entities of $0.4 million and $0.8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60655"/>
                <wp:effectExtent l="0" t="0" r="0" b="0"/>
                <wp:wrapNone/>
                <wp:docPr id="81" name="Frame8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cash recognized upon initial consolidation of funds of $27.6 million and $0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purchases of fixed assets of $0.5 million and $1.1 million.</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Financing Activities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Financing activities provided (used) $19.1 million and $72.2 million of cash for the three months ended June 30, 2026 and 2025, respectively, and primarily consisted of the following:</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proceeds from capital contributions from non-controlling interests of $7.7 million and $1.5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distributions to non-controlling interests of $53.9 million and $60.2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purchase of non-controlling interests of $9.6 million and $10.3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proceeds from capital contributions to legacy Greenspring entities of $0.2 million and $0.4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distributions to non-controlling interests in legacy Greenspring entities of $0.7 million and $3.0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dividends paid to common stockholders of $68.6 million and $50.3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payments for repurchases of Class A common stock of $19.2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payments to related parties under the Tax Receivable Agreements of $16.2 million and $11.5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issuance of notes payable for Consolidated Funds of $31.3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net borrowings on fund credit facilities of $215.8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payment of debt issuance costs on fund credit facilities of $4.9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proceeds from capital contributions from non-controlling interests in Consolidated Funds of $143.4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distributions to non-controlling interests in Consolidated Funds of $276.3 million and $0 million;</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contributions from redeemable non-controlling interests in Consolidated Funds of $72.0 million and $67.7 million;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redemptions of redeemable non-controlling interests in Consolidated Funds of $2.0 million and $6.6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60655"/>
                <wp:effectExtent l="0" t="0" r="0" b="0"/>
                <wp:wrapNone/>
                <wp:docPr id="82" name="Frame8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Debt Obligations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Debt Obligations of the Company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party to a credit agreement, as amended and restated in May 2024 (the “Credit Agreement”), which, among other things, increased the aggregate principal amount of the commitments thereunder to $300.0 million from $225.0 million and extended the maturity date of the revolving facility to May 2029. The Credit Agreement was arranged by JPMorgan Chase Bank, N.A., as the administrative agent and collateral agent, and certain other lenders party thereto and provides for a $300.0 million multicurrency Revolver.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Revolver bear interest at a variable rate per annum. We may designate each borrowing as (i) in the case of any borrowing in U.S. dollars, a base rate loan or a Term Secured Overnight Financing Rate (“SOFR”) rate loan, (ii) in the case of any borrowing denominated in Euros, a EURIBOR rate loan, (iii) in the case of any borrowing denominated in British Pounds Sterling, a Sterling Overnight Index Average (“SONIA”) loan, (iv) in the case of any borrowing denominated in Swiss Francs, a Swiss Average Rate Overnight (“SARON”) loan, and (v) in the case of any borrowing denominated in Australian dollars, an AUD rate loan. Borrowings bear interest equal to (i) in the case of base rate loans, 1.00% plus the greatest of (a) the Prime Rate, (b) the New York Federal Reserve Bank Rate plus 0.50% and (c) the 1 month Term SOFR, plus 1.10%, (ii) in the case of a Term SOFR rate loan, the Term SOFR rate plus 2.10%, (iii) in the case of a EURIBOR rate loan, the EURIBOR rate multiplied by the Statutory Reserve Rate (as defined in the Credit Agreement) plus 2.00%, (iv) in the case of a SONIA loan, the Sterling Overnight Index Average plus 2.03%, (v) in the case of a SARON loan, the Swiss Average Rate Overnight plus 2.00%, and (vi) in the case of an AUD rate loan, the AUD Screen Rate (as defined in the Credit Agreement) multiplied by the Statutory Reserve Rate plus 2.20%, in certain cases subject to applicable interest rate floors. The weighted-average interest rate in effect for the Revolver as of June 30, 2026 was 5.79%.</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Revolver may be repaid at any time during the term of the Credit Agreement and, subject to certain terms and conditions, may be reborrowed prior to the maturity date. Any outstanding principal amounts, together with any accrued interest thereon, shall be due and payable on the maturity date. The maturity date for the Revolver is May 16, 2029. As of June 30, 2026, we had outstanding borrowings of $100.0 million under the Revolver.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Revolver bears a fee on undrawn commitments equal to 0.25% per annum if total utilization of revolving commitments is equal to or greater than 50% and 0.35% per annum if total utilization of revolving commitments is less than 50%.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can use available funding capacity under the Revolver to satisfy letters of credit in amounts up to $10.0 million. Amounts used to satisfy the letters of credit reduce the available capacity under the Revolver. As of June 30, 2026, we had outstanding letters of credit totaling $10.1 million. </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Senior 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October 22, 2024, we issued $175.0 million aggregate principal amount of our 5.52% Series A senior notes due October 22, 2029, pursuant to the Note Purchase Agreement, dated as of October 22, 2024, in a private placement exempt from registration under the Securities Act.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60655"/>
                <wp:effectExtent l="0" t="0" r="0" b="0"/>
                <wp:wrapNone/>
                <wp:docPr id="83" name="Frame8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Interest on the Notes is payable semi-annually in arrears on April 22 and October 22 of each year. Interest on the Notes accrues from and including October 22, 2024. The Notes will mature on October 22, 2029. We may, at our option, prepay at any time all, or from time to time any part of, the Notes, in an amount not less than 5% of the aggregate principal amount of the Notes then outstanding at a redemption price equal to 100% of the principal amount thereof plus any applicable “make-whole amount” and accrued and unpaid interest to the redemption date. So long as no default or event of default shall have occurred and be continuing under the Note Purchase Agreement, no make-whole amount will be due if the Notes are paid on or after April 22, 2029.</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Debt Obligations of Consolidated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Debt obligations of the Consolidated Funds primarily comprise amounts due to holders of debt securities issued by a consolidated collateralized financing entity (“CFE”). These debt obligations are collateralized by the assets held by the CFE and are non-recourse to us. We are not liable for any of the notes payable issued by the CFE, as the creditors of the CFE do not have recourse to our assets outside of the assets held by the CFE. As of June 30, 2026, the collateral of the CFE consisted of cash and cash equivalents and investments in funds which are generally organized as partnership and LLC interests. The notes payable may only be repaid from collateral proceeds of the CFE, which will occur as distributions are received from underlying assets. Notes payable of the Consolidated Funds are collateralized by the assets held by the Consolidated Funds and the assets of one fund may not be used to satisfy the liabilities of another fund.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the consolidated CFE has the ability to issue up to $1,480.8 million of additional notes payable.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Certain Consolidated Funds may maintain revolving credit facilities that are secured by fund assets to fund investments on a short-term basis. These debt obligations of the Consolidated Funds are non-recourse to us.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December 2024, one of our consolidated investment funds entered into a credit agreement with Northern Trust Global Service SE (the “Fund Credit Facility”). The Fund Credit Facility provides for a multi-currency revolving credit facility of up to $125.0 million. Amounts drawn under the facility must be repaid within 180 days. As of June 30, 2026, there were no outstanding borrowings under the Fund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Fund Credit Facility bear interest at a variable rate per annum. Borrowings in USD will bear interest at the applicable federal funds target rate (upper range) plus a margin of 250 basis points. Borrowings in GBP will bear interest at the Bank of England base rate plus a margin of 250 basis points. Borrowings in EUR will bear interest at the European Central Bank main refinancing rate plus a margin of 250 basis points.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March 2026, our consolidated CFE entered into a credit agreement arranged by Alter Domus LLC, as the administrative agent, and certain other lenders party thereto that provides for a revolving credit facility (the “Liquidity Loan Facility”) of up to $389.7 million. As of June 30, 2026, there were no outstanding borrowings under the Liquidity Loan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Borrowings under the Liquidity Loan Facility bear interest at a variable rate per annum at the Term SOFR plus a margin of 270 basis points. The facility also bears an unused commitment fee of 1.00% per annum.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Liquidity Loan Facility may be repaid at any time during the term of the Agreement and, subject to certain terms and conditions, may be reborrowed prior to the maturity date. Any outstanding principal amounts, together with any accrued interest thereon, shall be due and payable on the maturity date. The maturity date for the Liquidity Loan Facility is March 23, 2031.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60655"/>
                <wp:effectExtent l="0" t="0" r="0" b="0"/>
                <wp:wrapNone/>
                <wp:docPr id="84" name="Frame8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June 2026, one of our consolidated investment funds entered into a supplemental credit agreement arranged by Lloyds Bank Corporate Markets PLC, as the agent and security agent, and UBS Switzerland AG, as the lender, establishing an additional revolving credit sub-facility of up to $160.0 million (the “Sub-Facility”). As of June 30, 2026, there were approximately $35.1 million in outstanding borrowings under the Sub-Facility.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Sub-Facility bear interest at a variable rate per annum based on the applicable benchmark rate plus a margin of 170 basis points. The Sub-Facility also bears a commitment fee of 0.25% per annum. The interest rate in effect for the Sub-Facility as of June 30, 2026 was 5.35%.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Sub-Facility may be repaid in accordance with the terms of the supplemental credit agreement and, subject to certain terms and conditions, may be reborrowed prior to the termination date. Any outstanding principal amounts, together with any accrued interest thereon, shall be due and payable on the termination date. The termination date for the Sub-Facility is 365 days from the effective date, subject to the extension option under the facilities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One of our consolidated investment funds is party to a credit agreement, as amended and restated in March 2026, with Goldman Sachs Bank USA that provides for an uncommitted revolving credit facility of up to $37.0 million (“Facility D”). As of June 30, 2026, there were approximately $18.2 million in outstanding borrowings under Facility D.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Facility D bear interest at a variable rate per annum equal to the Term SOFR plus 310 basis points or the Prime Rate plus 210 basis points. Facility D also requires payment of a quarterly administrative fee equal to 15 basis points of the facility limit. The interest rate in effect for Facility D as of June 30, 2026 was 6.72%.</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Facility D may be repaid at any time during the term of the credit agreement and, subject to the terms of the credit agreement, may be reborrowed. Facility D terminates on the earlier of (i) the date that is 30 days prior to the last date on which capital may be called from investors to repay obligations under the facility or (ii) the date on which the credit agreement is terminated by either the lender or the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May 2026, one of our consolidated investment funds entered into a credit agreement with Wells Fargo Bank, National Association, as administrative agent, lead arranger, letter of credit issuer and lender, providing for a revolving credit facility of up to $675.0 million (the “Subscription Facility”). As of June 30, 2026, there were approximately $222.9 million in outstanding borrowings under the Subscription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Borrowings under the Subscription Facility bear interest at a variable rate equal to SOFR plus 1.80% per annum. In addition, the Subscription Facility is subject to an unused commitment fee of 0.25% per annum on undrawn commitments and customary fees associated with letters of credit. The weighted-average interest rate in effect under the Subscription Facility as of June 30, 2026 was 5.45%.</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During the availability period, amounts borrowed under the Subscription Facility may be repaid and subsequently reborrowed, subject to the terms and conditions of the credit agreement. Obligations under the Subscription Facility are secured by investor capital commitments and related collateral pledged to the lenders. The Subscription Facility matures on May 4, 2029 and may be extended in accordance with the terms of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60655"/>
                <wp:effectExtent l="0" t="0" r="0" b="0"/>
                <wp:wrapNone/>
                <wp:docPr id="85" name="Frame8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Debt Covenants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Credit Agreement, certain of our assets serve as pledged collateral. In addition, the Credit Agreement contains covenants that, among other things: limit our ability to incur indebtedness; create, incur or allow liens; transfer or dispose of assets; merge with other companies; make certain investments; pay dividends or make distributions in certain circumstances; engage in new or different lines of business; and engage in certain transactions with affiliates. The Credit Agreement also contains financial covenants requiring us to maintain a total net leverage ratio and a minimum total of fee-earning assets under management.</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Senior 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Note Purchase Agreement contains certain covenants, including those requiring us to (a) maintain a total net leverage ratio, (b) maintain a minimum total of fee-earning assets under management, (c) cause at least 80% of all management fees payable by material subsidiaries to us to be collected each period without deferral, waiver or reduction, (d) limit the amount of secured indebtedness to be incurred by us, and (e) other customary covenants. The Note Purchase Agreement also provides for customary events of default, which, if any occur and is continuing, could permit or require the entire unpaid principal amount of any or all Notes, plus all accrued and unpaid interest thereon and any applicable “make-whole amount” to become or to be declared due and payable immediately.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Fund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Fund Credit Facility, certain assets of the Consolidated Funds serve as pledged collateral. In addition, the Fund Credit Facility contains covenants that, among other things: limit the ability of the fund to incur indebtedness; create, incur or allow liens; and other customary covenants. The Fund Credit Facility also provides for customary events of default, which, if any occur and are continuing, could permit or require the entire unpaid principal amount of any or all loans under the Fund Credit Facility, plus all accrued and unpaid interest thereon to become or to be declared due and payable immediately.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Liquidity Loan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Liquidity Loan Facility, certain assets of the Consolidated Funds serve as pledged collateral. In addition, the Liquidity Loan Facility contains covenants that, among other things: limit the ability of the fund to incur indebtedness; create, incur or allow liens; and other customary covenants. The Liquidity Loan Facility also provides for customary events of default, which, if any occur and are continuing, could permit or require the entire unpaid principal amount of any or all loans under the Liquidity Loan Facility, plus all accrued and unpaid interest thereon to become or to be declared due and payable immediately.</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 xml:space="preserve">Sub-Facility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Sub-Facility, certain assets of the Consolidated Funds serve as pledged collateral. Additionally, the Sub-Facility provides for customary events of default, which, if any occur and are continuing, could permit or require the entire unpaid principal amount of any or all loans under the Sub-Facility, plus all accrued and unpaid interest thereon to become or to be declared due and payable immediately. The Sub-Facility also contains financial covenants requiring the fund to maintain an uncalled capital commitment coverage ratio.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60655"/>
                <wp:effectExtent l="0" t="0" r="0" b="0"/>
                <wp:wrapNone/>
                <wp:docPr id="86" name="Frame8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Facility 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Facility D, certain assets of the Consolidated Funds serve as pledged collateral. In addition, Facility D contains customary affirmative and negative covenants, including restrictions on creating, incurring or permitting liens on collateral and certain other activities. Facility D also provides for customary events of default, which, if any occur and are continuing, could permit or require the entire unpaid principal amount of any or all loans under Facility D, together with accrued and unpaid interest thereon, including default interest, to become immediately due and payable.</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Subscription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Under the terms of the Subscription Facility, certain assets of the Consolidated Funds, including investor capital commitments and related collateral accounts, serve as pledged collateral. In addition, the Subscription Facility contains customary affirmative and negative covenants, including restrictions on creating, incurring or permitting liens on collateral and certain other activities. The credit agreement contains customary representations and warranties, borrowing conditions, collateral maintenance provisions, and events of default.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As of June 30, 2026, we were in compliance with the covenants under our various debt agreements.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Equity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June 2026, we issued 250,000 shares of Class A common stock to certain limited partners of the Partnership in exchange for 250,000 Class B units of the Partnership in accordance with the elective exchange notices submitted pursuant to the Class B Exchange Agreement. A corresponding number of shares of Class B common stock were automatically redeemed at par value and canceled in connection with such exchange and a corresponding number of Class A units of the Partnership were issued to us. We also issued 50,000 shares of Class A common stock to certain limited partners of the Partnership in exchange for 50,000 Class C units of the Partnership in accordance with the elective exchange notices submitted pursuant to the Class C Exchange Agreement, and a corresponding number of Class A units of the Partnership were issued to us. We also issued 831,428 shares of Class A common stock to certain limited partners of the Partnership in exchange for 831,428 Class D units of the Partnership in accordance with the elective exchange notices submitted pursuant to the Class D Exchange Agreement, and a corresponding number of Class A units of the Partnership were issued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60655"/>
                <wp:effectExtent l="0" t="0" r="0" b="0"/>
                <wp:wrapNone/>
                <wp:docPr id="87" name="Frame8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Stock Repurchase Program</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March 9, 2026, our board of directors authorized a stock repurchase program of up to $100.0 million of our Class A common stock, excluding fees and expenses. Under the stock repurchase program, repurchases may be made from 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us in order to maintain the one-to-one ratio between outstanding shares of Class A common stock and Class A units. During the three months ended June 30, 2026, we made $19.2 million in payments for common stock repurchases under the stock repurchase program. We had $72.1 million remaining under the stock repurchase program to repurchase additional shares as of June 30, 2026.</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Future Sources and Uses of Liquidity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future, we may issue additional equity or debt with the objective of increasing our available capital. We believe that we will be able to continue to meet our current and long-term liquidity and capital requirements through our cash flows from operating activities, existing cash and cash equivalents, and our ability to obtain future financing.</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Dividend and Distribution Policy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August 6, 2026, we announced a dividend of $0.33 per share of Class A common stock, payable on September 15, 2026 to holders of record at the close of business on August 31, 2026.</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presents information regarding cash quarterly dividends on Class A common shares for the periods indicated:</w:t>
      </w:r>
    </w:p>
    <w:tbl>
      <w:tblPr>
        <w:tblW w:w="9503" w:type="dxa"/>
        <w:jc w:val="left"/>
        <w:tblInd w:w="0" w:type="dxa"/>
        <w:tblLayout w:type="fixed"/>
        <w:tblCellMar>
          <w:top w:w="28" w:type="dxa"/>
          <w:left w:w="28" w:type="dxa"/>
          <w:bottom w:w="28" w:type="dxa"/>
          <w:right w:w="28" w:type="dxa"/>
        </w:tblCellMar>
      </w:tblPr>
      <w:tblGrid>
        <w:gridCol w:w="988"/>
        <w:gridCol w:w="870"/>
        <w:gridCol w:w="872"/>
        <w:gridCol w:w="109"/>
        <w:gridCol w:w="109"/>
        <w:gridCol w:w="109"/>
        <w:gridCol w:w="699"/>
        <w:gridCol w:w="699"/>
        <w:gridCol w:w="701"/>
        <w:gridCol w:w="109"/>
        <w:gridCol w:w="109"/>
        <w:gridCol w:w="109"/>
        <w:gridCol w:w="967"/>
        <w:gridCol w:w="2345"/>
        <w:gridCol w:w="708"/>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Quarterly Fiscal Period</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 Per Share of Class A Common Stock</w:t>
            </w:r>
          </w:p>
        </w:tc>
      </w:tr>
      <w:tr>
        <w:trPr/>
        <w:tc>
          <w:tcPr>
            <w:tcW w:w="27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7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Supplemental</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0.40 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Third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December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Fourth quarter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dividends paid in FY2026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7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Supplemental</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0.55 </w:t>
            </w:r>
          </w:p>
        </w:tc>
        <w:tc>
          <w:tcPr>
            <w:tcW w:w="7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20"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Total dividends paid in FY2027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0.83 </w:t>
            </w:r>
          </w:p>
        </w:tc>
        <w:tc>
          <w:tcPr>
            <w:tcW w:w="7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(1)Dividends paid, as reported in this table, relate to the preceding quarterly period in which they were earned.</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supplemental cash dividend relates to earnings in respect of our full fiscal years 2025 and 2026,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4605" cy="14605"/>
                <wp:effectExtent l="0" t="0" r="0" b="0"/>
                <wp:wrapNone/>
                <wp:docPr id="88" name="Frame87"/>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may pay additional dividends to holders of our Class A common stock in the future. The declaration and payment by us of any future dividends to Class A stockholders is at the sole discretion of our board of directors. Subject to funds being legally available, we will cause the Partnership to make pro rata distributions to its limited partners, including us, in amounts sufficient to make payment of applicable income and other taxes, to make payments under the Tax Receivable Agreements, and to make payment for corporate and other general expenses. Because our board of directors may determine to pay or not pay dividends to our Class A stockholders, our Class A stockholders may not necessarily receive dividend distributions relating to our excess distributions, even if the Partnership makes excess distributions to us.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Tax Receivable Agreements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have entered into an Exchanges Tax Receivable Agreement with the Class B limited partners, Class C limited partners, and Class D limited partners and a Reorganization Tax Receivable Agreement with certain pre-IPO institutional investors (collectively, the “Tax Receivable Agreements”). The Tax Receivable Agreements provide for payment by SSG to these partners and pre-IPO institutional investors of the Partnership of 85% of the amount of the net cash tax savings, if any, that SSG realizes (or, under certain circumstances, is deemed to realize) as a result of increases in tax basis (and utilization of certain other tax benefits) resulting from (i) SSG’s acquisition of such partner’s and institutional investor’s Partnership units and (ii) in the case of the Exchanges Tax Receivable Agreement, any payments SSG makes under the Exchanges Tax Receivable Agreement (including tax benefits related to imputed interest). SSG will retain the benefit of the remaining 15% of these net cash tax savings under the Tax Receivable Agreements.</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Option Agreement Payment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November 2022, we entered into arrangements with the SPW management team (the “Private Wealth Transaction”) under which certain members of the SPW team received a profits interest in SPW and concurrently entered into an option agreement which provides that (i) we have the right to acquire the profits interest at the end of any fiscal quarter after June 30, 2027 in exchange for payment of a call price and (ii) an entity named CH Equity Partners, LLC, held by the SPW management team and other employees of SPW, has the right to put the profits interest to us on June 30, 2026 or at the end of any fiscal quarter thereafter, in exchange for payment of a put price. The applicable call or put price is, in certain circumstances, subject to an earn-out or earn-down. The call or put price will be payable in cash unless we elect to pay up to 75% of the consideration in units of the Partnership, each to be exchangeable into shares of our Class A common stock, and, in either case, rights under one or more tax receivable agreements. As of June 30, 2026, the put right held by CH Equity Partners, LLC has not been exercised. The estimated fair value of the liability classified awards as of June 30, 2026 was $2,543.3 million, or $3,403.2 million, on an undiscounted basis. As of June 30, 2026, the estimated cash amount payable to settle the liability under the Private Wealth Transaction was $850.8 million, based on our expectation for settlement of 25% of the consideration in cash and 75% in units of the Partnership. We believe that we will be able to meet the cash requirements for settlement of the liability through a combination of cash flows from operating activities, borrowings under our Revolver, and our ability to obtain future financing. See note 9 to our condensed consolidated financial statements included elsewhere in this quarterly report for more information. Certain assumptions used in determining the fair value are inherently subjective; therefore, the ultimate settlement amount for the liability classified awards may differ materially from the current estimate. For more information, see “Risk Factors—Risks Related to Our Business—Under our option agreement with respect to SPW, we may purchase certain profits interests of SPW and the purchase price for such purchases may be substantial” included in our annual report on Form 10-K for the fiscal year ended March 31,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60655"/>
                <wp:effectExtent l="0" t="0" r="0" b="0"/>
                <wp:wrapNone/>
                <wp:docPr id="89" name="Frame8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Off-Balance Sheet Arrangements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do not have any off-balance sheet arrangements that would expose us to any liability or require us to fund losses or guarantee target returns to clients in our funds that are not reflected in our condensed consolidated financial statements. See notes 4 and 14, respectively, to our condensed consolidated financial statements included elsewhere in this quarterly report for information on variable interest entities and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Critical Accounting Estimates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We prepare our condensed consolidated financial statements in accordance with GAAP. In applying many of these accounting principles, we need to make assumptions, estimates and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 judgments, however, are both subjective and subject to change, and actual amounts may differ from our assumptions and estimates. If actual amounts are ultimately different from our estimates, the revisions are included in our results of operations for the period in which the actual amounts become known.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See note 2 to our condensed consolidated financial statements included elsewhere in this quarterly report, and note 2 to our audited consolidated financial statements in our Form 10-K for the year ended March 31, 2026 for a summary of our significant accounting policies.</w:t>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Recent Accounting Developments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Information regarding recent accounting developments and their effects to us can be found in note 2 to our condensed consolidated financial statements included elsewhere in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3. Quantitative and Qualitative Disclosures About Market Risk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normal course of business, we are exposed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our investment approach, investment strategies, fundraising practices or other business activities that are designed to benefit, either in relative or absolute terms, from periods of economic weakness, tighter credit markets or financial market dislocations.</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Market Risk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Our predominant exposure to market risk is related to our role as general partner or investment manager for our focused commingled funds and SMAs and the sensitivities to movements in the fair value of their investments, which may adversely affect our performance fee revenues and investment income.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60655"/>
                <wp:effectExtent l="0" t="0" r="0" b="0"/>
                <wp:wrapNone/>
                <wp:docPr id="90" name="Frame8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89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management fee and advisory fee revenues have historically been only marginally affected by changes in investment values because our management fees are generally based on commitments or net invested capital and our advisory fees are fixed. For the last twelve months ended June 30, 2026 and March 31, 2026, NAV-based management fees represented approximately 27% and 24%, respectively, of total net management and advisory fees. The increase in NAV-based management fees as a percentage of total net management and advisory fees is primarily attributable to the continued growth of our private wealth funds, which earn fees based on a contractual rate applied to NAV. As the private wealth funds continue to scale, the proportion of NAV-based fees may increase further in future periods, which could result in greater sensitivity of our management fee revenues to changes in investment values. We estimate that a 10% decline in market values of the investments held in our funds as of June 30, 2026 and March 31, 2026, would result in an approximate decrease to annual management fees of $25.3 million and $21.2 million, respectively.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fair value of the financial assets and liabilities of our focused commingled funds and SMAs may fluctuate in response to changes in the fair value of a fund’s underlying investments, foreign currency exchange rates, commodity prices and interest rates. The effect of these risks is as follows: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Incentive fees from our funds are not materially affected by changes in the fair value of unrealized investments because they are based on realized gains and subject to achievement of performance criteria rather than on the fair value of the fund’s assets prior to realization. As of both June 30, 2026 and March 31, 2026, we had $21.1 million of deferred incentive fee revenue recorded in accounts payable, accrued expenses and other liabilities in the condensed consolidated balance sheets.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We earn carried interest allocation revenue from certain of the StepStone Funds based on cumulative fund performance to date, subject to specified performance criteria. Our carried interest allocation is affected by changes in market factors. However, the degree of impact will vary depending on several factors, including but not limited to (i) the performance criteria for each individual fund in relation to how that fund’s results of operations are affected by changes in market factors; (ii) whether such performance criteria are annual or over the life of the fund; (iii) to the extent applicable, the previous performance of each fund in relation to its performance criteria; and (iv) whether each funds’ performance related distributions are subject to contingent repayment. As a result, the impact of changes in market factors on carried interest allocation revenue will vary widely from fund to fund. An overall decrease of 10% in the general equity markets would not necessarily drive the same impact on our funds’ valuations, as many of our investments in our funds are illiquid and do not trade on any exchange. Additionally, as a large percentage of our carried interest allocation revenues is paid to employees as carried interest-related compensation, the overall net impact to our income would be mitigated by lower compensation payments. As of June 30, 2026, and March 31, 2026, the maximum amount of carried interest allocations (excluding legacy Greenspring carried interest allocations) subject to contingent repayment, net of tax, was an estimated $452.9 million and $438.7 million, respectively, assuming the fair value of all investments was zero, a possibility that we view as remote. The primary driver for the change in the contingent repayment between periods is due to additional carried interest allocation realizations in fiscal 2027 that are potentially subject to clawback.</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Investment income changes in relation to realized and unrealized gains and losses of the underlying investments in our funds in which we have a general partner commitment. Based on investments (excluding legacy Greenspring investments in funds and investments of Consolidated Funds) held as of June 30, 2026 and March 31, 2026, we estimate that a 10% decline in fair value of the investments in funds would result in a decrease in investment income of $26.4 million and $24.9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60655"/>
                <wp:effectExtent l="0" t="0" r="0" b="0"/>
                <wp:wrapNone/>
                <wp:docPr id="91" name="Frame9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Exchange Rate Risk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Our business is affected by movements in the exchange rate between the U.S. dollar and non-U.S. dollar currencies in respect of revenues and expenses of our foreign offices that are denominated in non-U.S. dollar currencies and cash and other balances we hold in non-functional currencies. The amount of revenues and expenses attributable to our foreign offices is not material in relation to our U.S. offices. Therefore,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Certain of our focused commingled funds and SMAs hold investments denominated in non-U.S. dollar currencies that may be affected by movements in the exchange rate between the U.S. dollar and foreign currencies, which could affect investment performance. The currency exposure related to investments in foreign currency assets is limited to our general partner interest, which is typically no more than 1% of total capital commitments. Changes in exchange rates are not expected to materially affect our condensed consolidated financial statements.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Interest Rate Risk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As of June 30, 2026 and March 31, 2026, we had $175.0 million in borrowings outstanding under our Notes and $100.0 million in borrowings outstanding under our Revolver. The Revolver accrues interest at a variable rate and the Notes accrue interest at a fixed rate of 5.52%. As of both June 30, 2026 and March 31, 2026, we estimate that interest expense would increase by $2.8 million on an annualized basis as a result of a 100 basis point increase in interest rates. Based on the $201.7 million and $213.6 million of cash, cash equivalents and restricted cash (excluding Consolidated Funds) as of June 30, 2026 and March 31, 2026, respectively, we estimate that interest income would increase by $2.0 million and $2.1 million, respectively, on an annualized basis as a result of a 100 basis point increase in interest rates. </w:t>
      </w:r>
    </w:p>
    <w:p>
      <w:pPr>
        <w:pStyle w:val="TextBody"/>
        <w:bidi w:val="0"/>
        <w:spacing w:lineRule="auto" w:line="288" w:before="0" w:after="240"/>
        <w:ind w:left="0" w:right="0" w:firstLine="720"/>
        <w:jc w:val="left"/>
        <w:rPr>
          <w:rFonts w:ascii="Times New Roman;serif" w:hAnsi="Times New Roman;serif"/>
          <w:b/>
          <w:color w:val="000000"/>
          <w:sz w:val="22"/>
        </w:rPr>
      </w:pPr>
      <w:r>
        <w:rPr>
          <w:rFonts w:ascii="Times New Roman;serif" w:hAnsi="Times New Roman;serif"/>
          <w:b/>
          <w:color w:val="000000"/>
          <w:sz w:val="22"/>
        </w:rPr>
        <w:t>Credit Risk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4. Controls and Procedures.</w: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Disclosure Controls and Procedures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We maintain disclosure controls and procedures, as such term is defined in Rules 13a-15(e) and 15d-15(e) under the Securities Exchange Act of 1934, as amended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60655"/>
                <wp:effectExtent l="0" t="0" r="0" b="0"/>
                <wp:wrapNone/>
                <wp:docPr id="92" name="Frame9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Our management, under the supervision and with the participation of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0" w:after="240"/>
        <w:ind w:left="0" w:right="0" w:firstLine="720"/>
        <w:jc w:val="left"/>
        <w:rPr>
          <w:rFonts w:ascii="Times New Roman;serif" w:hAnsi="Times New Roman;serif"/>
          <w:b w:val="false"/>
          <w:i/>
          <w:color w:val="000000"/>
          <w:sz w:val="22"/>
        </w:rPr>
      </w:pPr>
      <w:r>
        <w:rPr>
          <w:rFonts w:ascii="Times New Roman;serif" w:hAnsi="Times New Roman;serif"/>
          <w:b w:val="false"/>
          <w:i/>
          <w:color w:val="000000"/>
          <w:sz w:val="22"/>
        </w:rPr>
        <w:t>Changes in Internal Control over Financial Reporting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There have been no changes in our internal control over financial reporting (as such term is defined in Rules 13a-15(f) and 15d-15(f) under the Exchange Act) during our most recent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1. Legal Proceedings.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required with respect to this item can be found under the heading “Litigation” in note 14, Commitments and Contingencies, to our condensed consolidated financial statements included elsewhere in this quarterly report, and such information is incorporated by reference into this Part II,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1A. Risk Factors.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There have been no material changes from the risk factors previously disclosed in Part I, Item 1A of our annual report on Form 10-K for the fiscal year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2. Unregistered Sales of Equity Securities and Use of Proceeds.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following table sets forth information regarding repurchases of our Class A common stock during the three months ended June 30, 2026:</w:t>
      </w:r>
    </w:p>
    <w:tbl>
      <w:tblPr>
        <w:tblW w:w="10205" w:type="dxa"/>
        <w:jc w:val="left"/>
        <w:tblInd w:w="0" w:type="dxa"/>
        <w:tblLayout w:type="fixed"/>
        <w:tblCellMar>
          <w:top w:w="28" w:type="dxa"/>
          <w:left w:w="28" w:type="dxa"/>
          <w:bottom w:w="28" w:type="dxa"/>
          <w:right w:w="28" w:type="dxa"/>
        </w:tblCellMar>
      </w:tblPr>
      <w:tblGrid>
        <w:gridCol w:w="574"/>
        <w:gridCol w:w="505"/>
        <w:gridCol w:w="507"/>
        <w:gridCol w:w="618"/>
        <w:gridCol w:w="476"/>
        <w:gridCol w:w="477"/>
        <w:gridCol w:w="109"/>
        <w:gridCol w:w="109"/>
        <w:gridCol w:w="109"/>
        <w:gridCol w:w="284"/>
        <w:gridCol w:w="831"/>
        <w:gridCol w:w="147"/>
        <w:gridCol w:w="109"/>
        <w:gridCol w:w="109"/>
        <w:gridCol w:w="109"/>
        <w:gridCol w:w="849"/>
        <w:gridCol w:w="729"/>
        <w:gridCol w:w="731"/>
        <w:gridCol w:w="109"/>
        <w:gridCol w:w="109"/>
        <w:gridCol w:w="109"/>
        <w:gridCol w:w="482"/>
        <w:gridCol w:w="1651"/>
        <w:gridCol w:w="363"/>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thousands, except share and per share amounts)</w:t>
            </w:r>
          </w:p>
        </w:tc>
        <w:tc>
          <w:tcPr>
            <w:tcW w:w="1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Total Number of Shares Purchased as Part of Publicly Announced Program</w:t>
            </w:r>
            <w:r>
              <w:rPr>
                <w:rFonts w:ascii="Times New Roman;serif" w:hAnsi="Times New Roman;serif"/>
                <w:b/>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Approximate Dollar Value of Shares that May Yet Be Purchased Under the Program</w:t>
            </w:r>
            <w:r>
              <w:rPr>
                <w:rFonts w:ascii="Times New Roman;serif" w:hAnsi="Times New Roman;serif"/>
                <w:b/>
                <w:color w:val="000000"/>
                <w:sz w:val="12"/>
              </w:rPr>
              <w:t>(2)</w:t>
            </w:r>
          </w:p>
        </w:tc>
      </w:tr>
      <w:tr>
        <w:trPr/>
        <w:tc>
          <w:tcPr>
            <w:tcW w:w="15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109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469,897 </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72,077 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1094"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469,897 </w:t>
            </w:r>
          </w:p>
        </w:tc>
        <w:tc>
          <w:tcPr>
            <w:tcW w:w="4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469,897 </w:t>
            </w:r>
          </w:p>
        </w:tc>
        <w:tc>
          <w:tcPr>
            <w:tcW w:w="7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(1)During the three months ended June 30, 2026, 2,552 shares of Class A common stock were purchased in conjunction with the payment of tax liabilities in respect of stock delivered to our employees in settlement of vested equity-based awards. These shares were not repurchased as part of any publicly announced stock repurchase program and are not included within the total number of shares purchased above or the stock repurchase program described below.</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 xml:space="preserve">(2)On March 9, 2026, our board of directors authorized a stock repurchase program of up to $100.0 million of our Class A common stock, excluding fees and expenses. Under the stock repurchase program, repurchases may be made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60655"/>
                <wp:effectExtent l="0" t="0" r="0" b="0"/>
                <wp:wrapNone/>
                <wp:docPr id="93" name="Frame9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time to time through open market purchases, in privately negotiated transactions, or by other means, including through the use of trading plans intended to qualify under Rule 10b5-1 under the Exchange Act. The stock repurchase program may be modified, suspended or discontinued by the board of directors at any time without prior notice and does not have a specified expiration date. Each share of Class A common stock repurchased is funded with the proceeds, on a dollar-for-dollar basis, from the repurchase of Class A units by the Partnership from us in order to maintain the one-to-one ratio between outstanding shares of Class A common stock and Class A units.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See note 13 to our condensed consolidated financial statements included in Part I, Item 1 of this quarterly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3. Defaults Upon Senior Securities.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4. Mine Safety Disclosures.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Item 5. Other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Trading Arrangements.</w:t>
      </w:r>
    </w:p>
    <w:p>
      <w:pPr>
        <w:pStyle w:val="TextBody"/>
        <w:bidi w:val="0"/>
        <w:spacing w:lineRule="auto" w:line="288" w:before="0" w:after="240"/>
        <w:ind w:left="0" w:right="0" w:firstLine="720"/>
        <w:jc w:val="left"/>
        <w:rPr/>
      </w:pPr>
      <w:r>
        <w:rPr>
          <w:rFonts w:ascii="Times New Roman;serif" w:hAnsi="Times New Roman;serif"/>
          <w:b w:val="false"/>
          <w:color w:val="000000"/>
          <w:sz w:val="22"/>
          <w:shd w:fill="FFFFFF" w:val="clear"/>
        </w:rPr>
        <w:t xml:space="preserve">The table below summarizes the terms of “Rule 10b5-1 trading arrangements,” as defined in Item 408 of Regulation S-K, adopted, modified or terminated by our executive officers or directors during the quarter ended </w:t>
      </w:r>
      <w:r>
        <w:rPr>
          <w:rFonts w:ascii="Times New Roman;serif" w:hAnsi="Times New Roman;serif"/>
          <w:b w:val="false"/>
          <w:color w:val="000000"/>
          <w:sz w:val="22"/>
        </w:rPr>
        <w:t>June 30, 2026</w:t>
      </w:r>
      <w:r>
        <w:rPr>
          <w:rFonts w:ascii="Times New Roman;serif" w:hAnsi="Times New Roman;serif"/>
          <w:b w:val="false"/>
          <w:color w:val="000000"/>
          <w:sz w:val="22"/>
          <w:shd w:fill="FFFFFF" w:val="clear"/>
        </w:rPr>
        <w:t>. The trading arrangement listed below is intended to satisfy the affirmative defense conditions of Rule 10b5-1(c).</w:t>
      </w:r>
    </w:p>
    <w:tbl>
      <w:tblPr>
        <w:tblW w:w="10205" w:type="dxa"/>
        <w:jc w:val="left"/>
        <w:tblInd w:w="0" w:type="dxa"/>
        <w:tblLayout w:type="fixed"/>
        <w:tblCellMar>
          <w:top w:w="28" w:type="dxa"/>
          <w:left w:w="28" w:type="dxa"/>
          <w:bottom w:w="28" w:type="dxa"/>
          <w:right w:w="28" w:type="dxa"/>
        </w:tblCellMar>
      </w:tblPr>
      <w:tblGrid>
        <w:gridCol w:w="351"/>
        <w:gridCol w:w="308"/>
        <w:gridCol w:w="311"/>
        <w:gridCol w:w="254"/>
        <w:gridCol w:w="254"/>
        <w:gridCol w:w="258"/>
        <w:gridCol w:w="646"/>
        <w:gridCol w:w="646"/>
        <w:gridCol w:w="648"/>
        <w:gridCol w:w="749"/>
        <w:gridCol w:w="641"/>
        <w:gridCol w:w="601"/>
        <w:gridCol w:w="1326"/>
        <w:gridCol w:w="1326"/>
        <w:gridCol w:w="188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w:t>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1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 of Adoption or Termination</w:t>
            </w:r>
          </w:p>
        </w:tc>
        <w:tc>
          <w:tcPr>
            <w:tcW w:w="19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Duration of Plan</w:t>
            </w:r>
            <w:r>
              <w:rPr>
                <w:rFonts w:ascii="Times New Roman;serif" w:hAnsi="Times New Roman;serif"/>
                <w:b/>
                <w:color w:val="000000"/>
                <w:sz w:val="13"/>
              </w:rPr>
              <w:t>(1)</w:t>
            </w:r>
          </w:p>
        </w:tc>
        <w:tc>
          <w:tcPr>
            <w:tcW w:w="4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number of shares of Class A common stock to be sold pursuant to the trading arrangement</w:t>
            </w:r>
          </w:p>
        </w:tc>
      </w:tr>
      <w:tr>
        <w:trPr/>
        <w:tc>
          <w:tcPr>
            <w:tcW w:w="97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Thomas Keck</w:t>
            </w:r>
          </w:p>
        </w:tc>
        <w:tc>
          <w:tcPr>
            <w:tcW w:w="76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9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 adopted June 12, 2026</w:t>
            </w:r>
          </w:p>
        </w:tc>
        <w:tc>
          <w:tcPr>
            <w:tcW w:w="19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Plan terminates December 31, 2026</w:t>
            </w:r>
          </w:p>
        </w:tc>
        <w:tc>
          <w:tcPr>
            <w:tcW w:w="453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100,750</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24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(1)Such plan will expire on the earlier of the expiration date or the completion of all transactions under the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60655"/>
                <wp:effectExtent l="0" t="0" r="0" b="0"/>
                <wp:wrapNone/>
                <wp:docPr id="94" name="Frame9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6. Exhibits.</w:t>
      </w:r>
    </w:p>
    <w:tbl>
      <w:tblPr>
        <w:tblW w:w="10205" w:type="dxa"/>
        <w:jc w:val="left"/>
        <w:tblInd w:w="0" w:type="dxa"/>
        <w:tblLayout w:type="fixed"/>
        <w:tblCellMar>
          <w:top w:w="28" w:type="dxa"/>
          <w:left w:w="28" w:type="dxa"/>
          <w:bottom w:w="28" w:type="dxa"/>
          <w:right w:w="28" w:type="dxa"/>
        </w:tblCellMar>
      </w:tblPr>
      <w:tblGrid>
        <w:gridCol w:w="283"/>
        <w:gridCol w:w="248"/>
        <w:gridCol w:w="249"/>
        <w:gridCol w:w="2054"/>
        <w:gridCol w:w="1782"/>
        <w:gridCol w:w="1788"/>
        <w:gridCol w:w="200"/>
        <w:gridCol w:w="200"/>
        <w:gridCol w:w="187"/>
        <w:gridCol w:w="245"/>
        <w:gridCol w:w="245"/>
        <w:gridCol w:w="246"/>
        <w:gridCol w:w="218"/>
        <w:gridCol w:w="218"/>
        <w:gridCol w:w="219"/>
        <w:gridCol w:w="262"/>
        <w:gridCol w:w="262"/>
        <w:gridCol w:w="141"/>
        <w:gridCol w:w="336"/>
        <w:gridCol w:w="336"/>
        <w:gridCol w:w="486"/>
      </w:tblGrid>
      <w:tr>
        <w:trPr/>
        <w:tc>
          <w:tcPr>
            <w:tcW w:w="28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Filed or Furnished Herewith</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 of Exhibit</w:t>
            </w:r>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File No.</w:t>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3.1</w:t>
              </w:r>
            </w:hyperlink>
          </w:p>
        </w:tc>
        <w:tc>
          <w:tcPr>
            <w:tcW w:w="56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Restated Certificate of Incorporation of StepStone Group Inc.</w:t>
              </w:r>
            </w:hyperlink>
          </w:p>
        </w:tc>
        <w:tc>
          <w:tcPr>
            <w:tcW w:w="5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7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9/19/2025</w:t>
            </w:r>
          </w:p>
        </w:tc>
        <w:tc>
          <w:tcPr>
            <w:tcW w:w="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001-39510</w:t>
            </w:r>
          </w:p>
        </w:tc>
        <w:tc>
          <w:tcPr>
            <w:tcW w:w="1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3.2</w:t>
              </w:r>
            </w:hyperlink>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Amended and Restated Bylaws of StepStone Group Inc.</w:t>
              </w:r>
            </w:hyperlink>
          </w:p>
        </w:tc>
        <w:tc>
          <w:tcPr>
            <w:tcW w:w="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2/09/2023</w:t>
            </w:r>
          </w:p>
        </w:tc>
        <w:tc>
          <w:tcPr>
            <w:tcW w:w="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001-39510</w:t>
            </w:r>
          </w:p>
        </w:tc>
        <w:tc>
          <w:tcPr>
            <w:tcW w:w="1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027.htm">
              <w:r>
                <w:rPr>
                  <w:rStyle w:val="InternetLink"/>
                  <w:rFonts w:ascii="Times New Roman;serif" w:hAnsi="Times New Roman;serif"/>
                  <w:b w:val="false"/>
                  <w:color w:val="0000FF"/>
                  <w:sz w:val="20"/>
                  <w:u w:val="single"/>
                </w:rPr>
                <w:t>31.1</w:t>
              </w:r>
            </w:hyperlink>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fy2027.htm">
              <w:r>
                <w:rPr>
                  <w:rStyle w:val="InternetLink"/>
                  <w:rFonts w:ascii="Times New Roman;serif" w:hAnsi="Times New Roman;serif"/>
                  <w:b w:val="false"/>
                  <w:color w:val="0000FF"/>
                  <w:sz w:val="20"/>
                  <w:u w:val="single"/>
                </w:rPr>
                <w:t>Certification of Chief Executive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027.htm">
              <w:r>
                <w:rPr>
                  <w:rStyle w:val="InternetLink"/>
                  <w:rFonts w:ascii="Times New Roman;serif" w:hAnsi="Times New Roman;serif"/>
                  <w:b w:val="false"/>
                  <w:color w:val="0000FF"/>
                  <w:sz w:val="20"/>
                  <w:u w:val="single"/>
                </w:rPr>
                <w:t>31.2</w:t>
              </w:r>
            </w:hyperlink>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fy2027.htm">
              <w:r>
                <w:rPr>
                  <w:rStyle w:val="InternetLink"/>
                  <w:rFonts w:ascii="Times New Roman;serif" w:hAnsi="Times New Roman;serif"/>
                  <w:b w:val="false"/>
                  <w:color w:val="0000FF"/>
                  <w:sz w:val="20"/>
                  <w:u w:val="single"/>
                </w:rPr>
                <w:t>Certification of Chief Financial Officer pursuant to Rule 13a-14(a) and Rule 15d-14(a) of the Securities Exchange Act, as amended</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027.htm">
              <w:r>
                <w:rPr>
                  <w:rStyle w:val="InternetLink"/>
                  <w:rFonts w:ascii="Times New Roman;serif" w:hAnsi="Times New Roman;serif"/>
                  <w:b w:val="false"/>
                  <w:color w:val="0000FF"/>
                  <w:sz w:val="20"/>
                  <w:u w:val="single"/>
                </w:rPr>
                <w:t>32.1</w:t>
              </w:r>
            </w:hyperlink>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fy2027.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027.htm">
              <w:r>
                <w:rPr>
                  <w:rStyle w:val="InternetLink"/>
                  <w:rFonts w:ascii="Times New Roman;serif" w:hAnsi="Times New Roman;serif"/>
                  <w:b w:val="false"/>
                  <w:color w:val="0000FF"/>
                  <w:sz w:val="20"/>
                  <w:u w:val="single"/>
                </w:rPr>
                <w:t>32.2</w:t>
              </w:r>
            </w:hyperlink>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1fy2027.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our quarterly report on Form 10-Q for the quarter ended June 30, 2026 formatted in Inline XBRL (Extensible Business Reporting Language): (i) the Condensed Consolidated Balance Sheets; (ii) the Condensed Consolidated Statements of Loss; (iii) the Condensed Consolidated Statements of Comprehensive Loss; (iv) the Condensed Consolidated Statements of Stockholders’ Equity; (v) the Condensed Consolidated Statements of Cash Flows; (vi) Notes to Condensed Consolidated Financial Statements; and (vii) Part II, Item 5(c).</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58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655" w:type="dxa"/>
            <w:gridSpan w:val="3"/>
            <w:tcBorders/>
            <w:vAlign w:val="center"/>
          </w:tcPr>
          <w:p>
            <w:pPr>
              <w:pStyle w:val="TableContents"/>
              <w:bidi w:val="0"/>
              <w:spacing w:before="0" w:after="283"/>
              <w:jc w:val="left"/>
              <w:rPr>
                <w:sz w:val="4"/>
                <w:szCs w:val="4"/>
              </w:rPr>
            </w:pPr>
            <w:r>
              <w:rPr>
                <w:sz w:val="4"/>
                <w:szCs w:val="4"/>
              </w:rPr>
            </w:r>
          </w:p>
        </w:tc>
        <w:tc>
          <w:tcPr>
            <w:tcW w:w="665"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3801" w:type="dxa"/>
            <w:gridSpan w:val="15"/>
            <w:tcBorders/>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3801" w:type="dxa"/>
            <w:gridSpan w:val="15"/>
            <w:tcBorders/>
          </w:tcPr>
          <w:p>
            <w:pPr>
              <w:pStyle w:val="TableContents"/>
              <w:bidi w:val="0"/>
              <w:spacing w:before="0" w:after="283"/>
              <w:jc w:val="left"/>
              <w:rPr>
                <w:sz w:val="4"/>
                <w:szCs w:val="4"/>
              </w:rPr>
            </w:pPr>
            <w:r>
              <w:rPr>
                <w:sz w:val="4"/>
                <w:szCs w:val="4"/>
              </w:rPr>
            </w:r>
          </w:p>
        </w:tc>
      </w:tr>
      <w:tr>
        <w:trPr/>
        <w:tc>
          <w:tcPr>
            <w:tcW w:w="780" w:type="dxa"/>
            <w:gridSpan w:val="3"/>
            <w:tcBorders/>
            <w:vAlign w:val="center"/>
          </w:tcPr>
          <w:p>
            <w:pPr>
              <w:pStyle w:val="TableContents"/>
              <w:bidi w:val="0"/>
              <w:spacing w:before="0" w:after="283"/>
              <w:jc w:val="left"/>
              <w:rPr>
                <w:sz w:val="4"/>
                <w:szCs w:val="4"/>
              </w:rPr>
            </w:pPr>
            <w:r>
              <w:rPr>
                <w:sz w:val="4"/>
                <w:szCs w:val="4"/>
              </w:rPr>
            </w:r>
          </w:p>
        </w:tc>
        <w:tc>
          <w:tcPr>
            <w:tcW w:w="5624" w:type="dxa"/>
            <w:gridSpan w:val="3"/>
            <w:tcBorders/>
            <w:vAlign w:val="center"/>
          </w:tcPr>
          <w:p>
            <w:pPr>
              <w:pStyle w:val="TableContents"/>
              <w:bidi w:val="0"/>
              <w:spacing w:before="0" w:after="283"/>
              <w:jc w:val="left"/>
              <w:rPr>
                <w:sz w:val="4"/>
                <w:szCs w:val="4"/>
              </w:rPr>
            </w:pPr>
            <w:r>
              <w:rPr>
                <w:sz w:val="4"/>
                <w:szCs w:val="4"/>
              </w:rPr>
            </w:r>
          </w:p>
        </w:tc>
        <w:tc>
          <w:tcPr>
            <w:tcW w:w="3801" w:type="dxa"/>
            <w:gridSpan w:val="15"/>
            <w:tcBorders/>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60655"/>
                <wp:effectExtent l="0" t="0" r="0" b="0"/>
                <wp:wrapNone/>
                <wp:docPr id="95" name="Frame9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94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240" w:after="24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thereunto duly authorized, on August 7, 2026</w:t>
      </w:r>
      <w:r>
        <w:rPr>
          <w:rFonts w:ascii="Times New Roman;serif" w:hAnsi="Times New Roman;serif"/>
          <w:b/>
          <w:color w:val="000000"/>
          <w:sz w:val="22"/>
        </w:rPr>
        <w:t>.</w:t>
      </w:r>
    </w:p>
    <w:tbl>
      <w:tblPr>
        <w:tblW w:w="60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1534"/>
        <w:gridCol w:w="1534"/>
        <w:gridCol w:w="21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STEPSTONE GROUP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(Principal Financial Officer and Authorized Signatory)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31.1</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60655"/>
                <wp:effectExtent l="0" t="0" r="0" b="0"/>
                <wp:wrapNone/>
                <wp:docPr id="96" name="Frame9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95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CERTIFICATION BY THE CHIEF EXECUTIVE OFFICER PURSUANT TO SECTION 302 OF THE SARBANES-OXLEY ACT OF 2002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 Scott W. Hart, certify that: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d.Disclosed in this report any change in the registrant’s internal control over financial reporting that occurred during the registrant’s most recent fiscal quarter (the registrant’s fourth fiscal quarter in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case of an annual report) that has materially affected, or is reasonably likely to materially affect, the registrant’s internal control over financial reporting; and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399"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826"/>
        <w:gridCol w:w="826"/>
        <w:gridCol w:w="1183"/>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7,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Scott W. Hart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Scott W. Hart</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31.2</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CERTIFICATION BY THE CHIEF FINANCIAL OFFICER PURSUANT TO SECTION 302 OF THE SARBANES-OXLEY ACT OF 2002</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I, David Y. Park, certify that: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1.I have reviewed this quarterly report on Form 10-Q of StepStone Group Inc.;</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center"/>
        <w:rPr/>
      </w:pPr>
      <w:r>
        <w:rPr/>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2"/>
        </w:rPr>
      </w:pPr>
      <w:r>
        <w:rPr>
          <w:rFonts w:ascii="Times New Roman;serif" w:hAnsi="Times New Roman;serif"/>
          <w:b w:val="false"/>
          <w:color w:val="000000"/>
          <w:sz w:val="22"/>
        </w:rPr>
        <w:t>b.Any fraud, whether or not material, that involves management or other employees who have a significant role in the registrant’s internal control over financial reporting.</w:t>
      </w:r>
    </w:p>
    <w:tbl>
      <w:tblPr>
        <w:tblW w:w="5398" w:type="dxa"/>
        <w:jc w:val="left"/>
        <w:tblInd w:w="0" w:type="dxa"/>
        <w:tblLayout w:type="fixed"/>
        <w:tblCellMar>
          <w:top w:w="28" w:type="dxa"/>
          <w:left w:w="28" w:type="dxa"/>
          <w:bottom w:w="28" w:type="dxa"/>
          <w:right w:w="28" w:type="dxa"/>
        </w:tblCellMar>
      </w:tblPr>
      <w:tblGrid>
        <w:gridCol w:w="771"/>
        <w:gridCol w:w="678"/>
        <w:gridCol w:w="681"/>
        <w:gridCol w:w="144"/>
        <w:gridCol w:w="144"/>
        <w:gridCol w:w="146"/>
        <w:gridCol w:w="829"/>
        <w:gridCol w:w="829"/>
        <w:gridCol w:w="1176"/>
      </w:tblGrid>
      <w:tr>
        <w:trPr/>
        <w:tc>
          <w:tcPr>
            <w:tcW w:w="77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 August 7, 2026</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Y. Park</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Y. Park</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32.1</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of StepStone Group Inc. (the “Company”) on Form 10-Q for the three months ended June 30, 2026, as filed with the Securities and Exchange Commission (the “SEC”) on or about the date hereof (the “Report”), I, Scott W. Hart, Chief Executive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 August 7, 2026</w:t>
      </w:r>
    </w:p>
    <w:tbl>
      <w:tblPr>
        <w:tblW w:w="3611"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6"/>
        <w:gridCol w:w="826"/>
        <w:gridCol w:w="11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Scott W. 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Executive Officer)</w:t>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32.2</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9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CERTIFICATION PURSUANT TO 18 U.S.C. SECTION 1350 AS ADOPTED PURSUANT TO SECTION 906 OF THE SARBANES-OXLEY ACT OF 2002</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In connection with the Quarterly Report of StepStone Group Inc. (the “Company”) on Form 10-Q for the three months ended June 30, 2026, as filed with the Securities and Exchange Commission (the “SEC”) on or about the date hereof (the “Report”), I, David Y. Park, Chief Financial Officer of the Company certify, pursuant to 18 U.S.C. Section 1350, as adopted pursuant to Section 906 of the Sarbanes-Oxley Act of 2002, that to my knowledge: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 xml:space="preserve">The Report fully complies with the requirements of Section 13(a) or 15(d) of the Securities Exchange Act of 1934, as amended; and </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2"/>
        </w:rPr>
        <w:t>The information contained in the Report fairly presents, in all material respects, the financial condition and results of operations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Date: August 7, 2026</w:t>
      </w:r>
    </w:p>
    <w:tbl>
      <w:tblPr>
        <w:tblW w:w="3610" w:type="dxa"/>
        <w:jc w:val="left"/>
        <w:tblInd w:w="0" w:type="dxa"/>
        <w:tblLayout w:type="fixed"/>
        <w:tblCellMar>
          <w:top w:w="28" w:type="dxa"/>
          <w:left w:w="28" w:type="dxa"/>
          <w:bottom w:w="28" w:type="dxa"/>
          <w:right w:w="28" w:type="dxa"/>
        </w:tblCellMar>
      </w:tblPr>
      <w:tblGrid>
        <w:gridCol w:w="124"/>
        <w:gridCol w:w="109"/>
        <w:gridCol w:w="109"/>
        <w:gridCol w:w="144"/>
        <w:gridCol w:w="144"/>
        <w:gridCol w:w="146"/>
        <w:gridCol w:w="829"/>
        <w:gridCol w:w="829"/>
        <w:gridCol w:w="117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 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David Y. Park</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2"/>
              </w:rPr>
            </w:pPr>
            <w:r>
              <w:rPr>
                <w:rFonts w:ascii="Times New Roman;serif" w:hAnsi="Times New Roman;serif"/>
                <w:b w:val="false"/>
                <w:i/>
                <w:color w:val="000000"/>
                <w:sz w:val="22"/>
              </w:rPr>
              <w:t>(Principal Financial Officer)</w:t>
            </w:r>
          </w:p>
        </w:tc>
      </w:tr>
    </w:tbl>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signed original of this written statement required by Section 906 has been provided to the Company and will be retained by the Company and furnished to the SEC or its staff 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96022/000179602225000072/ex32-restatedcertificateof.htm" TargetMode="External"/><Relationship Id="rId4" Type="http://schemas.openxmlformats.org/officeDocument/2006/relationships/hyperlink" Target="https://www.sec.gov/Archives/edgar/data/1796022/000179602225000072/ex32-restatedcertificateof.htm" TargetMode="External"/><Relationship Id="rId5" Type="http://schemas.openxmlformats.org/officeDocument/2006/relationships/hyperlink" Target="https://www.sec.gov/Archives/edgar/data/1796022/000179602223000011/exhibit32q3fy2023.htm" TargetMode="External"/><Relationship Id="rId6" Type="http://schemas.openxmlformats.org/officeDocument/2006/relationships/hyperlink" Target="https://www.sec.gov/Archives/edgar/data/1796022/000179602223000011/exhibit32q3fy2023.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46441</Words>
  <Characters>261590</Characters>
  <CharactersWithSpaces>305979</CharactersWithSpaces>
  <Paragraphs>3348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