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641350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661670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08" w:lineRule="exact"/>
        <w:rPr>
          <w:sz w:val="24"/>
          <w:szCs w:val="24"/>
          <w:color w:val="auto"/>
        </w:rPr>
      </w:pPr>
    </w:p>
    <w:p>
      <w:pPr>
        <w:ind w:left="420" w:hanging="369"/>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December 31, 2025</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or</w:t>
      </w:r>
    </w:p>
    <w:p>
      <w:pPr>
        <w:spacing w:after="0" w:line="71" w:lineRule="exact"/>
        <w:rPr>
          <w:sz w:val="24"/>
          <w:szCs w:val="24"/>
          <w:color w:val="auto"/>
        </w:rPr>
      </w:pPr>
    </w:p>
    <w:p>
      <w:pPr>
        <w:ind w:left="380" w:hanging="329"/>
        <w:spacing w:after="0"/>
        <w:tabs>
          <w:tab w:leader="none" w:pos="3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3"/>
          <w:szCs w:val="13"/>
          <w:color w:val="auto"/>
        </w:rPr>
        <w:t>For the transition period from _______________________ to ___________________________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Commission file number 001-39510</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STEPSTONE GROUP INC.</w:t>
      </w:r>
    </w:p>
    <w:p>
      <w:pPr>
        <w:spacing w:after="0" w:line="188" w:lineRule="exact"/>
        <w:rPr>
          <w:sz w:val="24"/>
          <w:szCs w:val="24"/>
          <w:color w:val="auto"/>
        </w:rPr>
      </w:pPr>
    </w:p>
    <w:tbl>
      <w:tblPr>
        <w:tblLayout w:type="fixed"/>
        <w:tblInd w:w="1560" w:type="dxa"/>
        <w:tblCellMar>
          <w:top w:w="0" w:type="dxa"/>
          <w:left w:w="0" w:type="dxa"/>
          <w:bottom w:w="0" w:type="dxa"/>
          <w:right w:w="0" w:type="dxa"/>
        </w:tblCellMar>
      </w:tblPr>
      <w:tr>
        <w:trPr>
          <w:trHeight w:val="149"/>
        </w:trPr>
        <w:tc>
          <w:tcPr>
            <w:tcW w:w="5440" w:type="dxa"/>
            <w:vAlign w:val="bottom"/>
            <w:gridSpan w:val="6"/>
          </w:tcPr>
          <w:p>
            <w:pPr>
              <w:jc w:val="center"/>
              <w:ind w:left="2663"/>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2780" w:type="dxa"/>
            <w:vAlign w:val="bottom"/>
          </w:tcPr>
          <w:p>
            <w:pPr>
              <w:spacing w:after="0"/>
              <w:rPr>
                <w:sz w:val="12"/>
                <w:szCs w:val="12"/>
                <w:color w:val="auto"/>
              </w:rPr>
            </w:pPr>
          </w:p>
        </w:tc>
      </w:tr>
      <w:tr>
        <w:trPr>
          <w:trHeight w:val="170"/>
        </w:trPr>
        <w:tc>
          <w:tcPr>
            <w:tcW w:w="2880" w:type="dxa"/>
            <w:vAlign w:val="bottom"/>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80" w:type="dxa"/>
            <w:vAlign w:val="bottom"/>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84-3868757</w:t>
            </w:r>
          </w:p>
        </w:tc>
      </w:tr>
      <w:tr>
        <w:trPr>
          <w:trHeight w:val="129"/>
        </w:trPr>
        <w:tc>
          <w:tcPr>
            <w:tcW w:w="2880" w:type="dxa"/>
            <w:vAlign w:val="bottom"/>
          </w:tcPr>
          <w:p>
            <w:pPr>
              <w:jc w:val="center"/>
              <w:ind w:right="743"/>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78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2880" w:type="dxa"/>
            <w:vAlign w:val="bottom"/>
          </w:tcPr>
          <w:p>
            <w:pPr>
              <w:jc w:val="center"/>
              <w:ind w:right="74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780" w:type="dxa"/>
            <w:vAlign w:val="bottom"/>
          </w:tcPr>
          <w:p>
            <w:pPr>
              <w:jc w:val="center"/>
              <w:ind w:left="52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76"/>
        </w:trPr>
        <w:tc>
          <w:tcPr>
            <w:tcW w:w="2880" w:type="dxa"/>
            <w:vAlign w:val="bottom"/>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rPr>
              <w:t>277 Park Avenue, 45</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149"/>
        </w:trPr>
        <w:tc>
          <w:tcPr>
            <w:tcW w:w="2880" w:type="dxa"/>
            <w:vAlign w:val="bottom"/>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rPr>
              <w:t>New York, NY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780" w:type="dxa"/>
            <w:vAlign w:val="bottom"/>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rPr>
              <w:t>10172</w:t>
            </w:r>
          </w:p>
        </w:tc>
      </w:tr>
      <w:tr>
        <w:trPr>
          <w:trHeight w:val="159"/>
        </w:trPr>
        <w:tc>
          <w:tcPr>
            <w:tcW w:w="2880" w:type="dxa"/>
            <w:vAlign w:val="bottom"/>
          </w:tcPr>
          <w:p>
            <w:pPr>
              <w:jc w:val="center"/>
              <w:ind w:right="74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78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(Zip Code)</w:t>
            </w:r>
          </w:p>
        </w:tc>
      </w:tr>
      <w:tr>
        <w:trPr>
          <w:trHeight w:val="393"/>
        </w:trPr>
        <w:tc>
          <w:tcPr>
            <w:tcW w:w="2880" w:type="dxa"/>
            <w:vAlign w:val="bottom"/>
          </w:tcPr>
          <w:p>
            <w:pPr>
              <w:spacing w:after="0"/>
              <w:rPr>
                <w:sz w:val="24"/>
                <w:szCs w:val="24"/>
                <w:color w:val="auto"/>
              </w:rPr>
            </w:pPr>
          </w:p>
        </w:tc>
        <w:tc>
          <w:tcPr>
            <w:tcW w:w="1780" w:type="dxa"/>
            <w:vAlign w:val="bottom"/>
            <w:gridSpan w:val="3"/>
          </w:tcPr>
          <w:p>
            <w:pPr>
              <w:jc w:val="center"/>
              <w:ind w:left="583"/>
              <w:spacing w:after="0"/>
              <w:rPr>
                <w:sz w:val="20"/>
                <w:szCs w:val="20"/>
                <w:color w:val="auto"/>
              </w:rPr>
            </w:pPr>
            <w:r>
              <w:rPr>
                <w:rFonts w:ascii="Times New Roman" w:cs="Times New Roman" w:eastAsia="Times New Roman" w:hAnsi="Times New Roman"/>
                <w:sz w:val="11"/>
                <w:szCs w:val="11"/>
                <w:b w:val="1"/>
                <w:bCs w:val="1"/>
                <w:color w:val="auto"/>
              </w:rPr>
              <w:t>(212) 351-6100</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08"/>
        </w:trPr>
        <w:tc>
          <w:tcPr>
            <w:tcW w:w="2880" w:type="dxa"/>
            <w:vAlign w:val="bottom"/>
          </w:tcPr>
          <w:p>
            <w:pPr>
              <w:spacing w:after="0"/>
              <w:rPr>
                <w:sz w:val="24"/>
                <w:szCs w:val="24"/>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2780" w:type="dxa"/>
            <w:vAlign w:val="bottom"/>
          </w:tcPr>
          <w:p>
            <w:pPr>
              <w:spacing w:after="0"/>
              <w:rPr>
                <w:sz w:val="24"/>
                <w:szCs w:val="24"/>
                <w:color w:val="auto"/>
              </w:rPr>
            </w:pPr>
          </w:p>
        </w:tc>
      </w:tr>
      <w:tr>
        <w:trPr>
          <w:trHeight w:val="159"/>
        </w:trPr>
        <w:tc>
          <w:tcPr>
            <w:tcW w:w="5440" w:type="dxa"/>
            <w:vAlign w:val="bottom"/>
            <w:gridSpan w:val="6"/>
          </w:tcPr>
          <w:p>
            <w:pPr>
              <w:ind w:left="28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780" w:type="dxa"/>
            <w:vAlign w:val="bottom"/>
          </w:tcPr>
          <w:p>
            <w:pPr>
              <w:spacing w:after="0"/>
              <w:rPr>
                <w:sz w:val="13"/>
                <w:szCs w:val="13"/>
                <w:color w:val="auto"/>
              </w:rPr>
            </w:pPr>
          </w:p>
        </w:tc>
      </w:tr>
      <w:tr>
        <w:trPr>
          <w:trHeight w:val="169"/>
        </w:trPr>
        <w:tc>
          <w:tcPr>
            <w:tcW w:w="2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Title of each class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780"/>
              <w:spacing w:after="0"/>
              <w:rPr>
                <w:sz w:val="20"/>
                <w:szCs w:val="20"/>
                <w:color w:val="auto"/>
              </w:rPr>
            </w:pPr>
            <w:r>
              <w:rPr>
                <w:rFonts w:ascii="Times New Roman" w:cs="Times New Roman" w:eastAsia="Times New Roman" w:hAnsi="Times New Roman"/>
                <w:sz w:val="11"/>
                <w:szCs w:val="11"/>
                <w:color w:val="auto"/>
              </w:rPr>
              <w:t>Trading Symbol(s)</w:t>
            </w:r>
          </w:p>
        </w:tc>
        <w:tc>
          <w:tcPr>
            <w:tcW w:w="2780" w:type="dxa"/>
            <w:vAlign w:val="bottom"/>
          </w:tcPr>
          <w:p>
            <w:pPr>
              <w:jc w:val="center"/>
              <w:ind w:right="643"/>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49"/>
        </w:trPr>
        <w:tc>
          <w:tcPr>
            <w:tcW w:w="2880" w:type="dxa"/>
            <w:vAlign w:val="bottom"/>
            <w:tcBorders>
              <w:top w:val="single" w:sz="8" w:color="auto"/>
            </w:tcBorders>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Class A Common Stock, $0.001 par value per share</w:t>
            </w: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STEP</w:t>
            </w: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tcPr>
          <w:p>
            <w:pPr>
              <w:jc w:val="center"/>
              <w:ind w:right="623"/>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r>
    </w:tbl>
    <w:p>
      <w:pPr>
        <w:spacing w:after="0" w:line="244"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4"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4"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Large accelerated filer</w:t>
            </w:r>
          </w:p>
        </w:tc>
        <w:tc>
          <w:tcPr>
            <w:tcW w:w="130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Accelerated filer</w:t>
            </w:r>
          </w:p>
        </w:tc>
        <w:tc>
          <w:tcPr>
            <w:tcW w:w="358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r>
      <w:tr>
        <w:trPr>
          <w:trHeight w:val="212"/>
        </w:trPr>
        <w:tc>
          <w:tcPr>
            <w:tcW w:w="38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Non-accelerated filer</w:t>
            </w:r>
          </w:p>
        </w:tc>
        <w:tc>
          <w:tcPr>
            <w:tcW w:w="130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58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r>
      <w:tr>
        <w:trPr>
          <w:trHeight w:val="214"/>
        </w:trPr>
        <w:tc>
          <w:tcPr>
            <w:tcW w:w="38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30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260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1312"/>
        </w:trPr>
        <w:tc>
          <w:tcPr>
            <w:tcW w:w="3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3" w:right="319" w:bottom="1440" w:gutter="0" w:footer="0" w:header="0"/>
        </w:sectPr>
      </w:pPr>
    </w:p>
    <w:bookmarkStart w:id="1" w:name="page2"/>
    <w:bookmarkEnd w:id="1"/>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04"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the latest practicable date: As of February 3, 2026, there were 80,143,962 shares of the registrant’s Class A common stock, par value $0.001, and 39,017,716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890270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71481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60960</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20" w:type="dxa"/>
            <w:vAlign w:val="bottom"/>
            <w:gridSpan w:val="4"/>
          </w:tcPr>
          <w:p>
            <w:pPr>
              <w:ind w:left="1400"/>
              <w:spacing w:after="0"/>
              <w:rPr>
                <w:sz w:val="20"/>
                <w:szCs w:val="20"/>
                <w:color w:val="auto"/>
              </w:rPr>
            </w:pPr>
            <w:r>
              <w:rPr>
                <w:rFonts w:ascii="Times New Roman" w:cs="Times New Roman" w:eastAsia="Times New Roman" w:hAnsi="Times New Roman"/>
                <w:sz w:val="14"/>
                <w:szCs w:val="14"/>
                <w:color w:val="auto"/>
              </w:rPr>
              <w:t>Page</w:t>
            </w:r>
          </w:p>
        </w:tc>
      </w:tr>
      <w:tr>
        <w:trPr>
          <w:trHeight w:val="186"/>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320" w:type="dxa"/>
            <w:vAlign w:val="bottom"/>
            <w:tcBorders>
              <w:left w:val="single" w:sz="8" w:color="CCEEFF"/>
            </w:tcBorders>
            <w:gridSpan w:val="6"/>
            <w:shd w:val="clear" w:color="auto" w:fill="CCEEFF"/>
          </w:tcPr>
          <w:p>
            <w:pPr>
              <w:jc w:val="center"/>
              <w:ind w:right="1720"/>
              <w:spacing w:after="0"/>
              <w:rPr>
                <w:sz w:val="20"/>
                <w:szCs w:val="20"/>
                <w:color w:val="auto"/>
              </w:rPr>
            </w:pPr>
            <w:r>
              <w:rPr>
                <w:rFonts w:ascii="Times New Roman" w:cs="Times New Roman" w:eastAsia="Times New Roman" w:hAnsi="Times New Roman"/>
                <w:sz w:val="14"/>
                <w:szCs w:val="14"/>
                <w:color w:val="auto"/>
                <w:w w:val="99"/>
              </w:rPr>
              <w:t>PART I - FINANCIAL INFORMATION</w:t>
            </w:r>
          </w:p>
        </w:tc>
        <w:tc>
          <w:tcPr>
            <w:tcW w:w="15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154"/>
        </w:trPr>
        <w:tc>
          <w:tcPr>
            <w:tcW w:w="20" w:type="dxa"/>
            <w:vAlign w:val="bottom"/>
          </w:tcPr>
          <w:p>
            <w:pPr>
              <w:spacing w:after="0"/>
              <w:rPr>
                <w:sz w:val="13"/>
                <w:szCs w:val="13"/>
                <w:color w:val="auto"/>
              </w:rPr>
            </w:pPr>
          </w:p>
        </w:tc>
        <w:tc>
          <w:tcPr>
            <w:tcW w:w="162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w w:val="99"/>
              </w:rPr>
              <w:t>Item 1. Financial Statements</w:t>
            </w:r>
          </w:p>
        </w:tc>
        <w:tc>
          <w:tcPr>
            <w:tcW w:w="7520" w:type="dxa"/>
            <w:vAlign w:val="bottom"/>
            <w:gridSpan w:val="10"/>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940" w:type="dxa"/>
            <w:vAlign w:val="bottom"/>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Balance Sheets as of December 31, 2025 and March 31, 2025</w:t>
            </w:r>
          </w:p>
        </w:tc>
        <w:tc>
          <w:tcPr>
            <w:tcW w:w="3820" w:type="dxa"/>
            <w:vAlign w:val="bottom"/>
            <w:gridSpan w:val="5"/>
            <w:shd w:val="clear" w:color="auto" w:fill="CCEEFF"/>
          </w:tcPr>
          <w:p>
            <w:pPr>
              <w:spacing w:after="0"/>
              <w:rPr>
                <w:sz w:val="13"/>
                <w:szCs w:val="13"/>
                <w:color w:val="auto"/>
              </w:rPr>
            </w:pPr>
          </w:p>
        </w:tc>
        <w:tc>
          <w:tcPr>
            <w:tcW w:w="1600" w:type="dxa"/>
            <w:vAlign w:val="bottom"/>
            <w:gridSpan w:val="2"/>
            <w:shd w:val="clear" w:color="auto" w:fill="CCEEFF"/>
          </w:tcPr>
          <w:p>
            <w:pPr>
              <w:jc w:val="center"/>
              <w:ind w:left="1389"/>
              <w:spacing w:after="0" w:line="155" w:lineRule="exact"/>
              <w:rPr>
                <w:sz w:val="20"/>
                <w:szCs w:val="20"/>
                <w:color w:val="auto"/>
              </w:rPr>
            </w:pPr>
            <w:r>
              <w:rPr>
                <w:rFonts w:ascii="Times New Roman" w:cs="Times New Roman" w:eastAsia="Times New Roman" w:hAnsi="Times New Roman"/>
                <w:sz w:val="14"/>
                <w:szCs w:val="14"/>
                <w:color w:val="0000FF"/>
                <w:w w:val="85"/>
              </w:rPr>
              <w:t>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2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Loss for the Three and Nine Months Ended December 31, 2025 and 2024</w:t>
            </w:r>
          </w:p>
        </w:tc>
        <w:tc>
          <w:tcPr>
            <w:tcW w:w="2340" w:type="dxa"/>
            <w:vAlign w:val="bottom"/>
            <w:gridSpan w:val="2"/>
          </w:tcPr>
          <w:p>
            <w:pPr>
              <w:spacing w:after="0"/>
              <w:rPr>
                <w:sz w:val="12"/>
                <w:szCs w:val="12"/>
                <w:color w:val="auto"/>
              </w:rPr>
            </w:pPr>
          </w:p>
        </w:tc>
        <w:tc>
          <w:tcPr>
            <w:tcW w:w="1600" w:type="dxa"/>
            <w:vAlign w:val="bottom"/>
            <w:gridSpan w:val="2"/>
          </w:tcPr>
          <w:p>
            <w:pPr>
              <w:jc w:val="center"/>
              <w:ind w:left="1389"/>
              <w:spacing w:after="0" w:line="149" w:lineRule="exact"/>
              <w:rPr>
                <w:sz w:val="20"/>
                <w:szCs w:val="20"/>
                <w:color w:val="auto"/>
              </w:rPr>
            </w:pPr>
            <w:r>
              <w:rPr>
                <w:rFonts w:ascii="Times New Roman" w:cs="Times New Roman" w:eastAsia="Times New Roman" w:hAnsi="Times New Roman"/>
                <w:sz w:val="14"/>
                <w:szCs w:val="14"/>
                <w:color w:val="0000FF"/>
                <w:w w:val="85"/>
              </w:rPr>
              <w:t>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34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Comprehensive Loss for the Three and Nine Months Ended December 31, 2025 and 2024</w:t>
            </w:r>
          </w:p>
        </w:tc>
        <w:tc>
          <w:tcPr>
            <w:tcW w:w="14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left="1389"/>
              <w:spacing w:after="0" w:line="155" w:lineRule="exact"/>
              <w:rPr>
                <w:sz w:val="20"/>
                <w:szCs w:val="20"/>
                <w:color w:val="auto"/>
              </w:rPr>
            </w:pPr>
            <w:r>
              <w:rPr>
                <w:rFonts w:ascii="Times New Roman" w:cs="Times New Roman" w:eastAsia="Times New Roman" w:hAnsi="Times New Roman"/>
                <w:sz w:val="14"/>
                <w:szCs w:val="14"/>
                <w:color w:val="0000FF"/>
                <w:w w:val="85"/>
              </w:rPr>
              <w:t>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76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and Nine Months Ended December 31, 2025 and 2024</w:t>
            </w:r>
          </w:p>
        </w:tc>
        <w:tc>
          <w:tcPr>
            <w:tcW w:w="1680" w:type="dxa"/>
            <w:vAlign w:val="bottom"/>
            <w:gridSpan w:val="3"/>
          </w:tcPr>
          <w:p>
            <w:pPr>
              <w:jc w:val="center"/>
              <w:ind w:left="1309"/>
              <w:spacing w:after="0" w:line="149" w:lineRule="exact"/>
              <w:rPr>
                <w:sz w:val="20"/>
                <w:szCs w:val="20"/>
                <w:color w:val="auto"/>
              </w:rPr>
            </w:pPr>
            <w:r>
              <w:rPr>
                <w:rFonts w:ascii="Times New Roman" w:cs="Times New Roman" w:eastAsia="Times New Roman" w:hAnsi="Times New Roman"/>
                <w:sz w:val="14"/>
                <w:szCs w:val="14"/>
                <w:color w:val="0000FF"/>
                <w:w w:val="99"/>
              </w:rPr>
              <w:t>10</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34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December 31, 2025 and 2024</w:t>
            </w:r>
          </w:p>
        </w:tc>
        <w:tc>
          <w:tcPr>
            <w:tcW w:w="1420" w:type="dxa"/>
            <w:vAlign w:val="bottom"/>
            <w:shd w:val="clear" w:color="auto" w:fill="CCEEFF"/>
          </w:tcPr>
          <w:p>
            <w:pPr>
              <w:spacing w:after="0"/>
              <w:rPr>
                <w:sz w:val="13"/>
                <w:szCs w:val="13"/>
                <w:color w:val="auto"/>
              </w:rPr>
            </w:pPr>
          </w:p>
        </w:tc>
        <w:tc>
          <w:tcPr>
            <w:tcW w:w="150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color w:val="0000FF"/>
                <w:w w:val="71"/>
              </w:rPr>
              <w:t>12</w:t>
            </w: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4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3060" w:type="dxa"/>
            <w:vAlign w:val="bottom"/>
            <w:gridSpan w:val="4"/>
          </w:tcPr>
          <w:p>
            <w:pPr>
              <w:spacing w:after="0"/>
              <w:rPr>
                <w:sz w:val="12"/>
                <w:szCs w:val="12"/>
                <w:color w:val="auto"/>
              </w:rPr>
            </w:pPr>
          </w:p>
        </w:tc>
        <w:tc>
          <w:tcPr>
            <w:tcW w:w="2560" w:type="dxa"/>
            <w:vAlign w:val="bottom"/>
            <w:gridSpan w:val="3"/>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14</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914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1680" w:type="dxa"/>
            <w:vAlign w:val="bottom"/>
            <w:gridSpan w:val="3"/>
            <w:shd w:val="clear" w:color="auto" w:fill="CCEEFF"/>
          </w:tcPr>
          <w:p>
            <w:pPr>
              <w:jc w:val="center"/>
              <w:ind w:left="1309"/>
              <w:spacing w:after="0" w:line="155" w:lineRule="exact"/>
              <w:rPr>
                <w:sz w:val="20"/>
                <w:szCs w:val="20"/>
                <w:color w:val="auto"/>
              </w:rPr>
            </w:pPr>
            <w:r>
              <w:rPr>
                <w:rFonts w:ascii="Times New Roman" w:cs="Times New Roman" w:eastAsia="Times New Roman" w:hAnsi="Times New Roman"/>
                <w:sz w:val="14"/>
                <w:szCs w:val="14"/>
                <w:color w:val="0000FF"/>
                <w:w w:val="99"/>
              </w:rPr>
              <w:t>49</w:t>
            </w: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w w:val="99"/>
              </w:rPr>
              <w:t>Item 3. Qualitative and Quantitative Disclosures about Market Risk</w:t>
            </w:r>
          </w:p>
        </w:tc>
        <w:tc>
          <w:tcPr>
            <w:tcW w:w="1680" w:type="dxa"/>
            <w:vAlign w:val="bottom"/>
            <w:gridSpan w:val="2"/>
          </w:tcPr>
          <w:p>
            <w:pPr>
              <w:spacing w:after="0"/>
              <w:rPr>
                <w:sz w:val="12"/>
                <w:szCs w:val="12"/>
                <w:color w:val="auto"/>
              </w:rPr>
            </w:pPr>
          </w:p>
        </w:tc>
        <w:tc>
          <w:tcPr>
            <w:tcW w:w="3640" w:type="dxa"/>
            <w:vAlign w:val="bottom"/>
            <w:gridSpan w:val="4"/>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88</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820" w:type="dxa"/>
            <w:vAlign w:val="bottom"/>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 Controls and Procedures</w:t>
            </w:r>
          </w:p>
        </w:tc>
        <w:tc>
          <w:tcPr>
            <w:tcW w:w="5320" w:type="dxa"/>
            <w:vAlign w:val="bottom"/>
            <w:tcBorders>
              <w:left w:val="single" w:sz="8" w:color="CCEEFF"/>
            </w:tcBorders>
            <w:gridSpan w:val="6"/>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left w:val="single" w:sz="8" w:color="CCEEFF"/>
            </w:tcBorders>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color w:val="0000FF"/>
                <w:w w:val="71"/>
              </w:rPr>
              <w:t>90</w:t>
            </w:r>
          </w:p>
        </w:tc>
        <w:tc>
          <w:tcPr>
            <w:tcW w:w="440" w:type="dxa"/>
            <w:vAlign w:val="bottom"/>
            <w:shd w:val="clear" w:color="auto" w:fill="CCEEFF"/>
          </w:tcPr>
          <w:p>
            <w:pPr>
              <w:spacing w:after="0"/>
              <w:rPr>
                <w:sz w:val="14"/>
                <w:szCs w:val="14"/>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320" w:type="dxa"/>
            <w:vAlign w:val="bottom"/>
            <w:tcBorders>
              <w:top w:val="single" w:sz="8" w:color="CCEEFF"/>
            </w:tcBorders>
            <w:gridSpan w:val="6"/>
          </w:tcPr>
          <w:p>
            <w:pPr>
              <w:jc w:val="center"/>
              <w:ind w:right="1720"/>
              <w:spacing w:after="0"/>
              <w:rPr>
                <w:sz w:val="20"/>
                <w:szCs w:val="20"/>
                <w:color w:val="auto"/>
              </w:rPr>
            </w:pPr>
            <w:r>
              <w:rPr>
                <w:rFonts w:ascii="Times New Roman" w:cs="Times New Roman" w:eastAsia="Times New Roman" w:hAnsi="Times New Roman"/>
                <w:sz w:val="14"/>
                <w:szCs w:val="14"/>
                <w:color w:val="auto"/>
                <w:w w:val="99"/>
              </w:rPr>
              <w:t>PART II - OTHER INFORMATION</w:t>
            </w:r>
          </w:p>
        </w:tc>
        <w:tc>
          <w:tcPr>
            <w:tcW w:w="150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r>
      <w:tr>
        <w:trPr>
          <w:trHeight w:val="149"/>
        </w:trPr>
        <w:tc>
          <w:tcPr>
            <w:tcW w:w="20" w:type="dxa"/>
            <w:vAlign w:val="bottom"/>
            <w:shd w:val="clear" w:color="auto" w:fill="CCEEFF"/>
          </w:tcPr>
          <w:p>
            <w:pPr>
              <w:spacing w:after="0"/>
              <w:rPr>
                <w:sz w:val="12"/>
                <w:szCs w:val="12"/>
                <w:color w:val="auto"/>
              </w:rPr>
            </w:pPr>
          </w:p>
        </w:tc>
        <w:tc>
          <w:tcPr>
            <w:tcW w:w="914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Item 1. Legal Proceedings</w:t>
            </w:r>
          </w:p>
        </w:tc>
        <w:tc>
          <w:tcPr>
            <w:tcW w:w="1680" w:type="dxa"/>
            <w:vAlign w:val="bottom"/>
            <w:gridSpan w:val="3"/>
            <w:shd w:val="clear" w:color="auto" w:fill="CCEEFF"/>
          </w:tcPr>
          <w:p>
            <w:pPr>
              <w:jc w:val="center"/>
              <w:ind w:left="1309"/>
              <w:spacing w:after="0" w:line="149" w:lineRule="exact"/>
              <w:rPr>
                <w:sz w:val="20"/>
                <w:szCs w:val="20"/>
                <w:color w:val="auto"/>
              </w:rPr>
            </w:pPr>
            <w:r>
              <w:rPr>
                <w:rFonts w:ascii="Times New Roman" w:cs="Times New Roman" w:eastAsia="Times New Roman" w:hAnsi="Times New Roman"/>
                <w:sz w:val="14"/>
                <w:szCs w:val="14"/>
                <w:color w:val="0000FF"/>
                <w:w w:val="99"/>
              </w:rPr>
              <w:t>90</w:t>
            </w:r>
          </w:p>
        </w:tc>
        <w:tc>
          <w:tcPr>
            <w:tcW w:w="440" w:type="dxa"/>
            <w:vAlign w:val="bottom"/>
            <w:shd w:val="clear" w:color="auto" w:fill="CCEEFF"/>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4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Item 1A. Risk Factors</w:t>
            </w:r>
          </w:p>
        </w:tc>
        <w:tc>
          <w:tcPr>
            <w:tcW w:w="7680" w:type="dxa"/>
            <w:vAlign w:val="bottom"/>
            <w:gridSpan w:val="11"/>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91</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820" w:type="dxa"/>
            <w:vAlign w:val="bottom"/>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Item 2. Unregistered Sales of Equity Securities and Use of Proceeds</w:t>
            </w:r>
          </w:p>
        </w:tc>
        <w:tc>
          <w:tcPr>
            <w:tcW w:w="5320" w:type="dxa"/>
            <w:vAlign w:val="bottom"/>
            <w:tcBorders>
              <w:left w:val="single" w:sz="8" w:color="CCEEFF"/>
            </w:tcBorders>
            <w:gridSpan w:val="6"/>
            <w:shd w:val="clear" w:color="auto" w:fill="CCEEFF"/>
          </w:tcPr>
          <w:p>
            <w:pPr>
              <w:spacing w:after="0"/>
              <w:rPr>
                <w:sz w:val="13"/>
                <w:szCs w:val="13"/>
                <w:color w:val="auto"/>
              </w:rPr>
            </w:pPr>
          </w:p>
        </w:tc>
        <w:tc>
          <w:tcPr>
            <w:tcW w:w="150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color w:val="0000FF"/>
                <w:w w:val="71"/>
              </w:rPr>
              <w:t>91</w:t>
            </w: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Item 3. Defaults Upon Senior Securities</w:t>
            </w:r>
          </w:p>
        </w:tc>
        <w:tc>
          <w:tcPr>
            <w:tcW w:w="5320" w:type="dxa"/>
            <w:vAlign w:val="bottom"/>
            <w:gridSpan w:val="6"/>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91</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26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 Mine Safety Disclosures</w:t>
            </w:r>
          </w:p>
        </w:tc>
        <w:tc>
          <w:tcPr>
            <w:tcW w:w="6880" w:type="dxa"/>
            <w:vAlign w:val="bottom"/>
            <w:gridSpan w:val="8"/>
            <w:shd w:val="clear" w:color="auto" w:fill="CCEEFF"/>
          </w:tcPr>
          <w:p>
            <w:pPr>
              <w:spacing w:after="0"/>
              <w:rPr>
                <w:sz w:val="13"/>
                <w:szCs w:val="13"/>
                <w:color w:val="auto"/>
              </w:rPr>
            </w:pPr>
          </w:p>
        </w:tc>
        <w:tc>
          <w:tcPr>
            <w:tcW w:w="150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color w:val="0000FF"/>
                <w:w w:val="71"/>
              </w:rPr>
              <w:t>91</w:t>
            </w: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8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Item 5. Other Information</w:t>
            </w:r>
          </w:p>
        </w:tc>
        <w:tc>
          <w:tcPr>
            <w:tcW w:w="7320" w:type="dxa"/>
            <w:vAlign w:val="bottom"/>
            <w:gridSpan w:val="9"/>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91</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460" w:type="dxa"/>
            <w:vAlign w:val="bottom"/>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6. Exhibits</w:t>
            </w:r>
          </w:p>
        </w:tc>
        <w:tc>
          <w:tcPr>
            <w:tcW w:w="7680" w:type="dxa"/>
            <w:vAlign w:val="bottom"/>
            <w:tcBorders>
              <w:left w:val="single" w:sz="8" w:color="CCEEFF"/>
            </w:tcBorders>
            <w:gridSpan w:val="11"/>
            <w:shd w:val="clear" w:color="auto" w:fill="CCEEFF"/>
          </w:tcPr>
          <w:p>
            <w:pPr>
              <w:spacing w:after="0"/>
              <w:rPr>
                <w:sz w:val="13"/>
                <w:szCs w:val="13"/>
                <w:color w:val="auto"/>
              </w:rPr>
            </w:pPr>
          </w:p>
        </w:tc>
        <w:tc>
          <w:tcPr>
            <w:tcW w:w="150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color w:val="0000FF"/>
                <w:w w:val="71"/>
              </w:rPr>
              <w:t>92</w:t>
            </w:r>
          </w:p>
        </w:tc>
        <w:tc>
          <w:tcPr>
            <w:tcW w:w="4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8"/>
              </w:rPr>
              <w:t>Signatures</w:t>
            </w:r>
          </w:p>
        </w:tc>
        <w:tc>
          <w:tcPr>
            <w:tcW w:w="300" w:type="dxa"/>
            <w:vAlign w:val="bottom"/>
          </w:tcPr>
          <w:p>
            <w:pPr>
              <w:spacing w:after="0"/>
              <w:rPr>
                <w:sz w:val="12"/>
                <w:szCs w:val="12"/>
                <w:color w:val="auto"/>
              </w:rPr>
            </w:pPr>
          </w:p>
        </w:tc>
        <w:tc>
          <w:tcPr>
            <w:tcW w:w="8240" w:type="dxa"/>
            <w:vAlign w:val="bottom"/>
            <w:gridSpan w:val="13"/>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93</w:t>
            </w:r>
          </w:p>
        </w:tc>
        <w:tc>
          <w:tcPr>
            <w:tcW w:w="4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9" w:right="319" w:bottom="1440" w:gutter="0" w:footer="0" w:header="0"/>
        </w:sectPr>
      </w:pPr>
    </w:p>
    <w:bookmarkStart w:id="3" w:name="page4"/>
    <w:bookmarkEnd w:id="3"/>
    <w:p>
      <w:pPr>
        <w:ind w:right="20" w:firstLine="509"/>
        <w:spacing w:after="0" w:line="246" w:lineRule="auto"/>
        <w:rPr>
          <w:sz w:val="20"/>
          <w:szCs w:val="20"/>
          <w:color w:val="auto"/>
        </w:rPr>
      </w:pPr>
      <w:r>
        <w:rPr>
          <w:rFonts w:ascii="Times New Roman" w:cs="Times New Roman" w:eastAsia="Times New Roman" w:hAnsi="Times New Roman"/>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Unless otherwise indicated or the context otherwise requires:</w:t>
      </w:r>
    </w:p>
    <w:p>
      <w:pPr>
        <w:spacing w:after="0" w:line="164" w:lineRule="exact"/>
        <w:rPr>
          <w:sz w:val="20"/>
          <w:szCs w:val="20"/>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StepStone Group Inc.</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SSG</w:t>
      </w:r>
      <w:r>
        <w:rPr>
          <w:rFonts w:ascii="Times New Roman" w:cs="Times New Roman" w:eastAsia="Times New Roman" w:hAnsi="Times New Roman"/>
          <w:sz w:val="16"/>
          <w:szCs w:val="16"/>
          <w:color w:val="auto"/>
        </w:rPr>
        <w:t>” refers solely to StepStone Group Inc., a Delaware corporation, and not to any of its subsidiaries;</w:t>
      </w:r>
    </w:p>
    <w:p>
      <w:pPr>
        <w:spacing w:after="0" w:line="176" w:lineRule="exact"/>
        <w:rPr>
          <w:rFonts w:ascii="Times New Roman" w:cs="Times New Roman" w:eastAsia="Times New Roman" w:hAnsi="Times New Roman"/>
          <w:sz w:val="16"/>
          <w:szCs w:val="16"/>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Partnership</w:t>
      </w:r>
      <w:r>
        <w:rPr>
          <w:rFonts w:ascii="Times New Roman" w:cs="Times New Roman" w:eastAsia="Times New Roman" w:hAnsi="Times New Roman"/>
          <w:sz w:val="16"/>
          <w:szCs w:val="16"/>
          <w:color w:val="auto"/>
        </w:rPr>
        <w:t>” refers solely to StepStone Group LP, a Delaware limited partnership, and not to any of its subsidiaries;</w:t>
      </w:r>
    </w:p>
    <w:p>
      <w:pPr>
        <w:spacing w:after="0" w:line="176" w:lineRule="exact"/>
        <w:rPr>
          <w:rFonts w:ascii="Times New Roman" w:cs="Times New Roman" w:eastAsia="Times New Roman" w:hAnsi="Times New Roman"/>
          <w:sz w:val="16"/>
          <w:szCs w:val="16"/>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General Partner</w:t>
      </w:r>
      <w:r>
        <w:rPr>
          <w:rFonts w:ascii="Times New Roman" w:cs="Times New Roman" w:eastAsia="Times New Roman" w:hAnsi="Times New Roman"/>
          <w:sz w:val="16"/>
          <w:szCs w:val="16"/>
          <w:color w:val="auto"/>
        </w:rPr>
        <w:t>” refers to StepStone Group Holdings LLC, a Delaware limited liability company, and the sole general partner of the Partnership;</w:t>
      </w:r>
    </w:p>
    <w:p>
      <w:pPr>
        <w:spacing w:after="0" w:line="166" w:lineRule="exact"/>
        <w:rPr>
          <w:rFonts w:ascii="Times New Roman" w:cs="Times New Roman" w:eastAsia="Times New Roman" w:hAnsi="Times New Roman"/>
          <w:sz w:val="16"/>
          <w:szCs w:val="16"/>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 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StepStone</w:t>
      </w:r>
      <w:r>
        <w:rPr>
          <w:rFonts w:ascii="Times New Roman" w:cs="Times New Roman" w:eastAsia="Times New Roman" w:hAnsi="Times New Roman"/>
          <w:sz w:val="16"/>
          <w:szCs w:val="16"/>
          <w:color w:val="auto"/>
        </w:rPr>
        <w:t>” and similar terms refer to SSG and its consolidated subsidiaries, including the Partnership;</w:t>
      </w:r>
    </w:p>
    <w:p>
      <w:pPr>
        <w:spacing w:after="0" w:line="176" w:lineRule="exact"/>
        <w:rPr>
          <w:rFonts w:ascii="Times New Roman" w:cs="Times New Roman" w:eastAsia="Times New Roman" w:hAnsi="Times New Roman"/>
          <w:sz w:val="16"/>
          <w:szCs w:val="16"/>
          <w:color w:val="auto"/>
        </w:rPr>
      </w:pPr>
    </w:p>
    <w:p>
      <w:pPr>
        <w:ind w:left="520" w:hanging="6"/>
        <w:spacing w:after="0" w:line="262" w:lineRule="auto"/>
        <w:tabs>
          <w:tab w:leader="none" w:pos="61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StepStone Funds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our funds</w:t>
      </w:r>
      <w:r>
        <w:rPr>
          <w:rFonts w:ascii="Times New Roman" w:cs="Times New Roman" w:eastAsia="Times New Roman" w:hAnsi="Times New Roman"/>
          <w:sz w:val="16"/>
          <w:szCs w:val="16"/>
          <w:color w:val="auto"/>
        </w:rPr>
        <w:t>” refer to our focused commingled funds and our separately managed accounts for which we act as both investment adviser and general partner or managing member;</w:t>
      </w:r>
    </w:p>
    <w:p>
      <w:pPr>
        <w:spacing w:after="0" w:line="139" w:lineRule="exact"/>
        <w:rPr>
          <w:rFonts w:ascii="Times New Roman" w:cs="Times New Roman" w:eastAsia="Times New Roman" w:hAnsi="Times New Roman"/>
          <w:sz w:val="16"/>
          <w:szCs w:val="16"/>
          <w:color w:val="auto"/>
        </w:rPr>
      </w:pPr>
    </w:p>
    <w:p>
      <w:pPr>
        <w:ind w:left="520" w:right="140" w:hanging="6"/>
        <w:spacing w:after="0" w:line="275" w:lineRule="auto"/>
        <w:tabs>
          <w:tab w:leader="none" w:pos="61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the “</w:t>
      </w:r>
      <w:r>
        <w:rPr>
          <w:rFonts w:ascii="Times New Roman" w:cs="Times New Roman" w:eastAsia="Times New Roman" w:hAnsi="Times New Roman"/>
          <w:sz w:val="16"/>
          <w:szCs w:val="16"/>
          <w:b w:val="1"/>
          <w:bCs w:val="1"/>
          <w:color w:val="auto"/>
        </w:rPr>
        <w:t>Greenspring acquisition</w:t>
      </w:r>
      <w:r>
        <w:rPr>
          <w:rFonts w:ascii="Times New Roman" w:cs="Times New Roman" w:eastAsia="Times New Roman" w:hAnsi="Times New Roman"/>
          <w:sz w:val="16"/>
          <w:szCs w:val="16"/>
          <w:color w:val="auto"/>
        </w:rPr>
        <w:t>” refer to the acquisition of Greenspring Associates, Inc. and certain of its affiliates (“</w:t>
      </w:r>
      <w:r>
        <w:rPr>
          <w:rFonts w:ascii="Times New Roman" w:cs="Times New Roman" w:eastAsia="Times New Roman" w:hAnsi="Times New Roman"/>
          <w:sz w:val="16"/>
          <w:szCs w:val="16"/>
          <w:b w:val="1"/>
          <w:bCs w:val="1"/>
          <w:color w:val="auto"/>
        </w:rPr>
        <w:t>Greenspring</w:t>
      </w:r>
      <w:r>
        <w:rPr>
          <w:rFonts w:ascii="Times New Roman" w:cs="Times New Roman" w:eastAsia="Times New Roman" w:hAnsi="Times New Roman"/>
          <w:sz w:val="16"/>
          <w:szCs w:val="16"/>
          <w:color w:val="auto"/>
        </w:rPr>
        <w:t>”) that was completed on September 20, 2021;</w:t>
      </w:r>
    </w:p>
    <w:p>
      <w:pPr>
        <w:spacing w:after="0" w:line="119" w:lineRule="exact"/>
        <w:rPr>
          <w:rFonts w:ascii="Times New Roman" w:cs="Times New Roman" w:eastAsia="Times New Roman" w:hAnsi="Times New Roman"/>
          <w:sz w:val="16"/>
          <w:szCs w:val="16"/>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FY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fiscal</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fiscal year</w:t>
      </w:r>
      <w:r>
        <w:rPr>
          <w:rFonts w:ascii="Times New Roman" w:cs="Times New Roman" w:eastAsia="Times New Roman" w:hAnsi="Times New Roman"/>
          <w:sz w:val="16"/>
          <w:szCs w:val="16"/>
          <w:color w:val="auto"/>
        </w:rPr>
        <w:t>” are to the fiscal year ended March 31 of the applicable year;</w:t>
      </w:r>
    </w:p>
    <w:p>
      <w:pPr>
        <w:spacing w:after="0" w:line="176" w:lineRule="exact"/>
        <w:rPr>
          <w:rFonts w:ascii="Times New Roman" w:cs="Times New Roman" w:eastAsia="Times New Roman" w:hAnsi="Times New Roman"/>
          <w:sz w:val="16"/>
          <w:szCs w:val="16"/>
          <w:color w:val="auto"/>
        </w:rPr>
      </w:pPr>
    </w:p>
    <w:p>
      <w:pPr>
        <w:ind w:left="520" w:right="540" w:hanging="6"/>
        <w:spacing w:after="0" w:line="262" w:lineRule="auto"/>
        <w:tabs>
          <w:tab w:leader="none" w:pos="61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the “</w:t>
      </w:r>
      <w:r>
        <w:rPr>
          <w:rFonts w:ascii="Times New Roman" w:cs="Times New Roman" w:eastAsia="Times New Roman" w:hAnsi="Times New Roman"/>
          <w:sz w:val="16"/>
          <w:szCs w:val="16"/>
          <w:b w:val="1"/>
          <w:bCs w:val="1"/>
          <w:color w:val="auto"/>
        </w:rPr>
        <w:t>Reorganization</w:t>
      </w:r>
      <w:r>
        <w:rPr>
          <w:rFonts w:ascii="Times New Roman" w:cs="Times New Roman" w:eastAsia="Times New Roman" w:hAnsi="Times New Roman"/>
          <w:sz w:val="16"/>
          <w:szCs w:val="16"/>
          <w:color w:val="auto"/>
        </w:rPr>
        <w:t>” refer to the series of transactions immediately before the Company’s initial public offering (“</w:t>
      </w:r>
      <w:r>
        <w:rPr>
          <w:rFonts w:ascii="Times New Roman" w:cs="Times New Roman" w:eastAsia="Times New Roman" w:hAnsi="Times New Roman"/>
          <w:sz w:val="16"/>
          <w:szCs w:val="16"/>
          <w:b w:val="1"/>
          <w:bCs w:val="1"/>
          <w:color w:val="auto"/>
        </w:rPr>
        <w:t>IPO</w:t>
      </w:r>
      <w:r>
        <w:rPr>
          <w:rFonts w:ascii="Times New Roman" w:cs="Times New Roman" w:eastAsia="Times New Roman" w:hAnsi="Times New Roman"/>
          <w:sz w:val="16"/>
          <w:szCs w:val="16"/>
          <w:color w:val="auto"/>
        </w:rPr>
        <w:t>”), which was completed on September 18, 2020;</w:t>
      </w:r>
    </w:p>
    <w:p>
      <w:pPr>
        <w:spacing w:after="0" w:line="139" w:lineRule="exact"/>
        <w:rPr>
          <w:rFonts w:ascii="Times New Roman" w:cs="Times New Roman" w:eastAsia="Times New Roman" w:hAnsi="Times New Roman"/>
          <w:sz w:val="16"/>
          <w:szCs w:val="16"/>
          <w:color w:val="auto"/>
        </w:rPr>
      </w:pPr>
    </w:p>
    <w:p>
      <w:pPr>
        <w:ind w:left="520" w:right="260" w:hanging="6"/>
        <w:spacing w:after="0" w:line="275" w:lineRule="auto"/>
        <w:tabs>
          <w:tab w:leader="none" w:pos="61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private markets allocations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total capital responsibility</w:t>
      </w:r>
      <w:r>
        <w:rPr>
          <w:rFonts w:ascii="Times New Roman" w:cs="Times New Roman" w:eastAsia="Times New Roman" w:hAnsi="Times New Roman"/>
          <w:sz w:val="16"/>
          <w:szCs w:val="16"/>
          <w:color w:val="auto"/>
        </w:rPr>
        <w:t>” refer to the aggregate amount of our assets under management (“</w:t>
      </w:r>
      <w:r>
        <w:rPr>
          <w:rFonts w:ascii="Times New Roman" w:cs="Times New Roman" w:eastAsia="Times New Roman" w:hAnsi="Times New Roman"/>
          <w:sz w:val="16"/>
          <w:szCs w:val="16"/>
          <w:b w:val="1"/>
          <w:bCs w:val="1"/>
          <w:color w:val="auto"/>
        </w:rPr>
        <w:t>AUM</w:t>
      </w:r>
      <w:r>
        <w:rPr>
          <w:rFonts w:ascii="Times New Roman" w:cs="Times New Roman" w:eastAsia="Times New Roman" w:hAnsi="Times New Roman"/>
          <w:sz w:val="16"/>
          <w:szCs w:val="16"/>
          <w:color w:val="auto"/>
        </w:rPr>
        <w:t>”) and our assets under advisement (“</w:t>
      </w:r>
      <w:r>
        <w:rPr>
          <w:rFonts w:ascii="Times New Roman" w:cs="Times New Roman" w:eastAsia="Times New Roman" w:hAnsi="Times New Roman"/>
          <w:sz w:val="16"/>
          <w:szCs w:val="16"/>
          <w:b w:val="1"/>
          <w:bCs w:val="1"/>
          <w:color w:val="auto"/>
        </w:rPr>
        <w:t>AUA”</w:t>
      </w:r>
      <w:r>
        <w:rPr>
          <w:rFonts w:ascii="Times New Roman" w:cs="Times New Roman" w:eastAsia="Times New Roman" w:hAnsi="Times New Roman"/>
          <w:sz w:val="16"/>
          <w:szCs w:val="16"/>
          <w:color w:val="auto"/>
        </w:rPr>
        <w:t>);</w:t>
      </w:r>
    </w:p>
    <w:p>
      <w:pPr>
        <w:spacing w:after="0" w:line="119" w:lineRule="exact"/>
        <w:rPr>
          <w:rFonts w:ascii="Times New Roman" w:cs="Times New Roman" w:eastAsia="Times New Roman" w:hAnsi="Times New Roman"/>
          <w:sz w:val="16"/>
          <w:szCs w:val="16"/>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high-net-worth</w:t>
      </w:r>
      <w:r>
        <w:rPr>
          <w:rFonts w:ascii="Times New Roman" w:cs="Times New Roman" w:eastAsia="Times New Roman" w:hAnsi="Times New Roman"/>
          <w:sz w:val="16"/>
          <w:szCs w:val="16"/>
          <w:color w:val="auto"/>
        </w:rPr>
        <w:t>” individuals refer to individuals with net worth of over $5 million, excluding primary residence;</w:t>
      </w:r>
    </w:p>
    <w:p>
      <w:pPr>
        <w:spacing w:after="0" w:line="176" w:lineRule="exact"/>
        <w:rPr>
          <w:rFonts w:ascii="Times New Roman" w:cs="Times New Roman" w:eastAsia="Times New Roman" w:hAnsi="Times New Roman"/>
          <w:sz w:val="16"/>
          <w:szCs w:val="16"/>
          <w:color w:val="auto"/>
        </w:rPr>
      </w:pPr>
    </w:p>
    <w:p>
      <w:pPr>
        <w:ind w:left="520" w:right="380" w:hanging="6"/>
        <w:spacing w:after="0" w:line="262" w:lineRule="auto"/>
        <w:tabs>
          <w:tab w:leader="none" w:pos="61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mass affluent</w:t>
      </w:r>
      <w:r>
        <w:rPr>
          <w:rFonts w:ascii="Times New Roman" w:cs="Times New Roman" w:eastAsia="Times New Roman" w:hAnsi="Times New Roman"/>
          <w:sz w:val="16"/>
          <w:szCs w:val="16"/>
          <w:color w:val="auto"/>
        </w:rPr>
        <w:t>” individuals refer to individuals with annual income over $200,000 or net worth between $1 million and $5 million, excluding primary residence;</w:t>
      </w:r>
    </w:p>
    <w:p>
      <w:pPr>
        <w:spacing w:after="0" w:line="139" w:lineRule="exact"/>
        <w:rPr>
          <w:rFonts w:ascii="Times New Roman" w:cs="Times New Roman" w:eastAsia="Times New Roman" w:hAnsi="Times New Roman"/>
          <w:sz w:val="16"/>
          <w:szCs w:val="16"/>
          <w:color w:val="auto"/>
        </w:rPr>
      </w:pPr>
    </w:p>
    <w:p>
      <w:pPr>
        <w:ind w:left="600" w:hanging="86"/>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Consolidated Funds</w:t>
      </w:r>
      <w:r>
        <w:rPr>
          <w:rFonts w:ascii="Times New Roman" w:cs="Times New Roman" w:eastAsia="Times New Roman" w:hAnsi="Times New Roman"/>
          <w:sz w:val="16"/>
          <w:szCs w:val="16"/>
          <w:color w:val="auto"/>
        </w:rPr>
        <w:t>” refer to the StepStone Funds that we are required to consolidate as of the applicable reporting period; and</w:t>
      </w:r>
    </w:p>
    <w:p>
      <w:pPr>
        <w:spacing w:after="0" w:line="176" w:lineRule="exact"/>
        <w:rPr>
          <w:rFonts w:ascii="Times New Roman" w:cs="Times New Roman" w:eastAsia="Times New Roman" w:hAnsi="Times New Roman"/>
          <w:sz w:val="16"/>
          <w:szCs w:val="16"/>
          <w:color w:val="auto"/>
        </w:rPr>
      </w:pPr>
    </w:p>
    <w:p>
      <w:pPr>
        <w:ind w:left="520" w:right="320" w:hanging="6"/>
        <w:spacing w:after="0" w:line="262" w:lineRule="auto"/>
        <w:tabs>
          <w:tab w:leader="none" w:pos="61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t>
      </w:r>
      <w:r>
        <w:rPr>
          <w:rFonts w:ascii="Times New Roman" w:cs="Times New Roman" w:eastAsia="Times New Roman" w:hAnsi="Times New Roman"/>
          <w:sz w:val="16"/>
          <w:szCs w:val="16"/>
          <w:b w:val="1"/>
          <w:bCs w:val="1"/>
          <w:color w:val="auto"/>
        </w:rPr>
        <w:t>SRA</w:t>
      </w:r>
      <w:r>
        <w:rPr>
          <w:rFonts w:ascii="Times New Roman" w:cs="Times New Roman" w:eastAsia="Times New Roman" w:hAnsi="Times New Roman"/>
          <w:sz w:val="16"/>
          <w:szCs w:val="16"/>
          <w:color w:val="auto"/>
        </w:rPr>
        <w:t>” refer to StepStone Group Real Assets LP, references to “</w:t>
      </w:r>
      <w:r>
        <w:rPr>
          <w:rFonts w:ascii="Times New Roman" w:cs="Times New Roman" w:eastAsia="Times New Roman" w:hAnsi="Times New Roman"/>
          <w:sz w:val="16"/>
          <w:szCs w:val="16"/>
          <w:b w:val="1"/>
          <w:bCs w:val="1"/>
          <w:color w:val="auto"/>
        </w:rPr>
        <w:t>SRE</w:t>
      </w:r>
      <w:r>
        <w:rPr>
          <w:rFonts w:ascii="Times New Roman" w:cs="Times New Roman" w:eastAsia="Times New Roman" w:hAnsi="Times New Roman"/>
          <w:sz w:val="16"/>
          <w:szCs w:val="16"/>
          <w:color w:val="auto"/>
        </w:rPr>
        <w:t>” refer to StepStone Group Real Estate LP, references to “</w:t>
      </w:r>
      <w:r>
        <w:rPr>
          <w:rFonts w:ascii="Times New Roman" w:cs="Times New Roman" w:eastAsia="Times New Roman" w:hAnsi="Times New Roman"/>
          <w:sz w:val="16"/>
          <w:szCs w:val="16"/>
          <w:b w:val="1"/>
          <w:bCs w:val="1"/>
          <w:color w:val="auto"/>
        </w:rPr>
        <w:t>SPD</w:t>
      </w:r>
      <w:r>
        <w:rPr>
          <w:rFonts w:ascii="Times New Roman" w:cs="Times New Roman" w:eastAsia="Times New Roman" w:hAnsi="Times New Roman"/>
          <w:sz w:val="16"/>
          <w:szCs w:val="16"/>
          <w:color w:val="auto"/>
        </w:rPr>
        <w:t>” refer to StepStone Group Private Debt AG, and references to “</w:t>
      </w:r>
      <w:r>
        <w:rPr>
          <w:rFonts w:ascii="Times New Roman" w:cs="Times New Roman" w:eastAsia="Times New Roman" w:hAnsi="Times New Roman"/>
          <w:sz w:val="16"/>
          <w:szCs w:val="16"/>
          <w:b w:val="1"/>
          <w:bCs w:val="1"/>
          <w:color w:val="auto"/>
        </w:rPr>
        <w:t>SPW</w:t>
      </w:r>
      <w:r>
        <w:rPr>
          <w:rFonts w:ascii="Times New Roman" w:cs="Times New Roman" w:eastAsia="Times New Roman" w:hAnsi="Times New Roman"/>
          <w:sz w:val="16"/>
          <w:szCs w:val="16"/>
          <w:color w:val="auto"/>
        </w:rPr>
        <w:t>” refer to StepStone Group Private Wealth LLC.</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41"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TRADEMARKS, SERVICE MARKS AND TRADE NAMES</w:t>
      </w:r>
    </w:p>
    <w:p>
      <w:pPr>
        <w:spacing w:after="0" w:line="168"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6"/>
          <w:szCs w:val="16"/>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6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6"/>
          <w:szCs w:val="16"/>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2025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6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0" w:type="dxa"/>
            <w:vAlign w:val="bottom"/>
            <w:tcBorders>
              <w:bottom w:val="single" w:sz="8" w:color="CCEEFF"/>
            </w:tcBorders>
          </w:tcPr>
          <w:p>
            <w:pPr>
              <w:spacing w:after="0"/>
              <w:rPr>
                <w:sz w:val="11"/>
                <w:szCs w:val="11"/>
                <w:color w:val="auto"/>
              </w:rPr>
            </w:pPr>
          </w:p>
        </w:tc>
        <w:tc>
          <w:tcPr>
            <w:tcW w:w="79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March 31, 2025</w:t>
            </w:r>
          </w:p>
        </w:tc>
        <w:tc>
          <w:tcPr>
            <w:tcW w:w="0" w:type="dxa"/>
            <w:vAlign w:val="bottom"/>
          </w:tcPr>
          <w:p>
            <w:pPr>
              <w:spacing w:after="0"/>
              <w:rPr>
                <w:sz w:val="1"/>
                <w:szCs w:val="1"/>
                <w:color w:val="auto"/>
              </w:rPr>
            </w:pPr>
          </w:p>
        </w:tc>
      </w:tr>
      <w:tr>
        <w:trPr>
          <w:trHeight w:val="12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266,075</w:t>
            </w:r>
          </w:p>
        </w:tc>
        <w:tc>
          <w:tcPr>
            <w:tcW w:w="46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244,791</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Restricted cash</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Fees and accounts receivable</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79,669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80,871</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Due from affiliates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334,942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92,723</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Investments:</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Investments in funds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292,994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183,694</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79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Accrued carried interest allocations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1,835,862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1,495,664</w:t>
            </w:r>
          </w:p>
        </w:tc>
        <w:tc>
          <w:tcPr>
            <w:tcW w:w="0" w:type="dxa"/>
            <w:vAlign w:val="bottom"/>
          </w:tcPr>
          <w:p>
            <w:pPr>
              <w:spacing w:after="0"/>
              <w:rPr>
                <w:sz w:val="1"/>
                <w:szCs w:val="1"/>
                <w:color w:val="auto"/>
              </w:rPr>
            </w:pPr>
          </w:p>
        </w:tc>
      </w:tr>
      <w:tr>
        <w:trPr>
          <w:trHeight w:val="143"/>
        </w:trPr>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Legacy Greenspring investments in funds and accrued carried interest allocations</w:t>
            </w:r>
            <w:r>
              <w:rPr>
                <w:rFonts w:ascii="Times New Roman" w:cs="Times New Roman" w:eastAsia="Times New Roman" w:hAnsi="Times New Roman"/>
                <w:sz w:val="12"/>
                <w:szCs w:val="12"/>
                <w:color w:val="auto"/>
                <w:vertAlign w:val="superscript"/>
              </w:rPr>
              <w:t>(1)</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670,631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629,228</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Deferred income tax assets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583,565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382,886</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 right-of-use assets, net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84,016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91,841</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Other assets and receivables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61,058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62,869</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Intangibles, net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233,251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263,872</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Goodwill</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580,542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580,542</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Assets of Consolidated Funds: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79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111,377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44,511</w:t>
            </w:r>
          </w:p>
        </w:tc>
        <w:tc>
          <w:tcPr>
            <w:tcW w:w="0" w:type="dxa"/>
            <w:vAlign w:val="bottom"/>
          </w:tcPr>
          <w:p>
            <w:pPr>
              <w:spacing w:after="0"/>
              <w:rPr>
                <w:sz w:val="1"/>
                <w:szCs w:val="1"/>
                <w:color w:val="auto"/>
              </w:rPr>
            </w:pPr>
          </w:p>
        </w:tc>
      </w:tr>
      <w:tr>
        <w:trPr>
          <w:trHeight w:val="143"/>
        </w:trPr>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Investments, at fair value</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105,150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415,011</w:t>
            </w:r>
          </w:p>
        </w:tc>
        <w:tc>
          <w:tcPr>
            <w:tcW w:w="0" w:type="dxa"/>
            <w:vAlign w:val="bottom"/>
          </w:tcPr>
          <w:p>
            <w:pPr>
              <w:spacing w:after="0"/>
              <w:rPr>
                <w:sz w:val="1"/>
                <w:szCs w:val="1"/>
                <w:color w:val="auto"/>
              </w:rPr>
            </w:pPr>
          </w:p>
        </w:tc>
      </w:tr>
      <w:tr>
        <w:trPr>
          <w:trHeight w:val="133"/>
        </w:trPr>
        <w:tc>
          <w:tcPr>
            <w:tcW w:w="200" w:type="dxa"/>
            <w:vAlign w:val="bottom"/>
            <w:tcBorders>
              <w:bottom w:val="single" w:sz="8" w:color="CCEEFF"/>
            </w:tcBorders>
          </w:tcPr>
          <w:p>
            <w:pPr>
              <w:spacing w:after="0"/>
              <w:rPr>
                <w:sz w:val="11"/>
                <w:szCs w:val="11"/>
                <w:color w:val="auto"/>
              </w:rPr>
            </w:pPr>
          </w:p>
        </w:tc>
        <w:tc>
          <w:tcPr>
            <w:tcW w:w="7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assets</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1,758</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17,688</w:t>
            </w:r>
          </w:p>
        </w:tc>
        <w:tc>
          <w:tcPr>
            <w:tcW w:w="0" w:type="dxa"/>
            <w:vAlign w:val="bottom"/>
          </w:tcPr>
          <w:p>
            <w:pPr>
              <w:spacing w:after="0"/>
              <w:rPr>
                <w:sz w:val="1"/>
                <w:szCs w:val="1"/>
                <w:color w:val="auto"/>
              </w:rPr>
            </w:pPr>
          </w:p>
        </w:tc>
      </w:tr>
      <w:tr>
        <w:trPr>
          <w:trHeight w:val="15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assets</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5,241,454</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4,586,693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8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Accounts payable, accrued expenses and other liabilities</w:t>
            </w: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87,118</w:t>
            </w:r>
          </w:p>
        </w:tc>
        <w:tc>
          <w:tcPr>
            <w:tcW w:w="4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89,731</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Accrued compensation and benefits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2,404,228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736,695</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Accrued carried interest-related compensation</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960,513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757,968</w:t>
            </w:r>
          </w:p>
        </w:tc>
        <w:tc>
          <w:tcPr>
            <w:tcW w:w="0" w:type="dxa"/>
            <w:vAlign w:val="bottom"/>
          </w:tcPr>
          <w:p>
            <w:pPr>
              <w:spacing w:after="0"/>
              <w:rPr>
                <w:sz w:val="1"/>
                <w:szCs w:val="1"/>
                <w:color w:val="auto"/>
              </w:rPr>
            </w:pPr>
          </w:p>
        </w:tc>
      </w:tr>
      <w:tr>
        <w:trPr>
          <w:trHeight w:val="1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Legacy Greenspring accrued carried interest-related compensation</w:t>
            </w:r>
            <w:r>
              <w:rPr>
                <w:rFonts w:ascii="Times New Roman" w:cs="Times New Roman" w:eastAsia="Times New Roman" w:hAnsi="Times New Roman"/>
                <w:sz w:val="12"/>
                <w:szCs w:val="12"/>
                <w:color w:val="auto"/>
                <w:vertAlign w:val="superscript"/>
              </w:rPr>
              <w:t>(1)</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536,484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495,739</w:t>
            </w:r>
          </w:p>
        </w:tc>
        <w:tc>
          <w:tcPr>
            <w:tcW w:w="0" w:type="dxa"/>
            <w:vAlign w:val="bottom"/>
          </w:tcPr>
          <w:p>
            <w:pPr>
              <w:spacing w:after="0"/>
              <w:rPr>
                <w:sz w:val="1"/>
                <w:szCs w:val="1"/>
                <w:color w:val="auto"/>
              </w:rPr>
            </w:pPr>
          </w:p>
        </w:tc>
      </w:tr>
      <w:tr>
        <w:trPr>
          <w:trHeight w:val="13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Due to affiliates</w:t>
            </w: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354,610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331,821</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Lease liabilities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106,497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113,519</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Debt obligations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270,246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269,268</w:t>
            </w:r>
          </w:p>
        </w:tc>
        <w:tc>
          <w:tcPr>
            <w:tcW w:w="0" w:type="dxa"/>
            <w:vAlign w:val="bottom"/>
          </w:tcPr>
          <w:p>
            <w:pPr>
              <w:spacing w:after="0"/>
              <w:rPr>
                <w:sz w:val="1"/>
                <w:szCs w:val="1"/>
                <w:color w:val="auto"/>
              </w:rPr>
            </w:pPr>
          </w:p>
        </w:tc>
      </w:tr>
      <w:tr>
        <w:trPr>
          <w:trHeight w:val="1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Liabilities of Consolidated Funds:</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2,305</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17,580</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798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20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4,722,001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2,812,321</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Commitments and contingencies (Note 14)</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Redeemable non-controlling interests in Consolidated Funds</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171,870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377,897</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Redeemable non-controlling interests in subsidiaries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7,914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6,327</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Stockholders’ equity:</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$0.001 par value, 650,000,000 authorized; 80,135,346 and 76,761,399 issued and outstanding as of December 31, 2025 and March 31, 2025, respectively</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Class B common stock, $0.001 par value, 125,000,000 authorized; 39,017,716 and 39,656,954 issued and outstanding as of December 31, 2025 and March 31, 2025, respectively</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486,542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421,057</w:t>
            </w:r>
          </w:p>
        </w:tc>
        <w:tc>
          <w:tcPr>
            <w:tcW w:w="0" w:type="dxa"/>
            <w:vAlign w:val="bottom"/>
          </w:tcPr>
          <w:p>
            <w:pPr>
              <w:spacing w:after="0"/>
              <w:rPr>
                <w:sz w:val="1"/>
                <w:szCs w:val="1"/>
                <w:color w:val="auto"/>
              </w:rPr>
            </w:pPr>
          </w:p>
        </w:tc>
      </w:tr>
      <w:tr>
        <w:trPr>
          <w:trHeight w:val="1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Accumulated deficit</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(866,331)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(242,546)</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Accumulated other comprehensive income</w:t>
            </w: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876</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728</w:t>
            </w:r>
          </w:p>
        </w:tc>
        <w:tc>
          <w:tcPr>
            <w:tcW w:w="0" w:type="dxa"/>
            <w:vAlign w:val="bottom"/>
          </w:tcPr>
          <w:p>
            <w:pPr>
              <w:spacing w:after="0"/>
              <w:rPr>
                <w:sz w:val="1"/>
                <w:szCs w:val="1"/>
                <w:color w:val="auto"/>
              </w:rPr>
            </w:pPr>
          </w:p>
        </w:tc>
      </w:tr>
      <w:tr>
        <w:trPr>
          <w:trHeight w:val="124"/>
        </w:trPr>
        <w:tc>
          <w:tcPr>
            <w:tcW w:w="818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StepStone Group Inc. stockholders’ equity</w:t>
            </w:r>
          </w:p>
        </w:tc>
        <w:tc>
          <w:tcPr>
            <w:tcW w:w="20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(378,794)</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179,356</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interests in subsidiaries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948,365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1,056,510</w:t>
            </w:r>
          </w:p>
        </w:tc>
        <w:tc>
          <w:tcPr>
            <w:tcW w:w="0" w:type="dxa"/>
            <w:vAlign w:val="bottom"/>
          </w:tcPr>
          <w:p>
            <w:pPr>
              <w:spacing w:after="0"/>
              <w:rPr>
                <w:sz w:val="1"/>
                <w:szCs w:val="1"/>
                <w:color w:val="auto"/>
              </w:rPr>
            </w:pPr>
          </w:p>
        </w:tc>
      </w:tr>
      <w:tr>
        <w:trPr>
          <w:trHeight w:val="1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Non-controlling interests in legacy Greenspring entities</w:t>
            </w:r>
            <w:r>
              <w:rPr>
                <w:rFonts w:ascii="Times New Roman" w:cs="Times New Roman" w:eastAsia="Times New Roman" w:hAnsi="Times New Roman"/>
                <w:sz w:val="12"/>
                <w:szCs w:val="12"/>
                <w:color w:val="auto"/>
                <w:vertAlign w:val="superscript"/>
              </w:rPr>
              <w:t>(1)</w:t>
            </w:r>
          </w:p>
        </w:tc>
        <w:tc>
          <w:tcPr>
            <w:tcW w:w="2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134,147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133,489</w:t>
            </w:r>
          </w:p>
        </w:tc>
        <w:tc>
          <w:tcPr>
            <w:tcW w:w="0" w:type="dxa"/>
            <w:vAlign w:val="bottom"/>
          </w:tcPr>
          <w:p>
            <w:pPr>
              <w:spacing w:after="0"/>
              <w:rPr>
                <w:sz w:val="1"/>
                <w:szCs w:val="1"/>
                <w:color w:val="auto"/>
              </w:rPr>
            </w:pPr>
          </w:p>
        </w:tc>
      </w:tr>
      <w:tr>
        <w:trPr>
          <w:trHeight w:val="13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interests in the Partnership</w:t>
            </w: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(364,049)</w:t>
            </w: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20,793</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stockholders’ equity</w:t>
            </w: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339,669</w:t>
            </w:r>
          </w:p>
        </w:tc>
        <w:tc>
          <w:tcPr>
            <w:tcW w:w="2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1,390,148</w:t>
            </w:r>
          </w:p>
        </w:tc>
        <w:tc>
          <w:tcPr>
            <w:tcW w:w="0" w:type="dxa"/>
            <w:vAlign w:val="bottom"/>
          </w:tcPr>
          <w:p>
            <w:pPr>
              <w:spacing w:after="0"/>
              <w:rPr>
                <w:sz w:val="1"/>
                <w:szCs w:val="1"/>
                <w:color w:val="auto"/>
              </w:rPr>
            </w:pPr>
          </w:p>
        </w:tc>
      </w:tr>
      <w:tr>
        <w:trPr>
          <w:trHeight w:val="154"/>
        </w:trPr>
        <w:tc>
          <w:tcPr>
            <w:tcW w:w="200" w:type="dxa"/>
            <w:vAlign w:val="bottom"/>
            <w:tcBorders>
              <w:bottom w:val="single" w:sz="8" w:color="CCEEFF"/>
            </w:tcBorders>
            <w:shd w:val="clear" w:color="auto" w:fill="CCEEFF"/>
          </w:tcPr>
          <w:p>
            <w:pPr>
              <w:spacing w:after="0"/>
              <w:rPr>
                <w:sz w:val="12"/>
                <w:szCs w:val="12"/>
                <w:color w:val="auto"/>
              </w:rPr>
            </w:pPr>
          </w:p>
        </w:tc>
        <w:tc>
          <w:tcPr>
            <w:tcW w:w="7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Total liabilities and stockholders’ equity</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5,241,454</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4,586,693</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(1)</w:t>
            </w:r>
          </w:p>
        </w:tc>
        <w:tc>
          <w:tcPr>
            <w:tcW w:w="79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0"/>
                <w:szCs w:val="10"/>
                <w:color w:val="auto"/>
              </w:rPr>
              <w:t>Reflects amounts attributable to consolidated VIEs for which the Company did not acquire any direct economic interests. See notes 2 and 5 for more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0" w:type="dxa"/>
            <w:vAlign w:val="bottom"/>
            <w:vMerge w:val="continue"/>
          </w:tcPr>
          <w:p>
            <w:pPr>
              <w:spacing w:after="0"/>
              <w:rPr>
                <w:sz w:val="20"/>
                <w:szCs w:val="20"/>
                <w:color w:val="auto"/>
              </w:rPr>
            </w:pPr>
          </w:p>
        </w:tc>
        <w:tc>
          <w:tcPr>
            <w:tcW w:w="79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1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See accompanying notes to condensed consolidated financial statements.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6" w:name="page7"/>
    <w:bookmarkEnd w:id="6"/>
    <w:p>
      <w:pPr>
        <w:ind w:left="5180"/>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presents the portion of the condensed consolidated balances presented above attributable to consolidated variable interest entities.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40" w:type="dxa"/>
            <w:vAlign w:val="bottom"/>
            <w:tcBorders>
              <w:bottom w:val="single" w:sz="8" w:color="auto"/>
            </w:tcBorders>
          </w:tcPr>
          <w:p>
            <w:pPr>
              <w:spacing w:after="0"/>
              <w:rPr>
                <w:sz w:val="14"/>
                <w:szCs w:val="14"/>
                <w:color w:val="auto"/>
              </w:rPr>
            </w:pPr>
          </w:p>
        </w:tc>
      </w:tr>
      <w:tr>
        <w:trPr>
          <w:trHeight w:val="161"/>
        </w:trPr>
        <w:tc>
          <w:tcPr>
            <w:tcW w:w="8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6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97,495</w:t>
            </w:r>
          </w:p>
        </w:tc>
        <w:tc>
          <w:tcPr>
            <w:tcW w:w="4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75,769</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and accounts receivable</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66,692</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affiliates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43,830</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funds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72,517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47,362</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Greenspring investments in funds and accrued carried interest allocations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670,631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629,228</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16,406</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18,307</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Assets of Consolidated Funds: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111,377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44,511</w:t>
            </w: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415,011</w:t>
            </w:r>
          </w:p>
        </w:tc>
      </w:tr>
      <w:tr>
        <w:trPr>
          <w:trHeight w:val="180"/>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17,688</w:t>
            </w: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1,440,810</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1,376,034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33,049</w:t>
            </w:r>
          </w:p>
        </w:tc>
        <w:tc>
          <w:tcPr>
            <w:tcW w:w="4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29,484</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2,230,033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699,015</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Greenspring accrued carried interest-related compensation</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536,484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495,739</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affiliates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18,814</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Liabilities of Consolidated Funds: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17,580</w:t>
            </w: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2,839,985</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1,278,704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Loss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400" w:type="dxa"/>
            <w:vAlign w:val="bottom"/>
          </w:tcPr>
          <w:p>
            <w:pPr>
              <w:spacing w:after="0"/>
              <w:rPr>
                <w:sz w:val="11"/>
                <w:szCs w:val="11"/>
                <w:color w:val="auto"/>
              </w:rPr>
            </w:pPr>
          </w:p>
        </w:tc>
        <w:tc>
          <w:tcPr>
            <w:tcW w:w="226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Three Months Ended December 31,</w:t>
            </w: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0"/>
                <w:szCs w:val="10"/>
                <w:b w:val="1"/>
                <w:bCs w:val="1"/>
                <w:color w:val="auto"/>
              </w:rPr>
              <w:t>Nine Months Ended December 31,</w:t>
            </w:r>
          </w:p>
        </w:tc>
      </w:tr>
      <w:tr>
        <w:trPr>
          <w:trHeight w:val="131"/>
        </w:trPr>
        <w:tc>
          <w:tcPr>
            <w:tcW w:w="54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33"/>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Management and advisory fees, net</w:t>
            </w:r>
          </w:p>
        </w:tc>
        <w:tc>
          <w:tcPr>
            <w:tcW w:w="740" w:type="dxa"/>
            <w:vAlign w:val="bottom"/>
          </w:tcPr>
          <w:p>
            <w:pPr>
              <w:jc w:val="right"/>
              <w:ind w:right="6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239,932</w:t>
            </w:r>
          </w:p>
        </w:tc>
        <w:tc>
          <w:tcPr>
            <w:tcW w:w="240" w:type="dxa"/>
            <w:vAlign w:val="bottom"/>
          </w:tcPr>
          <w:p>
            <w:pPr>
              <w:spacing w:after="0"/>
              <w:rPr>
                <w:sz w:val="11"/>
                <w:szCs w:val="11"/>
                <w:color w:val="auto"/>
              </w:rPr>
            </w:pPr>
          </w:p>
        </w:tc>
        <w:tc>
          <w:tcPr>
            <w:tcW w:w="760" w:type="dxa"/>
            <w:vAlign w:val="bottom"/>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190,840</w:t>
            </w:r>
          </w:p>
        </w:tc>
        <w:tc>
          <w:tcPr>
            <w:tcW w:w="22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666,594</w:t>
            </w:r>
          </w:p>
        </w:tc>
        <w:tc>
          <w:tcPr>
            <w:tcW w:w="22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553,613</w:t>
            </w:r>
          </w:p>
        </w:tc>
      </w:tr>
      <w:tr>
        <w:trPr>
          <w:trHeight w:val="1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Performance fees:</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4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Incentive fees</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207,954</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22,369</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213,046</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26,365</w:t>
            </w:r>
          </w:p>
        </w:tc>
      </w:tr>
      <w:tr>
        <w:trPr>
          <w:trHeight w:val="143"/>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Carried interest allocations:</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40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Realized</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46,703</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24,282</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129,985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83,718</w:t>
            </w:r>
          </w:p>
        </w:tc>
      </w:tr>
      <w:tr>
        <w:trPr>
          <w:trHeight w:val="143"/>
        </w:trPr>
        <w:tc>
          <w:tcPr>
            <w:tcW w:w="5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Unrealized</w:t>
            </w:r>
          </w:p>
        </w:tc>
        <w:tc>
          <w:tcPr>
            <w:tcW w:w="7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101,985</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93,325</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338,681</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120,370</w:t>
            </w:r>
          </w:p>
        </w:tc>
      </w:tr>
      <w:tr>
        <w:trPr>
          <w:trHeight w:val="124"/>
        </w:trPr>
        <w:tc>
          <w:tcPr>
            <w:tcW w:w="540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Total carried interest allocations</w:t>
            </w:r>
          </w:p>
        </w:tc>
        <w:tc>
          <w:tcPr>
            <w:tcW w:w="7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148,688</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117,607</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468,666</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204,088</w:t>
            </w:r>
          </w:p>
        </w:tc>
      </w:tr>
      <w:tr>
        <w:trPr>
          <w:trHeight w:val="143"/>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Legacy Greenspring carried interest allocations</w:t>
            </w:r>
            <w:r>
              <w:rPr>
                <w:rFonts w:ascii="Times New Roman" w:cs="Times New Roman" w:eastAsia="Times New Roman" w:hAnsi="Times New Roman"/>
                <w:sz w:val="12"/>
                <w:szCs w:val="12"/>
                <w:color w:val="auto"/>
                <w:vertAlign w:val="superscript"/>
              </w:rPr>
              <w:t>(1)</w:t>
            </w:r>
          </w:p>
        </w:tc>
        <w:tc>
          <w:tcPr>
            <w:tcW w:w="7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(10,063)</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8,207</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56,717</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13,035</w:t>
            </w:r>
          </w:p>
        </w:tc>
      </w:tr>
      <w:tr>
        <w:trPr>
          <w:trHeight w:val="124"/>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Total performance fees</w:t>
            </w: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346,579</w:t>
            </w:r>
          </w:p>
        </w:tc>
        <w:tc>
          <w:tcPr>
            <w:tcW w:w="2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148,183</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738,429</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243,488</w:t>
            </w:r>
          </w:p>
        </w:tc>
      </w:tr>
      <w:tr>
        <w:trPr>
          <w:trHeight w:val="133"/>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Total revenues</w:t>
            </w:r>
          </w:p>
        </w:tc>
        <w:tc>
          <w:tcPr>
            <w:tcW w:w="7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586,511</w:t>
            </w:r>
          </w:p>
        </w:tc>
        <w:tc>
          <w:tcPr>
            <w:tcW w:w="2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339,023</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1,405,023</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797,101</w:t>
            </w:r>
          </w:p>
        </w:tc>
      </w:tr>
      <w:tr>
        <w:trPr>
          <w:trHeight w:val="114"/>
        </w:trPr>
        <w:tc>
          <w:tcPr>
            <w:tcW w:w="540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Expenses</w:t>
            </w: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 and benefits:</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4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Cash-based compensation</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107,114</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85,203</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303,447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246,298</w:t>
            </w:r>
          </w:p>
        </w:tc>
      </w:tr>
      <w:tr>
        <w:trPr>
          <w:trHeight w:val="143"/>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Equity-based compensation</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468,808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486,418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1,541,996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542,929</w:t>
            </w:r>
          </w:p>
        </w:tc>
      </w:tr>
      <w:tr>
        <w:trPr>
          <w:trHeight w:val="133"/>
        </w:trPr>
        <w:tc>
          <w:tcPr>
            <w:tcW w:w="54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Performance fee-related compensation:</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3"/>
        </w:trPr>
        <w:tc>
          <w:tcPr>
            <w:tcW w:w="5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Realized</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122,215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25,477</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164,915</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55,092</w:t>
            </w:r>
          </w:p>
        </w:tc>
      </w:tr>
      <w:tr>
        <w:trPr>
          <w:trHeight w:val="133"/>
        </w:trPr>
        <w:tc>
          <w:tcPr>
            <w:tcW w:w="54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0"/>
                <w:szCs w:val="10"/>
                <w:color w:val="auto"/>
              </w:rPr>
              <w:t>Unrealized</w:t>
            </w: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69,050</w:t>
            </w: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49,670</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202,134</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66,495</w:t>
            </w:r>
          </w:p>
        </w:tc>
      </w:tr>
      <w:tr>
        <w:trPr>
          <w:trHeight w:val="133"/>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Total performance fee-related compensation</w:t>
            </w: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191,265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75,147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367,049</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121,587</w:t>
            </w:r>
          </w:p>
        </w:tc>
      </w:tr>
      <w:tr>
        <w:trPr>
          <w:trHeight w:val="138"/>
        </w:trPr>
        <w:tc>
          <w:tcPr>
            <w:tcW w:w="5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0"/>
                <w:szCs w:val="10"/>
                <w:color w:val="auto"/>
              </w:rPr>
              <w:t>Legacy Greenspring performance fee-related compensation</w:t>
            </w:r>
            <w:r>
              <w:rPr>
                <w:rFonts w:ascii="Times New Roman" w:cs="Times New Roman" w:eastAsia="Times New Roman" w:hAnsi="Times New Roman"/>
                <w:sz w:val="12"/>
                <w:szCs w:val="12"/>
                <w:color w:val="auto"/>
                <w:vertAlign w:val="superscript"/>
              </w:rPr>
              <w:t>(1)</w:t>
            </w: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(10,063)</w:t>
            </w: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8,207</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56,717</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13,035</w:t>
            </w:r>
          </w:p>
        </w:tc>
      </w:tr>
      <w:tr>
        <w:trPr>
          <w:trHeight w:val="1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compensation and benefits</w:t>
            </w: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757,124</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654,975</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2,269,209</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923,849</w:t>
            </w:r>
          </w:p>
        </w:tc>
      </w:tr>
      <w:tr>
        <w:trPr>
          <w:trHeight w:val="13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General, administrative and other</w:t>
            </w: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50,640</w:t>
            </w: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43,130</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138,846</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134,202</w:t>
            </w:r>
          </w:p>
        </w:tc>
      </w:tr>
      <w:tr>
        <w:trPr>
          <w:trHeight w:val="133"/>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Total expenses</w:t>
            </w:r>
          </w:p>
        </w:tc>
        <w:tc>
          <w:tcPr>
            <w:tcW w:w="7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807,764</w:t>
            </w:r>
          </w:p>
        </w:tc>
        <w:tc>
          <w:tcPr>
            <w:tcW w:w="2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698,105</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2,408,055</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1,058,051</w:t>
            </w:r>
          </w:p>
        </w:tc>
      </w:tr>
      <w:tr>
        <w:trPr>
          <w:trHeight w:val="114"/>
        </w:trPr>
        <w:tc>
          <w:tcPr>
            <w:tcW w:w="540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Other income (expense)</w:t>
            </w: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income</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9,829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1,064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19,131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5,710</w:t>
            </w:r>
          </w:p>
        </w:tc>
      </w:tr>
      <w:tr>
        <w:trPr>
          <w:trHeight w:val="138"/>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Legacy Greenspring investment income (loss)</w:t>
            </w:r>
            <w:r>
              <w:rPr>
                <w:rFonts w:ascii="Times New Roman" w:cs="Times New Roman" w:eastAsia="Times New Roman" w:hAnsi="Times New Roman"/>
                <w:sz w:val="12"/>
                <w:szCs w:val="12"/>
                <w:color w:val="auto"/>
                <w:vertAlign w:val="superscript"/>
              </w:rPr>
              <w:t>(1)</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1,167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4,168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(4,119)</w:t>
            </w:r>
          </w:p>
        </w:tc>
      </w:tr>
      <w:tr>
        <w:trPr>
          <w:trHeight w:val="1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income of Consolidated Funds</w:t>
            </w: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21,282</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15,037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88,997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30,878</w:t>
            </w:r>
          </w:p>
        </w:tc>
      </w:tr>
      <w:tr>
        <w:trPr>
          <w:trHeight w:val="133"/>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Interest income</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2,559</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8,175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7,632</w:t>
            </w:r>
          </w:p>
        </w:tc>
      </w:tr>
      <w:tr>
        <w:trPr>
          <w:trHeight w:val="1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(5,123)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(14,082)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(9,510)</w:t>
            </w:r>
          </w:p>
        </w:tc>
      </w:tr>
      <w:tr>
        <w:trPr>
          <w:trHeight w:val="13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Other income (loss)</w:t>
            </w: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(1,312)</w:t>
            </w: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(2,452)</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5,818</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(1,626)</w:t>
            </w:r>
          </w:p>
        </w:tc>
      </w:tr>
      <w:tr>
        <w:trPr>
          <w:trHeight w:val="133"/>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Total other income</w:t>
            </w:r>
          </w:p>
        </w:tc>
        <w:tc>
          <w:tcPr>
            <w:tcW w:w="7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26,604</w:t>
            </w:r>
          </w:p>
        </w:tc>
        <w:tc>
          <w:tcPr>
            <w:tcW w:w="2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14,367</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112,207</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28,965</w:t>
            </w:r>
          </w:p>
        </w:tc>
      </w:tr>
      <w:tr>
        <w:trPr>
          <w:trHeight w:val="124"/>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Loss before income tax</w:t>
            </w:r>
          </w:p>
        </w:tc>
        <w:tc>
          <w:tcPr>
            <w:tcW w:w="7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(194,649)</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(344,715)</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(890,825)</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(231,985)</w:t>
            </w:r>
          </w:p>
        </w:tc>
      </w:tr>
      <w:tr>
        <w:trPr>
          <w:trHeight w:val="1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7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(32,214)</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(57,552)</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(140,889)</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(46,005)</w:t>
            </w:r>
          </w:p>
        </w:tc>
      </w:tr>
      <w:tr>
        <w:trPr>
          <w:trHeight w:val="124"/>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(162,435)</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(287,163)</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(749,936)</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(185,980)</w:t>
            </w:r>
          </w:p>
        </w:tc>
      </w:tr>
      <w:tr>
        <w:trPr>
          <w:trHeight w:val="143"/>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Less: Net income attributable to non-controlling interests in subsidiaries</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24,562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27,226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62,421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62,966</w:t>
            </w:r>
          </w:p>
        </w:tc>
      </w:tr>
      <w:tr>
        <w:trPr>
          <w:trHeight w:val="138"/>
        </w:trPr>
        <w:tc>
          <w:tcPr>
            <w:tcW w:w="54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Less: Net income (loss) attributable to non-controlling interests in legacy Greenspring entities</w:t>
            </w:r>
            <w:r>
              <w:rPr>
                <w:rFonts w:ascii="Times New Roman" w:cs="Times New Roman" w:eastAsia="Times New Roman" w:hAnsi="Times New Roman"/>
                <w:sz w:val="12"/>
                <w:szCs w:val="12"/>
                <w:color w:val="auto"/>
                <w:vertAlign w:val="superscript"/>
              </w:rPr>
              <w:t>(1)</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1,167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4,168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(4,119)</w:t>
            </w:r>
          </w:p>
        </w:tc>
      </w:tr>
      <w:tr>
        <w:trPr>
          <w:trHeight w:val="138"/>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Less: Net loss attributable to non-controlling interests in the Partnership</w:t>
            </w: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(82,207)</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(134,760)</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(369,275)</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(107,856)</w:t>
            </w:r>
          </w:p>
        </w:tc>
      </w:tr>
      <w:tr>
        <w:trPr>
          <w:trHeight w:val="133"/>
        </w:trPr>
        <w:tc>
          <w:tcPr>
            <w:tcW w:w="540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Less: Net income attributable to redeemable non-controlling interests in Consolidated Funds</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18,564</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10,905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79,180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23,101</w:t>
            </w:r>
          </w:p>
        </w:tc>
      </w:tr>
      <w:tr>
        <w:trPr>
          <w:trHeight w:val="138"/>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Less: Net income attributable to redeemable non-controlling interests in subsidiaries</w:t>
            </w:r>
          </w:p>
        </w:tc>
        <w:tc>
          <w:tcPr>
            <w:tcW w:w="7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624</w:t>
            </w:r>
          </w:p>
        </w:tc>
        <w:tc>
          <w:tcPr>
            <w:tcW w:w="2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314</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1,587</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983</w:t>
            </w:r>
          </w:p>
        </w:tc>
      </w:tr>
      <w:tr>
        <w:trPr>
          <w:trHeight w:val="133"/>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Net loss attributable to StepStone Group Inc.</w:t>
            </w:r>
          </w:p>
        </w:tc>
        <w:tc>
          <w:tcPr>
            <w:tcW w:w="7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(123,451)</w:t>
            </w:r>
          </w:p>
        </w:tc>
        <w:tc>
          <w:tcPr>
            <w:tcW w:w="240" w:type="dxa"/>
            <w:vAlign w:val="bottom"/>
          </w:tcPr>
          <w:p>
            <w:pPr>
              <w:spacing w:after="0"/>
              <w:rPr>
                <w:sz w:val="11"/>
                <w:szCs w:val="11"/>
                <w:color w:val="auto"/>
              </w:rPr>
            </w:pPr>
          </w:p>
        </w:tc>
        <w:tc>
          <w:tcPr>
            <w:tcW w:w="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(192,015)</w:t>
            </w:r>
          </w:p>
        </w:tc>
        <w:tc>
          <w:tcPr>
            <w:tcW w:w="220" w:type="dxa"/>
            <w:vAlign w:val="bottom"/>
          </w:tcPr>
          <w:p>
            <w:pPr>
              <w:spacing w:after="0"/>
              <w:rPr>
                <w:sz w:val="11"/>
                <w:szCs w:val="11"/>
                <w:color w:val="auto"/>
              </w:rPr>
            </w:pPr>
          </w:p>
        </w:tc>
        <w:tc>
          <w:tcPr>
            <w:tcW w:w="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(528,017)</w:t>
            </w:r>
          </w:p>
        </w:tc>
        <w:tc>
          <w:tcPr>
            <w:tcW w:w="220" w:type="dxa"/>
            <w:vAlign w:val="bottom"/>
          </w:tcPr>
          <w:p>
            <w:pPr>
              <w:spacing w:after="0"/>
              <w:rPr>
                <w:sz w:val="11"/>
                <w:szCs w:val="11"/>
                <w:color w:val="auto"/>
              </w:rPr>
            </w:pPr>
          </w:p>
        </w:tc>
        <w:tc>
          <w:tcPr>
            <w:tcW w:w="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(161,055)</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3"/>
        </w:trPr>
        <w:tc>
          <w:tcPr>
            <w:tcW w:w="5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33"/>
        </w:trPr>
        <w:tc>
          <w:tcPr>
            <w:tcW w:w="5400" w:type="dxa"/>
            <w:vAlign w:val="bottom"/>
          </w:tcPr>
          <w:p>
            <w:pPr>
              <w:spacing w:after="0"/>
              <w:rPr>
                <w:sz w:val="20"/>
                <w:szCs w:val="20"/>
                <w:color w:val="auto"/>
              </w:rPr>
            </w:pPr>
            <w:r>
              <w:rPr>
                <w:rFonts w:ascii="Times New Roman" w:cs="Times New Roman" w:eastAsia="Times New Roman" w:hAnsi="Times New Roman"/>
                <w:sz w:val="10"/>
                <w:szCs w:val="10"/>
                <w:color w:val="auto"/>
              </w:rPr>
              <w:t>Net loss per share of Class A common stock:</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3"/>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Basic</w:t>
            </w:r>
          </w:p>
        </w:tc>
        <w:tc>
          <w:tcPr>
            <w:tcW w:w="7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w:t>
            </w:r>
          </w:p>
        </w:tc>
      </w:tr>
      <w:tr>
        <w:trPr>
          <w:trHeight w:val="133"/>
        </w:trPr>
        <w:tc>
          <w:tcPr>
            <w:tcW w:w="54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Diluted</w:t>
            </w:r>
          </w:p>
        </w:tc>
        <w:tc>
          <w:tcPr>
            <w:tcW w:w="740" w:type="dxa"/>
            <w:vAlign w:val="bottom"/>
          </w:tcPr>
          <w:p>
            <w:pPr>
              <w:jc w:val="right"/>
              <w:ind w:right="6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240" w:type="dxa"/>
            <w:vAlign w:val="bottom"/>
          </w:tcPr>
          <w:p>
            <w:pPr>
              <w:spacing w:after="0"/>
              <w:rPr>
                <w:sz w:val="11"/>
                <w:szCs w:val="11"/>
                <w:color w:val="auto"/>
              </w:rPr>
            </w:pPr>
          </w:p>
        </w:tc>
        <w:tc>
          <w:tcPr>
            <w:tcW w:w="760" w:type="dxa"/>
            <w:vAlign w:val="bottom"/>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w:t>
            </w:r>
          </w:p>
        </w:tc>
        <w:tc>
          <w:tcPr>
            <w:tcW w:w="22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(6.72)</w:t>
            </w:r>
          </w:p>
        </w:tc>
        <w:tc>
          <w:tcPr>
            <w:tcW w:w="22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w:t>
            </w:r>
          </w:p>
        </w:tc>
      </w:tr>
      <w:tr>
        <w:trPr>
          <w:trHeight w:val="1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Weighted-average shares of Class A common stock:</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4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Basic</w:t>
            </w:r>
          </w:p>
        </w:tc>
        <w:tc>
          <w:tcPr>
            <w:tcW w:w="7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79,465,039</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97"/>
              </w:rPr>
              <w:t>73,687,289</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78,627,273</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69,561,254</w:t>
            </w:r>
          </w:p>
        </w:tc>
      </w:tr>
      <w:tr>
        <w:trPr>
          <w:trHeight w:val="143"/>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Diluted</w:t>
            </w: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79,465,039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97"/>
              </w:rPr>
              <w:t>73,687,289</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78,627,273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69,561,254</w:t>
            </w:r>
          </w:p>
        </w:tc>
      </w:tr>
    </w:tbl>
    <w:p>
      <w:pPr>
        <w:spacing w:after="0" w:line="231" w:lineRule="exact"/>
        <w:rPr>
          <w:sz w:val="20"/>
          <w:szCs w:val="20"/>
          <w:color w:val="auto"/>
        </w:rPr>
      </w:pPr>
    </w:p>
    <w:p>
      <w:pPr>
        <w:ind w:right="4260" w:firstLine="5"/>
        <w:spacing w:after="0" w:line="359" w:lineRule="auto"/>
        <w:tabs>
          <w:tab w:leader="none" w:pos="508"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Reflects amounts attributable to consolidated VIEs for which the Company did not acquire any direct economic interests. See notes 2, 3 and 5 for more information. </w:t>
      </w:r>
      <w:r>
        <w:rPr>
          <w:rFonts w:ascii="Times New Roman" w:cs="Times New Roman" w:eastAsia="Times New Roman" w:hAnsi="Times New Roman"/>
          <w:sz w:val="10"/>
          <w:szCs w:val="10"/>
          <w:i w:val="1"/>
          <w:iCs w:val="1"/>
          <w:color w:val="auto"/>
        </w:rPr>
        <w:t>See accompanying notes to condensed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40" w:type="dxa"/>
            <w:vAlign w:val="bottom"/>
          </w:tcPr>
          <w:p>
            <w:pPr>
              <w:spacing w:after="0"/>
              <w:rPr>
                <w:sz w:val="14"/>
                <w:szCs w:val="14"/>
                <w:color w:val="auto"/>
              </w:rPr>
            </w:pPr>
          </w:p>
        </w:tc>
        <w:tc>
          <w:tcPr>
            <w:tcW w:w="2380" w:type="dxa"/>
            <w:vAlign w:val="bottom"/>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r>
      <w:tr>
        <w:trPr>
          <w:trHeight w:val="161"/>
        </w:trPr>
        <w:tc>
          <w:tcPr>
            <w:tcW w:w="58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(162,435)</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(749,936)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(185,980)</w:t>
            </w:r>
          </w:p>
        </w:tc>
      </w:tr>
      <w:tr>
        <w:trPr>
          <w:trHeight w:val="180"/>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before non-controlling interests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(162,588)</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(286,953)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(750,889)</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(185,977)</w:t>
            </w:r>
          </w:p>
        </w:tc>
      </w:tr>
      <w:tr>
        <w:trPr>
          <w:trHeight w:val="180"/>
        </w:trPr>
        <w:tc>
          <w:tcPr>
            <w:tcW w:w="5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 in subsidiaries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62,913</w:t>
            </w:r>
          </w:p>
        </w:tc>
      </w:tr>
      <w:tr>
        <w:trPr>
          <w:trHeight w:val="138"/>
        </w:trPr>
        <w:tc>
          <w:tcPr>
            <w:tcW w:w="580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Less: Comprehensive income (loss) attributable to non-controlling interests in legacy</w:t>
            </w: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Greenspring entities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r>
      <w:tr>
        <w:trPr>
          <w:trHeight w:val="180"/>
        </w:trPr>
        <w:tc>
          <w:tcPr>
            <w:tcW w:w="5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in the Partnership</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(82,239)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(134,697)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(369,479)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(107,837)</w:t>
            </w:r>
          </w:p>
        </w:tc>
      </w:tr>
      <w:tr>
        <w:trPr>
          <w:trHeight w:val="138"/>
        </w:trPr>
        <w:tc>
          <w:tcPr>
            <w:tcW w:w="580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Less: Comprehensive income attributable to redeemable non-controlling interests in</w:t>
            </w: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Consolidated Funds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18,564</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23,101</w:t>
            </w:r>
          </w:p>
        </w:tc>
      </w:tr>
      <w:tr>
        <w:trPr>
          <w:trHeight w:val="180"/>
        </w:trPr>
        <w:tc>
          <w:tcPr>
            <w:tcW w:w="58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Less: Comprehensive income attributable to redeemable non-controlling interests in subsidiaries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196"/>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attributable to StepStone Group Inc.</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(123,510)</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(191,910)</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(528,379)</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(161,018)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Class A Common</w:t>
            </w:r>
          </w:p>
        </w:tc>
        <w:tc>
          <w:tcPr>
            <w:tcW w:w="6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Class B Common</w:t>
            </w:r>
          </w:p>
        </w:tc>
        <w:tc>
          <w:tcPr>
            <w:tcW w:w="6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Additional Paid-in</w:t>
            </w: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Accumulated Other</w:t>
            </w:r>
          </w:p>
        </w:tc>
        <w:tc>
          <w:tcPr>
            <w:tcW w:w="100" w:type="dxa"/>
            <w:vAlign w:val="bottom"/>
          </w:tcPr>
          <w:p>
            <w:pPr>
              <w:spacing w:after="0"/>
              <w:rPr>
                <w:sz w:val="7"/>
                <w:szCs w:val="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7"/>
                <w:szCs w:val="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100" w:type="dxa"/>
            <w:vAlign w:val="bottom"/>
          </w:tcPr>
          <w:p>
            <w:pPr>
              <w:spacing w:after="0"/>
              <w:rPr>
                <w:sz w:val="7"/>
                <w:szCs w:val="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80" w:type="dxa"/>
            <w:vAlign w:val="bottom"/>
          </w:tcPr>
          <w:p>
            <w:pPr>
              <w:spacing w:after="0"/>
              <w:rPr>
                <w:sz w:val="7"/>
                <w:szCs w:val="7"/>
                <w:color w:val="auto"/>
              </w:rPr>
            </w:pPr>
          </w:p>
        </w:tc>
        <w:tc>
          <w:tcPr>
            <w:tcW w:w="820" w:type="dxa"/>
            <w:vAlign w:val="bottom"/>
            <w:vMerge w:val="restart"/>
          </w:tcPr>
          <w:p>
            <w:pPr>
              <w:jc w:val="right"/>
              <w:ind w:right="58"/>
              <w:spacing w:after="0"/>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8"/>
                <w:szCs w:val="8"/>
                <w:b w:val="1"/>
                <w:bCs w:val="1"/>
                <w:color w:val="auto"/>
              </w:rPr>
              <w:t>Interests in</w:t>
            </w:r>
          </w:p>
        </w:tc>
        <w:tc>
          <w:tcPr>
            <w:tcW w:w="60" w:type="dxa"/>
            <w:vAlign w:val="bottom"/>
          </w:tcPr>
          <w:p>
            <w:pPr>
              <w:spacing w:after="0"/>
              <w:rPr>
                <w:sz w:val="7"/>
                <w:szCs w:val="7"/>
                <w:color w:val="auto"/>
              </w:rPr>
            </w:pPr>
          </w:p>
        </w:tc>
        <w:tc>
          <w:tcPr>
            <w:tcW w:w="900" w:type="dxa"/>
            <w:vAlign w:val="bottom"/>
            <w:gridSpan w:val="2"/>
          </w:tcPr>
          <w:p>
            <w:pPr>
              <w:jc w:val="center"/>
              <w:ind w:right="140"/>
              <w:spacing w:after="0" w:line="85" w:lineRule="exact"/>
              <w:rPr>
                <w:sz w:val="20"/>
                <w:szCs w:val="20"/>
                <w:color w:val="auto"/>
              </w:rPr>
            </w:pPr>
            <w:r>
              <w:rPr>
                <w:rFonts w:ascii="Times New Roman" w:cs="Times New Roman" w:eastAsia="Times New Roman" w:hAnsi="Times New Roman"/>
                <w:sz w:val="8"/>
                <w:szCs w:val="8"/>
                <w:b w:val="1"/>
                <w:bCs w:val="1"/>
                <w:color w:val="auto"/>
              </w:rPr>
              <w:t>Interests in Legacy</w:t>
            </w:r>
          </w:p>
        </w:tc>
        <w:tc>
          <w:tcPr>
            <w:tcW w:w="100" w:type="dxa"/>
            <w:vAlign w:val="bottom"/>
          </w:tcPr>
          <w:p>
            <w:pPr>
              <w:spacing w:after="0"/>
              <w:rPr>
                <w:sz w:val="7"/>
                <w:szCs w:val="7"/>
                <w:color w:val="auto"/>
              </w:rPr>
            </w:pPr>
          </w:p>
        </w:tc>
        <w:tc>
          <w:tcPr>
            <w:tcW w:w="88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8"/>
                <w:szCs w:val="8"/>
                <w:b w:val="1"/>
                <w:bCs w:val="1"/>
                <w:color w:val="auto"/>
              </w:rPr>
              <w:t>Interests in the</w:t>
            </w: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Pr>
          <w:p>
            <w:pPr>
              <w:spacing w:after="0"/>
              <w:rPr>
                <w:sz w:val="10"/>
                <w:szCs w:val="1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Comprehensive Income</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6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Greenspring Entities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Partnership</w:t>
            </w:r>
          </w:p>
        </w:tc>
        <w:tc>
          <w:tcPr>
            <w:tcW w:w="80" w:type="dxa"/>
            <w:vAlign w:val="bottom"/>
          </w:tcPr>
          <w:p>
            <w:pPr>
              <w:spacing w:after="0"/>
              <w:rPr>
                <w:sz w:val="10"/>
                <w:szCs w:val="10"/>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27"/>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at September 30, 2025</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39</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485,919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(720,431)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927,728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134,551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(282,029)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546,791</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income (loss)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(123,451)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24,562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(82,207)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(181,623)</w:t>
            </w: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Other comprehensive loss</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(153)</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Contributed capital</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952</w:t>
            </w: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Equity-based compensation</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5,137</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Distributions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(4,656)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(12,724)</w:t>
            </w: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Dividends declared</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(22,449)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(22,449)</w:t>
            </w:r>
          </w:p>
        </w:tc>
        <w:tc>
          <w:tcPr>
            <w:tcW w:w="0" w:type="dxa"/>
            <w:vAlign w:val="bottom"/>
          </w:tcPr>
          <w:p>
            <w:pPr>
              <w:spacing w:after="0"/>
              <w:rPr>
                <w:sz w:val="1"/>
                <w:szCs w:val="1"/>
                <w:color w:val="auto"/>
              </w:rPr>
            </w:pPr>
          </w:p>
        </w:tc>
      </w:tr>
      <w:tr>
        <w:trPr>
          <w:trHeight w:val="86"/>
        </w:trPr>
        <w:tc>
          <w:tcPr>
            <w:tcW w:w="2760" w:type="dxa"/>
            <w:vAlign w:val="bottom"/>
          </w:tcPr>
          <w:p>
            <w:pPr>
              <w:ind w:left="100"/>
              <w:spacing w:after="0" w:line="86" w:lineRule="exact"/>
              <w:rPr>
                <w:sz w:val="20"/>
                <w:szCs w:val="20"/>
                <w:color w:val="auto"/>
              </w:rPr>
            </w:pPr>
            <w:r>
              <w:rPr>
                <w:rFonts w:ascii="Times New Roman" w:cs="Times New Roman" w:eastAsia="Times New Roman" w:hAnsi="Times New Roman"/>
                <w:sz w:val="8"/>
                <w:szCs w:val="8"/>
                <w:color w:val="auto"/>
              </w:rPr>
              <w:t>Exchange of Class B, Class C and Class D units for Class A common stock</w:t>
            </w:r>
          </w:p>
        </w:tc>
        <w:tc>
          <w:tcPr>
            <w:tcW w:w="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7"/>
        </w:trPr>
        <w:tc>
          <w:tcPr>
            <w:tcW w:w="2760" w:type="dxa"/>
            <w:vAlign w:val="bottom"/>
          </w:tcPr>
          <w:p>
            <w:pPr>
              <w:ind w:left="180"/>
              <w:spacing w:after="0"/>
              <w:rPr>
                <w:sz w:val="20"/>
                <w:szCs w:val="20"/>
                <w:color w:val="auto"/>
              </w:rPr>
            </w:pPr>
            <w:r>
              <w:rPr>
                <w:rFonts w:ascii="Times New Roman" w:cs="Times New Roman" w:eastAsia="Times New Roman" w:hAnsi="Times New Roman"/>
                <w:sz w:val="8"/>
                <w:szCs w:val="8"/>
                <w:color w:val="auto"/>
              </w:rPr>
              <w:t>and redemption of corresponding Class B common stock</w:t>
            </w: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Purchase of non-controlling interests</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Equity reallocation between controlling and non-controlling interests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Deferred tax effect resulting from equity transactions affecting ownership in</w:t>
            </w:r>
          </w:p>
        </w:tc>
        <w:tc>
          <w:tcPr>
            <w:tcW w:w="6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3,718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3,718</w:t>
            </w:r>
          </w:p>
        </w:tc>
        <w:tc>
          <w:tcPr>
            <w:tcW w:w="0" w:type="dxa"/>
            <w:vAlign w:val="bottom"/>
          </w:tcPr>
          <w:p>
            <w:pPr>
              <w:spacing w:after="0"/>
              <w:rPr>
                <w:sz w:val="1"/>
                <w:szCs w:val="1"/>
                <w:color w:val="auto"/>
              </w:rPr>
            </w:pPr>
          </w:p>
        </w:tc>
      </w:tr>
      <w:tr>
        <w:trPr>
          <w:trHeight w:val="127"/>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the Partnership</w:t>
            </w:r>
            <w:r>
              <w:rPr>
                <w:rFonts w:ascii="Times New Roman" w:cs="Times New Roman" w:eastAsia="Times New Roman" w:hAnsi="Times New Roman"/>
                <w:sz w:val="11"/>
                <w:szCs w:val="11"/>
                <w:color w:val="auto"/>
                <w:vertAlign w:val="superscript"/>
              </w:rPr>
              <w:t>(1)</w:t>
            </w:r>
          </w:p>
        </w:tc>
        <w:tc>
          <w:tcPr>
            <w:tcW w:w="6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760" w:type="dxa"/>
            <w:vAlign w:val="bottom"/>
          </w:tcPr>
          <w:p>
            <w:pPr>
              <w:ind w:left="20"/>
              <w:spacing w:after="0"/>
              <w:rPr>
                <w:sz w:val="20"/>
                <w:szCs w:val="20"/>
                <w:color w:val="auto"/>
              </w:rPr>
            </w:pPr>
            <w:r>
              <w:rPr>
                <w:rFonts w:ascii="Times New Roman" w:cs="Times New Roman" w:eastAsia="Times New Roman" w:hAnsi="Times New Roman"/>
                <w:sz w:val="8"/>
                <w:szCs w:val="8"/>
                <w:color w:val="auto"/>
              </w:rPr>
              <w:t>Balance at December 31, 2025</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80</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rPr>
              <w:t>39</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486,542</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(866,331)</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876</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948,365</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134,147</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(364,049)</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339,669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at March 31, 2025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421,057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(242,546)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1,056,510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133,489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20,793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1,390,148</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income (loss)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(528,017)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62,421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(369,275)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(830,703)</w:t>
            </w: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Other comprehensive loss</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(953)</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Contributed capital</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2,194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3,343</w:t>
            </w: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Equity-based compensation</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14,583</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Distributions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(55,942)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(69,421)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(130,021)</w:t>
            </w:r>
          </w:p>
        </w:tc>
        <w:tc>
          <w:tcPr>
            <w:tcW w:w="0" w:type="dxa"/>
            <w:vAlign w:val="bottom"/>
          </w:tcPr>
          <w:p>
            <w:pPr>
              <w:spacing w:after="0"/>
              <w:rPr>
                <w:sz w:val="1"/>
                <w:szCs w:val="1"/>
                <w:color w:val="auto"/>
              </w:rPr>
            </w:pPr>
          </w:p>
        </w:tc>
      </w:tr>
      <w:tr>
        <w:trPr>
          <w:trHeight w:val="13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Dividends declared</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(95,768)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(95,768)</w:t>
            </w: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Class A common stock issued under ESPP</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1,728</w:t>
            </w:r>
          </w:p>
        </w:tc>
        <w:tc>
          <w:tcPr>
            <w:tcW w:w="0" w:type="dxa"/>
            <w:vAlign w:val="bottom"/>
          </w:tcPr>
          <w:p>
            <w:pPr>
              <w:spacing w:after="0"/>
              <w:rPr>
                <w:sz w:val="1"/>
                <w:szCs w:val="1"/>
                <w:color w:val="auto"/>
              </w:rPr>
            </w:pPr>
          </w:p>
        </w:tc>
      </w:tr>
      <w:tr>
        <w:trPr>
          <w:trHeight w:val="95"/>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Exchange of Class B, Class C and Class D units for Class A common stock</w:t>
            </w:r>
          </w:p>
        </w:tc>
        <w:tc>
          <w:tcPr>
            <w:tcW w:w="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and redemption of corresponding Class B common stock</w:t>
            </w:r>
          </w:p>
        </w:tc>
        <w:tc>
          <w:tcPr>
            <w:tcW w:w="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Purchase of non-controlling interests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(3,766)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(10,319)</w:t>
            </w:r>
          </w:p>
        </w:tc>
        <w:tc>
          <w:tcPr>
            <w:tcW w:w="0" w:type="dxa"/>
            <w:vAlign w:val="bottom"/>
          </w:tcPr>
          <w:p>
            <w:pPr>
              <w:spacing w:after="0"/>
              <w:rPr>
                <w:sz w:val="1"/>
                <w:szCs w:val="1"/>
                <w:color w:val="auto"/>
              </w:rPr>
            </w:pPr>
          </w:p>
        </w:tc>
      </w:tr>
      <w:tr>
        <w:trPr>
          <w:trHeight w:val="95"/>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Class A common stock issued for purchase of asset class non-controlling</w:t>
            </w:r>
          </w:p>
        </w:tc>
        <w:tc>
          <w:tcPr>
            <w:tcW w:w="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interests</w:t>
            </w:r>
          </w:p>
        </w:tc>
        <w:tc>
          <w:tcPr>
            <w:tcW w:w="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Equity reallocation between controlling and non-controlling interests</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64,240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(116,974)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52,224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Deferred tax effect resulting from equity transactions affecting ownership in</w:t>
            </w:r>
          </w:p>
        </w:tc>
        <w:tc>
          <w:tcPr>
            <w:tcW w:w="6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(2,368)</w:t>
            </w:r>
          </w:p>
        </w:tc>
        <w:tc>
          <w:tcPr>
            <w:tcW w:w="0" w:type="dxa"/>
            <w:vAlign w:val="bottom"/>
          </w:tcPr>
          <w:p>
            <w:pPr>
              <w:spacing w:after="0"/>
              <w:rPr>
                <w:sz w:val="1"/>
                <w:szCs w:val="1"/>
                <w:color w:val="auto"/>
              </w:rPr>
            </w:pPr>
          </w:p>
        </w:tc>
      </w:tr>
      <w:tr>
        <w:trPr>
          <w:trHeight w:val="127"/>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the Partnership</w:t>
            </w:r>
            <w:r>
              <w:rPr>
                <w:rFonts w:ascii="Times New Roman" w:cs="Times New Roman" w:eastAsia="Times New Roman" w:hAnsi="Times New Roman"/>
                <w:sz w:val="11"/>
                <w:szCs w:val="11"/>
                <w:color w:val="auto"/>
                <w:vertAlign w:val="superscript"/>
              </w:rPr>
              <w:t>(1)</w:t>
            </w:r>
          </w:p>
        </w:tc>
        <w:tc>
          <w:tcPr>
            <w:tcW w:w="6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760" w:type="dxa"/>
            <w:vAlign w:val="bottom"/>
          </w:tcPr>
          <w:p>
            <w:pPr>
              <w:ind w:left="20"/>
              <w:spacing w:after="0"/>
              <w:rPr>
                <w:sz w:val="20"/>
                <w:szCs w:val="20"/>
                <w:color w:val="auto"/>
              </w:rPr>
            </w:pPr>
            <w:r>
              <w:rPr>
                <w:rFonts w:ascii="Times New Roman" w:cs="Times New Roman" w:eastAsia="Times New Roman" w:hAnsi="Times New Roman"/>
                <w:sz w:val="8"/>
                <w:szCs w:val="8"/>
                <w:color w:val="auto"/>
              </w:rPr>
              <w:t>Balance at December 31, 2025</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80</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rPr>
              <w:t>39</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486,542</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(866,331)</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876</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948,365</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134,147</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(364,049)</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339,669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500" w:hanging="495"/>
        <w:spacing w:after="0"/>
        <w:tabs>
          <w:tab w:leader="none" w:pos="5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notes 10 and 13 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Class A Common</w:t>
            </w:r>
          </w:p>
        </w:tc>
        <w:tc>
          <w:tcPr>
            <w:tcW w:w="60" w:type="dxa"/>
            <w:vAlign w:val="bottom"/>
          </w:tcPr>
          <w:p>
            <w:pPr>
              <w:spacing w:after="0"/>
              <w:rPr>
                <w:sz w:val="7"/>
                <w:szCs w:val="7"/>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Class B Common</w:t>
            </w:r>
          </w:p>
        </w:tc>
        <w:tc>
          <w:tcPr>
            <w:tcW w:w="60" w:type="dxa"/>
            <w:vAlign w:val="bottom"/>
          </w:tcPr>
          <w:p>
            <w:pPr>
              <w:spacing w:after="0"/>
              <w:rPr>
                <w:sz w:val="7"/>
                <w:szCs w:val="7"/>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Additional Paid-in</w:t>
            </w:r>
          </w:p>
        </w:tc>
        <w:tc>
          <w:tcPr>
            <w:tcW w:w="80" w:type="dxa"/>
            <w:vAlign w:val="bottom"/>
          </w:tcPr>
          <w:p>
            <w:pPr>
              <w:spacing w:after="0"/>
              <w:rPr>
                <w:sz w:val="7"/>
                <w:szCs w:val="7"/>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60" w:type="dxa"/>
            <w:vAlign w:val="bottom"/>
          </w:tcPr>
          <w:p>
            <w:pPr>
              <w:spacing w:after="0"/>
              <w:rPr>
                <w:sz w:val="7"/>
                <w:szCs w:val="7"/>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Accumulated Other</w:t>
            </w:r>
          </w:p>
        </w:tc>
        <w:tc>
          <w:tcPr>
            <w:tcW w:w="100" w:type="dxa"/>
            <w:vAlign w:val="bottom"/>
          </w:tcPr>
          <w:p>
            <w:pPr>
              <w:spacing w:after="0"/>
              <w:rPr>
                <w:sz w:val="7"/>
                <w:szCs w:val="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7"/>
                <w:szCs w:val="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100" w:type="dxa"/>
            <w:vAlign w:val="bottom"/>
          </w:tcPr>
          <w:p>
            <w:pPr>
              <w:spacing w:after="0"/>
              <w:rPr>
                <w:sz w:val="7"/>
                <w:szCs w:val="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80" w:type="dxa"/>
            <w:vAlign w:val="bottom"/>
          </w:tcPr>
          <w:p>
            <w:pPr>
              <w:spacing w:after="0"/>
              <w:rPr>
                <w:sz w:val="7"/>
                <w:szCs w:val="7"/>
                <w:color w:val="auto"/>
              </w:rPr>
            </w:pPr>
          </w:p>
        </w:tc>
        <w:tc>
          <w:tcPr>
            <w:tcW w:w="820" w:type="dxa"/>
            <w:vAlign w:val="bottom"/>
            <w:vMerge w:val="restart"/>
          </w:tcPr>
          <w:p>
            <w:pPr>
              <w:jc w:val="right"/>
              <w:ind w:right="58"/>
              <w:spacing w:after="0"/>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85"/>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8"/>
                <w:szCs w:val="8"/>
                <w:b w:val="1"/>
                <w:bCs w:val="1"/>
                <w:color w:val="auto"/>
              </w:rPr>
              <w:t>Interests in</w:t>
            </w:r>
          </w:p>
        </w:tc>
        <w:tc>
          <w:tcPr>
            <w:tcW w:w="60" w:type="dxa"/>
            <w:vAlign w:val="bottom"/>
          </w:tcPr>
          <w:p>
            <w:pPr>
              <w:spacing w:after="0"/>
              <w:rPr>
                <w:sz w:val="7"/>
                <w:szCs w:val="7"/>
                <w:color w:val="auto"/>
              </w:rPr>
            </w:pPr>
          </w:p>
        </w:tc>
        <w:tc>
          <w:tcPr>
            <w:tcW w:w="900" w:type="dxa"/>
            <w:vAlign w:val="bottom"/>
            <w:gridSpan w:val="2"/>
          </w:tcPr>
          <w:p>
            <w:pPr>
              <w:jc w:val="center"/>
              <w:ind w:right="140"/>
              <w:spacing w:after="0" w:line="85" w:lineRule="exact"/>
              <w:rPr>
                <w:sz w:val="20"/>
                <w:szCs w:val="20"/>
                <w:color w:val="auto"/>
              </w:rPr>
            </w:pPr>
            <w:r>
              <w:rPr>
                <w:rFonts w:ascii="Times New Roman" w:cs="Times New Roman" w:eastAsia="Times New Roman" w:hAnsi="Times New Roman"/>
                <w:sz w:val="8"/>
                <w:szCs w:val="8"/>
                <w:b w:val="1"/>
                <w:bCs w:val="1"/>
                <w:color w:val="auto"/>
              </w:rPr>
              <w:t>Interests in Legacy</w:t>
            </w:r>
          </w:p>
        </w:tc>
        <w:tc>
          <w:tcPr>
            <w:tcW w:w="100" w:type="dxa"/>
            <w:vAlign w:val="bottom"/>
          </w:tcPr>
          <w:p>
            <w:pPr>
              <w:spacing w:after="0"/>
              <w:rPr>
                <w:sz w:val="7"/>
                <w:szCs w:val="7"/>
                <w:color w:val="auto"/>
              </w:rPr>
            </w:pPr>
          </w:p>
        </w:tc>
        <w:tc>
          <w:tcPr>
            <w:tcW w:w="88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8"/>
                <w:szCs w:val="8"/>
                <w:b w:val="1"/>
                <w:bCs w:val="1"/>
                <w:color w:val="auto"/>
              </w:rPr>
              <w:t>Interests in the</w:t>
            </w: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60" w:type="dxa"/>
            <w:vAlign w:val="bottom"/>
          </w:tcPr>
          <w:p>
            <w:pPr>
              <w:spacing w:after="0"/>
              <w:rPr>
                <w:sz w:val="10"/>
                <w:szCs w:val="1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Comprehensive Income</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6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Greenspring Entities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Partnership</w:t>
            </w:r>
          </w:p>
        </w:tc>
        <w:tc>
          <w:tcPr>
            <w:tcW w:w="80" w:type="dxa"/>
            <w:vAlign w:val="bottom"/>
          </w:tcPr>
          <w:p>
            <w:pPr>
              <w:spacing w:after="0"/>
              <w:rPr>
                <w:sz w:val="10"/>
                <w:szCs w:val="10"/>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27"/>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at September 30, 2024</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393,115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3,992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1,021,775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150,852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218,391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1,788,477</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income (loss)</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(192,015)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27,226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(134,760)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(298,382)</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Other comprehensive income</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210</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Contributed capital</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7,078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7,579</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Equity-based compensation</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1,690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2,920</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Distributions</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(19,959)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(14,099)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(38,464)</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Dividends declared</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(17,651)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(17,651)</w:t>
            </w:r>
          </w:p>
        </w:tc>
        <w:tc>
          <w:tcPr>
            <w:tcW w:w="0" w:type="dxa"/>
            <w:vAlign w:val="bottom"/>
          </w:tcPr>
          <w:p>
            <w:pPr>
              <w:spacing w:after="0"/>
              <w:rPr>
                <w:sz w:val="1"/>
                <w:szCs w:val="1"/>
                <w:color w:val="auto"/>
              </w:rPr>
            </w:pPr>
          </w:p>
        </w:tc>
      </w:tr>
      <w:tr>
        <w:trPr>
          <w:trHeight w:val="86"/>
        </w:trPr>
        <w:tc>
          <w:tcPr>
            <w:tcW w:w="2740" w:type="dxa"/>
            <w:vAlign w:val="bottom"/>
          </w:tcPr>
          <w:p>
            <w:pPr>
              <w:ind w:left="100"/>
              <w:spacing w:after="0" w:line="86" w:lineRule="exact"/>
              <w:rPr>
                <w:sz w:val="20"/>
                <w:szCs w:val="20"/>
                <w:color w:val="auto"/>
              </w:rPr>
            </w:pPr>
            <w:r>
              <w:rPr>
                <w:rFonts w:ascii="Times New Roman" w:cs="Times New Roman" w:eastAsia="Times New Roman" w:hAnsi="Times New Roman"/>
                <w:sz w:val="8"/>
                <w:szCs w:val="8"/>
                <w:color w:val="auto"/>
              </w:rPr>
              <w:t>Exchange of Class B, Class C and Class D units for Class A common stock</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17"/>
        </w:trPr>
        <w:tc>
          <w:tcPr>
            <w:tcW w:w="2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and redemption of corresponding Class B common stock</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 reallocation between controlling and non-controlling interests</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14,891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(14,891)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5"/>
        </w:trPr>
        <w:tc>
          <w:tcPr>
            <w:tcW w:w="2740" w:type="dxa"/>
            <w:vAlign w:val="bottom"/>
          </w:tcPr>
          <w:p>
            <w:pPr>
              <w:ind w:left="100"/>
              <w:spacing w:after="0" w:line="85" w:lineRule="exact"/>
              <w:rPr>
                <w:sz w:val="20"/>
                <w:szCs w:val="20"/>
                <w:color w:val="auto"/>
              </w:rPr>
            </w:pPr>
            <w:r>
              <w:rPr>
                <w:rFonts w:ascii="Times New Roman" w:cs="Times New Roman" w:eastAsia="Times New Roman" w:hAnsi="Times New Roman"/>
                <w:sz w:val="8"/>
                <w:szCs w:val="8"/>
                <w:color w:val="auto"/>
              </w:rPr>
              <w:t>Deferred tax effect resulting from equity transactions affecting ownership in</w:t>
            </w:r>
          </w:p>
        </w:tc>
        <w:tc>
          <w:tcPr>
            <w:tcW w:w="80" w:type="dxa"/>
            <w:vAlign w:val="bottom"/>
          </w:tcPr>
          <w:p>
            <w:pPr>
              <w:spacing w:after="0"/>
              <w:rPr>
                <w:sz w:val="7"/>
                <w:szCs w:val="7"/>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74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5,366</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5,366</w:t>
            </w:r>
          </w:p>
        </w:tc>
        <w:tc>
          <w:tcPr>
            <w:tcW w:w="0" w:type="dxa"/>
            <w:vAlign w:val="bottom"/>
          </w:tcPr>
          <w:p>
            <w:pPr>
              <w:spacing w:after="0"/>
              <w:rPr>
                <w:sz w:val="1"/>
                <w:szCs w:val="1"/>
                <w:color w:val="auto"/>
              </w:rPr>
            </w:pPr>
          </w:p>
        </w:tc>
      </w:tr>
      <w:tr>
        <w:trPr>
          <w:trHeight w:val="127"/>
        </w:trPr>
        <w:tc>
          <w:tcPr>
            <w:tcW w:w="2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the Partnership</w:t>
            </w:r>
            <w:r>
              <w:rPr>
                <w:rFonts w:ascii="Times New Roman" w:cs="Times New Roman" w:eastAsia="Times New Roman" w:hAnsi="Times New Roman"/>
                <w:sz w:val="11"/>
                <w:szCs w:val="11"/>
                <w:color w:val="auto"/>
                <w:vertAlign w:val="superscript"/>
              </w:rPr>
              <w:t>(1)</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at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415,059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(205,674)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1,051,919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132,561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55,730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1,450,052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at March 31,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310,293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13,768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974,559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147,042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208,514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1,654,591</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income (loss)</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(161,055)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62,966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(107,856)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(210,064)</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Other comprehensive income (loss)</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Contributed capital</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7,078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19,247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26,325</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Equity-based compensation</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7,803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13,928</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Distributions</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(35,554)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(29,609)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(61,374)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(126,537)</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Dividends declared</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(58,387)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(58,387)</w:t>
            </w: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Vesting of RSUs, net of shares withheld for taxes</w:t>
            </w: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(1,123)</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Class A common stock issued under ESPP</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684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1,115</w:t>
            </w:r>
          </w:p>
        </w:tc>
        <w:tc>
          <w:tcPr>
            <w:tcW w:w="0" w:type="dxa"/>
            <w:vAlign w:val="bottom"/>
          </w:tcPr>
          <w:p>
            <w:pPr>
              <w:spacing w:after="0"/>
              <w:rPr>
                <w:sz w:val="1"/>
                <w:szCs w:val="1"/>
                <w:color w:val="auto"/>
              </w:rPr>
            </w:pPr>
          </w:p>
        </w:tc>
      </w:tr>
      <w:tr>
        <w:trPr>
          <w:trHeight w:val="86"/>
        </w:trPr>
        <w:tc>
          <w:tcPr>
            <w:tcW w:w="2740" w:type="dxa"/>
            <w:vAlign w:val="bottom"/>
          </w:tcPr>
          <w:p>
            <w:pPr>
              <w:ind w:left="100"/>
              <w:spacing w:after="0" w:line="86" w:lineRule="exact"/>
              <w:rPr>
                <w:sz w:val="20"/>
                <w:szCs w:val="20"/>
                <w:color w:val="auto"/>
              </w:rPr>
            </w:pPr>
            <w:r>
              <w:rPr>
                <w:rFonts w:ascii="Times New Roman" w:cs="Times New Roman" w:eastAsia="Times New Roman" w:hAnsi="Times New Roman"/>
                <w:sz w:val="8"/>
                <w:szCs w:val="8"/>
                <w:color w:val="auto"/>
              </w:rPr>
              <w:t>Exchange of Class B, Class C and Class D units for Class A common stock</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17"/>
        </w:trPr>
        <w:tc>
          <w:tcPr>
            <w:tcW w:w="2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and redemption of corresponding Class B common stock</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Vesting of Class B2 units and issuance of corresponding Class B common</w:t>
            </w: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stock at par value</w:t>
            </w: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Purchase of non-controlling interests</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(3,149)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(2,249)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(5,398)</w:t>
            </w:r>
          </w:p>
        </w:tc>
        <w:tc>
          <w:tcPr>
            <w:tcW w:w="0" w:type="dxa"/>
            <w:vAlign w:val="bottom"/>
          </w:tcPr>
          <w:p>
            <w:pPr>
              <w:spacing w:after="0"/>
              <w:rPr>
                <w:sz w:val="1"/>
                <w:szCs w:val="1"/>
                <w:color w:val="auto"/>
              </w:rPr>
            </w:pPr>
          </w:p>
        </w:tc>
      </w:tr>
      <w:tr>
        <w:trPr>
          <w:trHeight w:val="95"/>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Settlement of non-controlling interests related to awards of carried interest</w:t>
            </w: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54,977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54,977</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allocations</w:t>
            </w: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Redemption of redeemable non-controlling interests in subsidiaries</w:t>
            </w:r>
          </w:p>
        </w:tc>
        <w:tc>
          <w:tcPr>
            <w:tcW w:w="8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55,879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41,504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97,383</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 reallocation between controlling and non-controlling interests</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40,987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(12,666)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(28,321)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5"/>
        </w:trPr>
        <w:tc>
          <w:tcPr>
            <w:tcW w:w="2740" w:type="dxa"/>
            <w:vAlign w:val="bottom"/>
          </w:tcPr>
          <w:p>
            <w:pPr>
              <w:ind w:left="100"/>
              <w:spacing w:after="0" w:line="85" w:lineRule="exact"/>
              <w:rPr>
                <w:sz w:val="20"/>
                <w:szCs w:val="20"/>
                <w:color w:val="auto"/>
              </w:rPr>
            </w:pPr>
            <w:r>
              <w:rPr>
                <w:rFonts w:ascii="Times New Roman" w:cs="Times New Roman" w:eastAsia="Times New Roman" w:hAnsi="Times New Roman"/>
                <w:sz w:val="8"/>
                <w:szCs w:val="8"/>
                <w:color w:val="auto"/>
              </w:rPr>
              <w:t>Deferred tax effect resulting from equity transactions affecting ownership in</w:t>
            </w:r>
          </w:p>
        </w:tc>
        <w:tc>
          <w:tcPr>
            <w:tcW w:w="80" w:type="dxa"/>
            <w:vAlign w:val="bottom"/>
          </w:tcPr>
          <w:p>
            <w:pPr>
              <w:spacing w:after="0"/>
              <w:rPr>
                <w:sz w:val="7"/>
                <w:szCs w:val="7"/>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74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3,244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3,244</w:t>
            </w:r>
          </w:p>
        </w:tc>
        <w:tc>
          <w:tcPr>
            <w:tcW w:w="0" w:type="dxa"/>
            <w:vAlign w:val="bottom"/>
          </w:tcPr>
          <w:p>
            <w:pPr>
              <w:spacing w:after="0"/>
              <w:rPr>
                <w:sz w:val="1"/>
                <w:szCs w:val="1"/>
                <w:color w:val="auto"/>
              </w:rPr>
            </w:pPr>
          </w:p>
        </w:tc>
      </w:tr>
      <w:tr>
        <w:trPr>
          <w:trHeight w:val="127"/>
        </w:trPr>
        <w:tc>
          <w:tcPr>
            <w:tcW w:w="2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the Partnership</w:t>
            </w:r>
            <w:r>
              <w:rPr>
                <w:rFonts w:ascii="Times New Roman" w:cs="Times New Roman" w:eastAsia="Times New Roman" w:hAnsi="Times New Roman"/>
                <w:sz w:val="11"/>
                <w:szCs w:val="11"/>
                <w:color w:val="auto"/>
                <w:vertAlign w:val="superscript"/>
              </w:rPr>
              <w:t>(1)</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at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415,059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(205,674)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1,051,919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132,561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55,730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1,450,052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500" w:hanging="495"/>
        <w:spacing w:after="0"/>
        <w:tabs>
          <w:tab w:leader="none" w:pos="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notes 10 and 13 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1"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580" w:type="dxa"/>
            <w:vAlign w:val="bottom"/>
            <w:tcBorders>
              <w:bottom w:val="single" w:sz="8" w:color="auto"/>
            </w:tcBorders>
          </w:tcPr>
          <w:p>
            <w:pPr>
              <w:spacing w:after="0"/>
              <w:rPr>
                <w:sz w:val="14"/>
                <w:szCs w:val="14"/>
                <w:color w:val="auto"/>
              </w:rPr>
            </w:pPr>
          </w:p>
        </w:tc>
      </w:tr>
      <w:tr>
        <w:trPr>
          <w:trHeight w:val="161"/>
        </w:trPr>
        <w:tc>
          <w:tcPr>
            <w:tcW w:w="79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r>
      <w:tr>
        <w:trPr>
          <w:trHeight w:val="15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ind w:right="82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(749,936)</w:t>
            </w:r>
          </w:p>
        </w:tc>
        <w:tc>
          <w:tcPr>
            <w:tcW w:w="220" w:type="dxa"/>
            <w:vAlign w:val="bottom"/>
          </w:tcPr>
          <w:p>
            <w:pPr>
              <w:spacing w:after="0"/>
              <w:rPr>
                <w:sz w:val="14"/>
                <w:szCs w:val="14"/>
                <w:color w:val="auto"/>
              </w:rPr>
            </w:pP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(185,980)</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34,087</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carried interest allocations and investment income</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(366,386)</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(121,324)</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legacy Greenspring carried interest allocations and investment (income) loss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54,718</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performance fee-related compensation</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201,826</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66,495</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legacy Greenspring performance fee-related compensation</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38,271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(43,793)</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1,437,539</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529,788</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deferred income taxes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(168,607)</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(57,563)</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adjustment for acquisition-related contingent consideration</w:t>
            </w:r>
          </w:p>
        </w:tc>
        <w:tc>
          <w:tcPr>
            <w:tcW w:w="9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16,062</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Adjustments to reconcile net loss to net cash used in operating activities of Consolidated Funds: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investment income of Consolidated Funds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(87,538)</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(28,149)</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investments of Consolidated Funds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(229,273)</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(165,967)</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investments of Consolidated Funds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5,492</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(6,752)</w:t>
            </w:r>
          </w:p>
        </w:tc>
      </w:tr>
      <w:tr>
        <w:trPr>
          <w:trHeight w:val="172"/>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Due from affiliates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(239,616)</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(29,059)</w:t>
            </w: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(6,575)</w:t>
            </w:r>
          </w:p>
        </w:tc>
      </w:tr>
      <w:tr>
        <w:trPr>
          <w:trHeight w:val="172"/>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(4,714)</w:t>
            </w: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244,577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72,980</w:t>
            </w:r>
          </w:p>
        </w:tc>
      </w:tr>
      <w:tr>
        <w:trPr>
          <w:trHeight w:val="172"/>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Due to affiliates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Lease right-of-use assets, net and lease liabilities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Changes in operating assets and liabilities of Consolidated Funds: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r>
      <w:tr>
        <w:trPr>
          <w:trHeight w:val="172"/>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liabilities and payables</w:t>
            </w:r>
          </w:p>
        </w:tc>
        <w:tc>
          <w:tcPr>
            <w:tcW w:w="9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(11,004)</w:t>
            </w:r>
          </w:p>
        </w:tc>
        <w:tc>
          <w:tcPr>
            <w:tcW w:w="2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r>
      <w:tr>
        <w:trPr>
          <w:trHeight w:val="158"/>
        </w:trPr>
        <w:tc>
          <w:tcPr>
            <w:tcW w:w="7940" w:type="dxa"/>
            <w:vAlign w:val="bottom"/>
            <w:tcBorders>
              <w:bottom w:val="single" w:sz="8" w:color="CCEEFF"/>
            </w:tcBorders>
          </w:tcPr>
          <w:p>
            <w:pPr>
              <w:ind w:left="520"/>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89,681</w:t>
            </w:r>
          </w:p>
        </w:tc>
        <w:tc>
          <w:tcPr>
            <w:tcW w:w="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131,451</w:t>
            </w:r>
          </w:p>
        </w:tc>
      </w:tr>
      <w:tr>
        <w:trPr>
          <w:trHeight w:val="1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to investments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(47,182)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(47,011)</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received from investments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11,635</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9,218</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to investments in legacy Greenspring entities</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(19,247)</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received from investments in legacy Greenspring entities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22,803</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derecognized from deconsolidation of fund</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(52,365)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w:t>
            </w: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9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7940" w:type="dxa"/>
            <w:vAlign w:val="bottom"/>
            <w:tcBorders>
              <w:top w:val="single" w:sz="8" w:color="CCEEFF"/>
            </w:tcBorders>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(88,840)</w:t>
            </w:r>
          </w:p>
        </w:tc>
        <w:tc>
          <w:tcPr>
            <w:tcW w:w="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(36,671)</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1"/>
        </w:trPr>
        <w:tc>
          <w:tcPr>
            <w:tcW w:w="7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capital contributions from non-controlling interests</w:t>
            </w: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2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7,078</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non-controlling interests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(10,319)</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(5,398)</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of redeemable non-controlling interests</w:t>
            </w:r>
          </w:p>
        </w:tc>
        <w:tc>
          <w:tcPr>
            <w:tcW w:w="36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(12,968)</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revolving credit facility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Class A common stock of shares under ESPP</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notes payable</w:t>
            </w:r>
          </w:p>
        </w:tc>
        <w:tc>
          <w:tcPr>
            <w:tcW w:w="3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financing costs</w:t>
            </w:r>
          </w:p>
        </w:tc>
        <w:tc>
          <w:tcPr>
            <w:tcW w:w="36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(5,401)</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(125,363)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(96,928)</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capital contributions to legacy Greenspring entities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19,247</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 in legacy Greenspring entities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(29,609)</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 to common stockholders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(94,423)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(57,579)</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taxes related to net settlement of RSUs</w:t>
            </w:r>
          </w:p>
        </w:tc>
        <w:tc>
          <w:tcPr>
            <w:tcW w:w="36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to related parties under Tax Receivable Agreements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(12,565)</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(9,819)</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Cash flows from financing activities of Consolidated Funds: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borrowings on fund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7,872</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fund credit facility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from redeemable non-controlling interests in Consolidated Funds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391,250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169,943</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Redemptions of redeemable non-controlling interests in Consolidated Funds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(53,793)</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(8,845)</w:t>
            </w:r>
          </w:p>
        </w:tc>
        <w:tc>
          <w:tcPr>
            <w:tcW w:w="0" w:type="dxa"/>
            <w:vAlign w:val="bottom"/>
          </w:tcPr>
          <w:p>
            <w:pPr>
              <w:spacing w:after="0"/>
              <w:rPr>
                <w:sz w:val="1"/>
                <w:szCs w:val="1"/>
                <w:color w:val="auto"/>
              </w:rPr>
            </w:pPr>
          </w:p>
        </w:tc>
      </w:tr>
      <w:tr>
        <w:trPr>
          <w:trHeight w:val="158"/>
        </w:trPr>
        <w:tc>
          <w:tcPr>
            <w:tcW w:w="7940" w:type="dxa"/>
            <w:vAlign w:val="bottom"/>
            <w:tcBorders>
              <w:bottom w:val="single" w:sz="8" w:color="CCEEFF"/>
            </w:tcBorders>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95,199</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0" w:type="dxa"/>
            <w:vAlign w:val="bottom"/>
          </w:tcPr>
          <w:p>
            <w:pPr>
              <w:spacing w:after="0"/>
              <w:rPr>
                <w:sz w:val="1"/>
                <w:szCs w:val="1"/>
                <w:color w:val="auto"/>
              </w:rPr>
            </w:pPr>
          </w:p>
        </w:tc>
      </w:tr>
      <w:tr>
        <w:trPr>
          <w:trHeight w:val="163"/>
        </w:trPr>
        <w:tc>
          <w:tcPr>
            <w:tcW w:w="79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Effect of foreign currency exchange rate changes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(7,828)</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88,212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97,192</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289,804</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182,312</w:t>
            </w:r>
          </w:p>
        </w:tc>
        <w:tc>
          <w:tcPr>
            <w:tcW w:w="0" w:type="dxa"/>
            <w:vAlign w:val="bottom"/>
          </w:tcPr>
          <w:p>
            <w:pPr>
              <w:spacing w:after="0"/>
              <w:rPr>
                <w:sz w:val="1"/>
                <w:szCs w:val="1"/>
                <w:color w:val="auto"/>
              </w:rPr>
            </w:pPr>
          </w:p>
        </w:tc>
      </w:tr>
      <w:tr>
        <w:trPr>
          <w:trHeight w:val="158"/>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378,016</w:t>
            </w:r>
          </w:p>
        </w:tc>
        <w:tc>
          <w:tcPr>
            <w:tcW w:w="2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279,504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operating, investing, and financing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dividends</w:t>
            </w: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2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0" w:type="dxa"/>
            <w:vAlign w:val="bottom"/>
          </w:tcPr>
          <w:p>
            <w:pPr>
              <w:spacing w:after="0"/>
              <w:rPr>
                <w:sz w:val="1"/>
                <w:szCs w:val="1"/>
                <w:color w:val="auto"/>
              </w:rPr>
            </w:pPr>
          </w:p>
        </w:tc>
      </w:tr>
      <w:tr>
        <w:trPr>
          <w:trHeight w:val="129"/>
        </w:trPr>
        <w:tc>
          <w:tcPr>
            <w:tcW w:w="79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Deferred tax effect resulting from transactions affecting ownership in the Partnership, including net amounts payable under Tax Receivable</w:t>
            </w: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3,244</w:t>
            </w:r>
          </w:p>
        </w:tc>
        <w:tc>
          <w:tcPr>
            <w:tcW w:w="0" w:type="dxa"/>
            <w:vAlign w:val="bottom"/>
          </w:tcPr>
          <w:p>
            <w:pPr>
              <w:spacing w:after="0"/>
              <w:rPr>
                <w:sz w:val="1"/>
                <w:szCs w:val="1"/>
                <w:color w:val="auto"/>
              </w:rPr>
            </w:pPr>
          </w:p>
        </w:tc>
      </w:tr>
      <w:tr>
        <w:trPr>
          <w:trHeight w:val="102"/>
        </w:trPr>
        <w:tc>
          <w:tcPr>
            <w:tcW w:w="79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Agreements</w:t>
            </w: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9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Settlement of non-controlling interests related to awards of carried interest allocations</w:t>
            </w:r>
          </w:p>
        </w:tc>
        <w:tc>
          <w:tcPr>
            <w:tcW w:w="36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54,977</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Equity issued for redemption of redeemable non-controlling interests</w:t>
            </w:r>
          </w:p>
        </w:tc>
        <w:tc>
          <w:tcPr>
            <w:tcW w:w="3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97,383</w:t>
            </w:r>
          </w:p>
        </w:tc>
        <w:tc>
          <w:tcPr>
            <w:tcW w:w="0" w:type="dxa"/>
            <w:vAlign w:val="bottom"/>
          </w:tcPr>
          <w:p>
            <w:pPr>
              <w:spacing w:after="0"/>
              <w:rPr>
                <w:sz w:val="1"/>
                <w:szCs w:val="1"/>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Equity issued for purchase of non-controlling interests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160,876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and restricted cash:</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266,075</w:t>
            </w:r>
          </w:p>
        </w:tc>
        <w:tc>
          <w:tcPr>
            <w:tcW w:w="2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223,103</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Restricted cash</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0" w:type="dxa"/>
            <w:vAlign w:val="bottom"/>
          </w:tcPr>
          <w:p>
            <w:pPr>
              <w:spacing w:after="0"/>
              <w:rPr>
                <w:sz w:val="1"/>
                <w:szCs w:val="1"/>
                <w:color w:val="auto"/>
              </w:rPr>
            </w:pPr>
          </w:p>
        </w:tc>
      </w:tr>
      <w:tr>
        <w:trPr>
          <w:trHeight w:val="168"/>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Cash and cash equivalents of Consolidated Funds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111,377</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55,681</w:t>
            </w:r>
          </w:p>
        </w:tc>
        <w:tc>
          <w:tcPr>
            <w:tcW w:w="0" w:type="dxa"/>
            <w:vAlign w:val="bottom"/>
          </w:tcPr>
          <w:p>
            <w:pPr>
              <w:spacing w:after="0"/>
              <w:rPr>
                <w:sz w:val="1"/>
                <w:szCs w:val="1"/>
                <w:color w:val="auto"/>
              </w:rPr>
            </w:pPr>
          </w:p>
        </w:tc>
      </w:tr>
      <w:tr>
        <w:trPr>
          <w:trHeight w:val="185"/>
        </w:trPr>
        <w:tc>
          <w:tcPr>
            <w:tcW w:w="7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378,016</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279,504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3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Organization</w:t>
      </w:r>
    </w:p>
    <w:p>
      <w:pPr>
        <w:spacing w:after="0" w:line="17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6"/>
          <w:szCs w:val="16"/>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5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54" w:lineRule="exact"/>
        <w:rPr>
          <w:sz w:val="20"/>
          <w:szCs w:val="20"/>
          <w:color w:val="auto"/>
        </w:rPr>
      </w:pPr>
    </w:p>
    <w:p>
      <w:pPr>
        <w:ind w:right="340" w:firstLine="509"/>
        <w:spacing w:after="0" w:line="259" w:lineRule="auto"/>
        <w:rPr>
          <w:sz w:val="20"/>
          <w:szCs w:val="20"/>
          <w:color w:val="auto"/>
        </w:rPr>
      </w:pPr>
      <w:r>
        <w:rPr>
          <w:rFonts w:ascii="Times New Roman" w:cs="Times New Roman" w:eastAsia="Times New Roman" w:hAnsi="Times New Roman"/>
          <w:sz w:val="16"/>
          <w:szCs w:val="16"/>
          <w:color w:val="auto"/>
        </w:rPr>
        <w:t>The Company, through its subsidiaries, acts as the investment advisor and general partner or managing member to separately managed accounts (“SMAs”) and focused commingled funds (collectively, the “StepStone Funds”).</w:t>
      </w:r>
    </w:p>
    <w:p>
      <w:pPr>
        <w:spacing w:after="0" w:line="14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and Class B common stock is entitled to one vote. As of December 31, 2025, SSG held approximately 65.7%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84"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Summary of Significant Accounting Policies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6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2025 filed with the Securities and Exchange Commission (“SEC”).</w:t>
      </w:r>
    </w:p>
    <w:p>
      <w:pPr>
        <w:spacing w:after="0" w:line="157"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Consolidation</w:t>
      </w:r>
    </w:p>
    <w:p>
      <w:pPr>
        <w:spacing w:after="0" w:line="17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6"/>
          <w:szCs w:val="16"/>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56"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84"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44" w:lineRule="exact"/>
        <w:rPr>
          <w:sz w:val="20"/>
          <w:szCs w:val="20"/>
          <w:color w:val="auto"/>
        </w:rPr>
      </w:pPr>
    </w:p>
    <w:p>
      <w:pPr>
        <w:ind w:right="140" w:firstLine="509"/>
        <w:spacing w:after="0" w:line="251" w:lineRule="auto"/>
        <w:rPr>
          <w:sz w:val="20"/>
          <w:szCs w:val="20"/>
          <w:color w:val="auto"/>
        </w:rPr>
      </w:pPr>
      <w:r>
        <w:rPr>
          <w:rFonts w:ascii="Times New Roman" w:cs="Times New Roman" w:eastAsia="Times New Roman" w:hAnsi="Times New Roman"/>
          <w:sz w:val="16"/>
          <w:szCs w:val="16"/>
          <w:color w:val="auto"/>
        </w:rPr>
        <w:t>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41"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54"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6"/>
          <w:szCs w:val="16"/>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p>
      <w:pPr>
        <w:spacing w:after="0" w:line="16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6"/>
          <w:szCs w:val="16"/>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right="420"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subsidiaries </w:t>
      </w:r>
      <w:r>
        <w:rPr>
          <w:rFonts w:ascii="Times New Roman" w:cs="Times New Roman" w:eastAsia="Times New Roman" w:hAnsi="Times New Roman"/>
          <w:sz w:val="16"/>
          <w:szCs w:val="16"/>
          <w:color w:val="auto"/>
        </w:rPr>
        <w:t>represent the economic interests in the consolidated subsidiaries of the Partnership held by 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4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legacy Greenspring entities </w:t>
      </w:r>
      <w:r>
        <w:rPr>
          <w:rFonts w:ascii="Times New Roman" w:cs="Times New Roman" w:eastAsia="Times New Roman" w:hAnsi="Times New Roman"/>
          <w:sz w:val="16"/>
          <w:szCs w:val="16"/>
          <w:color w:val="auto"/>
        </w:rPr>
        <w:t>represent the economic interests in the legacy Greenspring general partner entities. The Company did not acquire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4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the Partnership </w:t>
      </w:r>
      <w:r>
        <w:rPr>
          <w:rFonts w:ascii="Times New Roman" w:cs="Times New Roman" w:eastAsia="Times New Roman" w:hAnsi="Times New Roman"/>
          <w:sz w:val="16"/>
          <w:szCs w:val="16"/>
          <w:color w:val="auto"/>
        </w:rPr>
        <w:t>represent the economic interests related to the Class B, Class C and Class D units of the Partnership which are not owned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3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Redeemable non-controlling interests in Consolidated Funds </w:t>
      </w:r>
      <w:r>
        <w:rPr>
          <w:rFonts w:ascii="Times New Roman" w:cs="Times New Roman" w:eastAsia="Times New Roman" w:hAnsi="Times New Roman"/>
          <w:sz w:val="16"/>
          <w:szCs w:val="16"/>
          <w:color w:val="auto"/>
        </w:rPr>
        <w:t>represent the economic interests in the Consolidated Funds which are not held by SSG, but are held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3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Redeemable non-controlling interests in subsidiaries </w:t>
      </w:r>
      <w:r>
        <w:rPr>
          <w:rFonts w:ascii="Times New Roman" w:cs="Times New Roman" w:eastAsia="Times New Roman" w:hAnsi="Times New Roman"/>
          <w:sz w:val="16"/>
          <w:szCs w:val="16"/>
          <w:color w:val="auto"/>
        </w:rPr>
        <w:t>represent the redeemable economic interests in the consolidated subsidiaries of the Partnership held by third parties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Accounting for Differing Fiscal Periods</w:t>
      </w:r>
    </w:p>
    <w:p>
      <w:pPr>
        <w:spacing w:after="0" w:line="16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December 31, 2025, the Company used the September 30, 2025 unaudited financial statements of the StepStone Funds, which reflect the underlying private market funds as of September 30, 2025, to record its investments (including any carried interest allocated from those investments), as adjusted for capital contributions and distributions during the three-month lag period ended December 31, 2025.</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does not account for management and advisory fees or incentive fees on a three-month lag.</w:t>
      </w:r>
    </w:p>
    <w:p>
      <w:pPr>
        <w:spacing w:after="0" w:line="177"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6"/>
          <w:szCs w:val="16"/>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8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Current Events</w:t>
      </w:r>
    </w:p>
    <w:p>
      <w:pPr>
        <w:spacing w:after="0" w:line="179"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6"/>
          <w:szCs w:val="16"/>
          <w:color w:val="auto"/>
        </w:rPr>
        <w:t>In the second half of 2025, financial markets continued to experience significant volatility in response to the uncertainty of the economic impact from U.S. trade policy developments including the announcement and implementation of increases on tariffs charged by the U.S. on certain imports and the weakening of the U.S. dollar against several major foreign currencies. Despite elevated levels of inflation, slowing global growth and elevated long-term rates, unemployment has remained low, and the U.S. economy has continued to grow throughout calendar year 2025.</w:t>
      </w:r>
    </w:p>
    <w:p>
      <w:pPr>
        <w:spacing w:after="0" w:line="15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6"/>
          <w:szCs w:val="16"/>
          <w:color w:val="auto"/>
        </w:rPr>
        <w:t>On July 4, 2025, the One Big Beautiful Bill Act was enacted in the United States, which includes extensive amendments to existing tax laws applicable to businesses. The relevant provisions were included in the Company’s income tax provision for the three and nine months ended December 31, 2025 and did not have a significant impact on the Company’s condensed consolidated financial statements. The Company will continue to evaluate the effect of the new legislation but does not expect the legislation to have a significant effect on the condensed consolidated financial statements for the full year ending March 31, 2026.</w:t>
      </w:r>
    </w:p>
    <w:p>
      <w:pPr>
        <w:spacing w:after="0" w:line="133"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The Company is continuing to closely monitor developments related to inflation, decreasing but still elevated interest rates, trade, regulatory and other governmental policy, fluctuations in foreign currency exchange rates, banking system volatility, geopolitical tension, unrest or conflicts, including in or with China, Russia, Ukraine, Europe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the overall economy and the Company’s condensed consolidated financial statements.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6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6"/>
          <w:szCs w:val="16"/>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40" w:lineRule="exact"/>
        <w:rPr>
          <w:sz w:val="20"/>
          <w:szCs w:val="20"/>
          <w:color w:val="auto"/>
        </w:rPr>
      </w:pPr>
    </w:p>
    <w:p>
      <w:pPr>
        <w:ind w:right="200" w:firstLine="509"/>
        <w:spacing w:after="0" w:line="273" w:lineRule="auto"/>
        <w:rPr>
          <w:sz w:val="20"/>
          <w:szCs w:val="20"/>
          <w:color w:val="auto"/>
        </w:rPr>
      </w:pPr>
      <w:r>
        <w:rPr>
          <w:rFonts w:ascii="Times New Roman" w:cs="Times New Roman" w:eastAsia="Times New Roman" w:hAnsi="Times New Roman"/>
          <w:sz w:val="16"/>
          <w:szCs w:val="16"/>
          <w:color w:val="auto"/>
        </w:rPr>
        <w:t>Financial instruments measured and reported at fair value are classified and disclosed based on the observability of inputs used in the determination of their fair values, as follows:</w:t>
      </w:r>
    </w:p>
    <w:p>
      <w:pPr>
        <w:spacing w:after="0" w:line="133" w:lineRule="exact"/>
        <w:rPr>
          <w:sz w:val="20"/>
          <w:szCs w:val="20"/>
          <w:color w:val="auto"/>
        </w:rPr>
      </w:pPr>
    </w:p>
    <w:p>
      <w:pPr>
        <w:ind w:left="500" w:hanging="240"/>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I – Pricing inputs are unadjusted, quoted prices in active markets for identical assets or liabilities as of the measurement date.</w:t>
      </w:r>
    </w:p>
    <w:p>
      <w:pPr>
        <w:spacing w:after="0" w:line="166" w:lineRule="exact"/>
        <w:rPr>
          <w:rFonts w:ascii="Times New Roman" w:cs="Times New Roman" w:eastAsia="Times New Roman" w:hAnsi="Times New Roman"/>
          <w:sz w:val="16"/>
          <w:szCs w:val="16"/>
          <w:color w:val="auto"/>
        </w:rPr>
      </w:pPr>
    </w:p>
    <w:p>
      <w:pPr>
        <w:ind w:left="520" w:right="100" w:hanging="260"/>
        <w:spacing w:after="0" w:line="254" w:lineRule="auto"/>
        <w:tabs>
          <w:tab w:leader="none" w:pos="5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47" w:lineRule="exact"/>
        <w:rPr>
          <w:rFonts w:ascii="Times New Roman" w:cs="Times New Roman" w:eastAsia="Times New Roman" w:hAnsi="Times New Roman"/>
          <w:sz w:val="16"/>
          <w:szCs w:val="16"/>
          <w:color w:val="auto"/>
        </w:rPr>
      </w:pPr>
    </w:p>
    <w:p>
      <w:pPr>
        <w:ind w:left="520" w:right="180" w:hanging="260"/>
        <w:spacing w:after="0" w:line="273" w:lineRule="auto"/>
        <w:tabs>
          <w:tab w:leader="none" w:pos="5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40"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6"/>
          <w:szCs w:val="16"/>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4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color w:val="auto"/>
        </w:rPr>
        <w:t>The Company considers its cash, cash equivalents, restricted cash, fees and accounts receivable, accounts payable, investments, notes payable, and revolving credit facility to be financial instruments. The carrying amounts of cash, cash equivalents, restricted cash, fees and accounts receivable and accounts payable equal or approximate their fair values due to their nature and/or the relatively short period over which they are held. See note 8 for additional details regarding the fair value of the Company’s notes payable and revolving credit facility balances.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68" w:lineRule="exact"/>
        <w:rPr>
          <w:sz w:val="20"/>
          <w:szCs w:val="20"/>
          <w:color w:val="auto"/>
        </w:rPr>
      </w:pPr>
    </w:p>
    <w:p>
      <w:pPr>
        <w:ind w:right="200" w:firstLine="509"/>
        <w:spacing w:after="0" w:line="273" w:lineRule="auto"/>
        <w:rPr>
          <w:sz w:val="20"/>
          <w:szCs w:val="20"/>
          <w:color w:val="auto"/>
        </w:rPr>
      </w:pPr>
      <w:r>
        <w:rPr>
          <w:rFonts w:ascii="Times New Roman" w:cs="Times New Roman" w:eastAsia="Times New Roman" w:hAnsi="Times New Roman"/>
          <w:sz w:val="16"/>
          <w:szCs w:val="16"/>
          <w:color w:val="auto"/>
        </w:rPr>
        <w:t>Restricted cash consists of cash that the Company is contractually obligated to maintain to secure its letters of credit used primarily related to its office facilities and other obligations.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16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6"/>
          <w:szCs w:val="16"/>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59" w:lineRule="exact"/>
        <w:rPr>
          <w:sz w:val="20"/>
          <w:szCs w:val="20"/>
          <w:color w:val="auto"/>
        </w:rPr>
      </w:pPr>
    </w:p>
    <w:p>
      <w:pPr>
        <w:jc w:val="both"/>
        <w:ind w:right="100" w:firstLine="509"/>
        <w:spacing w:after="0" w:line="254" w:lineRule="auto"/>
        <w:rPr>
          <w:sz w:val="20"/>
          <w:szCs w:val="20"/>
          <w:color w:val="auto"/>
        </w:rPr>
      </w:pPr>
      <w:r>
        <w:rPr>
          <w:rFonts w:ascii="Times New Roman" w:cs="Times New Roman" w:eastAsia="Times New Roman" w:hAnsi="Times New Roman"/>
          <w:sz w:val="16"/>
          <w:szCs w:val="16"/>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Investments of Consolidated Funds</w:t>
      </w:r>
    </w:p>
    <w:p>
      <w:pPr>
        <w:spacing w:after="0" w:line="17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6"/>
          <w:szCs w:val="16"/>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(loss). In addition, the Consolidated Funds do not consolidate their majority-owned and controlled investments in underlying portfolio companies.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7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4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6"/>
          <w:szCs w:val="16"/>
          <w:color w:val="auto"/>
        </w:rPr>
        <w:t>Operating lease expense associated with minimum lease payments is recognized on a straight-line basis over the lease term in general, administrative and other expenses in the condensed consolidated statements of income (loss). Minimum lease payments for leases with an initial term of twelve months or less are not recorded in the condensed consolidated balance sheets. See note 14 for more information.</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Intangibles and Goodwill</w:t>
      </w:r>
    </w:p>
    <w:p>
      <w:pPr>
        <w:spacing w:after="0" w:line="1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Company’s finite-lived intangible assets consist of acquired contractual rights to earn future management and advisory fee income and client relationships. Finite-lived intangible assets are amortized over their estimated useful lives, which is 10 years. The Company did not have any intangible assets that were deemed to have an indefinite life as of December 31, 2025.</w:t>
      </w:r>
    </w:p>
    <w:p>
      <w:pPr>
        <w:spacing w:after="0" w:line="137" w:lineRule="exact"/>
        <w:rPr>
          <w:sz w:val="20"/>
          <w:szCs w:val="20"/>
          <w:color w:val="auto"/>
        </w:rPr>
      </w:pPr>
    </w:p>
    <w:p>
      <w:pPr>
        <w:ind w:right="460" w:firstLine="509"/>
        <w:spacing w:after="0" w:line="346" w:lineRule="auto"/>
        <w:rPr>
          <w:sz w:val="20"/>
          <w:szCs w:val="20"/>
          <w:color w:val="auto"/>
        </w:rPr>
      </w:pPr>
      <w:r>
        <w:rPr>
          <w:rFonts w:ascii="Times New Roman" w:cs="Times New Roman" w:eastAsia="Times New Roman" w:hAnsi="Times New Roman"/>
          <w:sz w:val="14"/>
          <w:szCs w:val="14"/>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nine months ended December 31, 2025 and 2024.</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84"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6"/>
          <w:szCs w:val="16"/>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66"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6"/>
          <w:szCs w:val="16"/>
          <w:color w:val="auto"/>
        </w:rPr>
        <w:t xml:space="preserve">The Company recognizes revenue in accordance with Accounting Standards Codification Topic 606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Revenue is recognized in a manner that depicts the transfer of promised goods or services to customers and for an 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Management and Advisory Fees, Net</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Company earns management fees for services provided to its SMAs and focused commingled funds. The Company earns advisory fees for services provided to</w:t>
      </w:r>
    </w:p>
    <w:p>
      <w:pPr>
        <w:spacing w:after="0" w:line="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spacing w:after="0" w:line="144"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4"/>
          <w:szCs w:val="14"/>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84"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4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6"/>
          <w:szCs w:val="16"/>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4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6"/>
          <w:szCs w:val="16"/>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50"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6"/>
          <w:szCs w:val="16"/>
          <w:color w:val="auto"/>
        </w:rPr>
        <w:t>The Company may incur certain costs in connection with satisfying its performance obligations for investment management services –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(loss).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Performance Fees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Incentive fees </w:t>
      </w:r>
      <w:r>
        <w:rPr>
          <w:rFonts w:ascii="Times New Roman" w:cs="Times New Roman" w:eastAsia="Times New Roman" w:hAnsi="Times New Roman"/>
          <w:sz w:val="16"/>
          <w:szCs w:val="16"/>
          <w:color w:val="auto"/>
        </w:rPr>
        <w:t>are generally calculated as a percentage of the profits (up to 15%) earned in respect of certain accounts, including certain permanent capital vehicles,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55" w:lineRule="exact"/>
        <w:rPr>
          <w:sz w:val="20"/>
          <w:szCs w:val="20"/>
          <w:color w:val="auto"/>
        </w:rPr>
      </w:pPr>
    </w:p>
    <w:p>
      <w:pPr>
        <w:ind w:right="140" w:firstLine="509"/>
        <w:spacing w:after="0" w:line="292" w:lineRule="auto"/>
        <w:rPr>
          <w:sz w:val="20"/>
          <w:szCs w:val="20"/>
          <w:color w:val="auto"/>
        </w:rPr>
      </w:pPr>
      <w:r>
        <w:rPr>
          <w:rFonts w:ascii="Times New Roman" w:cs="Times New Roman" w:eastAsia="Times New Roman" w:hAnsi="Times New Roman"/>
          <w:sz w:val="14"/>
          <w:szCs w:val="14"/>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22"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Carried interest allocations </w:t>
      </w:r>
      <w:r>
        <w:rPr>
          <w:rFonts w:ascii="Times New Roman" w:cs="Times New Roman" w:eastAsia="Times New Roman" w:hAnsi="Times New Roman"/>
          <w:sz w:val="16"/>
          <w:szCs w:val="16"/>
          <w:color w:val="auto"/>
        </w:rPr>
        <w:t>include the allocation of performance-based fees, commonly referred to as carried interest, to the Company from unaffiliated limited partners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5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6"/>
          <w:szCs w:val="16"/>
          <w:i w:val="1"/>
          <w:iCs w:val="1"/>
          <w:color w:val="231F20"/>
        </w:rPr>
        <w:t xml:space="preserve">Legacy Greenspring carried interest allocations </w:t>
      </w:r>
      <w:r>
        <w:rPr>
          <w:rFonts w:ascii="Times New Roman" w:cs="Times New Roman" w:eastAsia="Times New Roman" w:hAnsi="Times New Roman"/>
          <w:sz w:val="16"/>
          <w:szCs w:val="16"/>
          <w:color w:val="231F20"/>
        </w:rPr>
        <w:t>reflect the allocation of carried interest to legacy Greenspring general partner entities from limited partners in certain legacy</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16"/>
          <w:szCs w:val="16"/>
          <w:color w:val="000000"/>
        </w:rPr>
        <w:t>because it is presumed to have significant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influence as the general partner or managing member</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000000"/>
        </w:rPr>
        <w:t xml:space="preserve"> Accordingly, legacy Greenspring carried interest allocations are not deemed to be within the scope of ASC 606. </w:t>
      </w:r>
      <w:r>
        <w:rPr>
          <w:rFonts w:ascii="Times New Roman" w:cs="Times New Roman" w:eastAsia="Times New Roman" w:hAnsi="Times New Roman"/>
          <w:sz w:val="16"/>
          <w:szCs w:val="16"/>
          <w:color w:val="231F20"/>
        </w:rPr>
        <w:t>The Company</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 (loss).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57"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2025 and March 31, 2025, no material amounts for potential clawback obligations had been accrued.</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16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i w:val="1"/>
          <w:iCs w:val="1"/>
          <w:color w:val="auto"/>
        </w:rPr>
        <w:t xml:space="preserve">Cash-based compensation </w:t>
      </w:r>
      <w:r>
        <w:rPr>
          <w:rFonts w:ascii="Times New Roman" w:cs="Times New Roman" w:eastAsia="Times New Roman" w:hAnsi="Times New Roman"/>
          <w:sz w:val="14"/>
          <w:szCs w:val="14"/>
          <w:color w:val="auto"/>
        </w:rPr>
        <w:t>expense primarily includes salaries, bonuses, employee benefits, cash-based incentive awards and employer-related payroll taxes. Bonuses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accrued over the service period in which they are earned. Expense for cash-based incentive awards granted to employees is recognized and adjusted to fair value over the vesting period to track the performance for one of the Company’s designated investment funds. During fiscal 2025, the Company adopted the StepStone Group LP Evergreen Fund Incentive Plan, under which grants of share unit (“Evergreen Fund Units”) awards entitle the holder to receive shares of one of the Company’s evergreen investment funds, or the cash value thereof, following vesting. The Evergreen Fund Units are accounted for as cash-based incentive awards. During the year ended March 31, 2025, the Company granted Evergreen Fund Unit awards valued at $2.0 million to certain employees of the Company which vest over four years in equal installments subject to continued service through the vesting date. The Company recognized $0.1 million and $0.4 million of expense related to cash-based incentive awards for the three and nine months ended December 31, 2025, respectively. There was no expense recognized related to cash-based incentive awards for the three and nine months ended December 31, 2024.</w:t>
      </w:r>
    </w:p>
    <w:p>
      <w:pPr>
        <w:spacing w:after="0" w:line="12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represents grants of equity-based awards or arrangements to certain employees and directors. The Company accounts for grants of equity-based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awards, including service-based restricted stock units (“RSUs”) and performance-based RSUs (or “PRSUs”), to certain employees and directors at fair value as of the grant date. The Company recognizes non-cash compensation expense attributable to these grants on a straight-line basis over the requisite service and performance period, which is generally the vesting period. Expense related to grants of PRSUs is recognized if it is probable that the performance condition will be satisfied. Expense related to grants of equity-based awards is recognized as equity-based compensation expense in the condensed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84" w:right="37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79"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6"/>
          <w:szCs w:val="16"/>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(loss). As a result, the Partnership does not record U.S. federal and state income taxes on income in the Partnership or its subsidiaries, except for certain local and foreign income taxes discussed above.</w:t>
      </w:r>
    </w:p>
    <w:p>
      <w:pPr>
        <w:spacing w:after="0" w:line="143"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4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6"/>
          <w:szCs w:val="16"/>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4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 xml:space="preserve">The Company is subject to the provisions of ASC Subtopic 740-10, </w:t>
      </w:r>
      <w:r>
        <w:rPr>
          <w:rFonts w:ascii="Times New Roman" w:cs="Times New Roman" w:eastAsia="Times New Roman" w:hAnsi="Times New Roman"/>
          <w:sz w:val="16"/>
          <w:szCs w:val="16"/>
          <w:i w:val="1"/>
          <w:iCs w:val="1"/>
          <w:color w:val="auto"/>
        </w:rPr>
        <w:t>Accounting for Uncertainty in Income Taxes</w:t>
      </w:r>
      <w:r>
        <w:rPr>
          <w:rFonts w:ascii="Times New Roman" w:cs="Times New Roman" w:eastAsia="Times New Roman" w:hAnsi="Times New Roman"/>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(loss). See note 10 for more information.</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has elected to account for global intangible low-taxed income (“GILTI”) earned by foreign subsidiaries in the period the tax is incurred.</w:t>
      </w:r>
    </w:p>
    <w:p>
      <w:pPr>
        <w:spacing w:after="0" w:line="16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6"/>
          <w:szCs w:val="16"/>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GAAP. The Company reviews its tax positions quarterly and adjusts its tax balances as new information becomes available.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Tax Receivable Agreements</w:t>
      </w:r>
    </w:p>
    <w:p>
      <w:pPr>
        <w:spacing w:after="0" w:line="179"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See note 13 for more information.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p>
      <w:pPr>
        <w:spacing w:after="0" w:line="1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6"/>
          <w:szCs w:val="16"/>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500" w:type="dxa"/>
            <w:vAlign w:val="bottom"/>
            <w:tcBorders>
              <w:bottom w:val="single" w:sz="8" w:color="auto"/>
            </w:tcBorders>
          </w:tcPr>
          <w:p>
            <w:pPr>
              <w:spacing w:after="0"/>
              <w:rPr>
                <w:sz w:val="14"/>
                <w:szCs w:val="14"/>
                <w:color w:val="auto"/>
              </w:rPr>
            </w:pPr>
          </w:p>
        </w:tc>
      </w:tr>
      <w:tr>
        <w:trPr>
          <w:trHeight w:val="161"/>
        </w:trPr>
        <w:tc>
          <w:tcPr>
            <w:tcW w:w="74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8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Unrealized gain on defined benefit plan, net</w:t>
            </w:r>
          </w:p>
        </w:tc>
        <w:tc>
          <w:tcPr>
            <w:tcW w:w="1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w:t>
            </w: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80" w:type="dxa"/>
            <w:vAlign w:val="bottom"/>
            <w:tcBorders>
              <w:bottom w:val="single" w:sz="8" w:color="auto"/>
            </w:tcBorders>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179" w:lineRule="exact"/>
        <w:rPr>
          <w:sz w:val="20"/>
          <w:szCs w:val="20"/>
          <w:color w:val="auto"/>
        </w:rPr>
      </w:pPr>
    </w:p>
    <w:p>
      <w:pPr>
        <w:ind w:right="260" w:firstLine="509"/>
        <w:spacing w:after="0" w:line="307" w:lineRule="auto"/>
        <w:rPr>
          <w:sz w:val="20"/>
          <w:szCs w:val="20"/>
          <w:color w:val="auto"/>
        </w:rPr>
      </w:pPr>
      <w:r>
        <w:rPr>
          <w:rFonts w:ascii="Times New Roman" w:cs="Times New Roman" w:eastAsia="Times New Roman" w:hAnsi="Times New Roman"/>
          <w:sz w:val="14"/>
          <w:szCs w:val="14"/>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See note 15 for more information.</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6"/>
          <w:szCs w:val="16"/>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4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right="260" w:firstLine="509"/>
        <w:spacing w:after="0" w:line="248"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 - Reporting Comprehensive Income - 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Disaggregation of Income Statement Expenses, </w:t>
      </w:r>
      <w:r>
        <w:rPr>
          <w:rFonts w:ascii="Times New Roman" w:cs="Times New Roman" w:eastAsia="Times New Roman" w:hAnsi="Times New Roman"/>
          <w:sz w:val="16"/>
          <w:szCs w:val="16"/>
          <w:color w:val="auto"/>
        </w:rPr>
        <w:t>which amends current guidance to add requirements for disaggregation of certain costs and expenses included within relevant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condensed consolidated financial statements.</w:t>
      </w:r>
    </w:p>
    <w:p>
      <w:pPr>
        <w:spacing w:after="0" w:line="153"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 xml:space="preserve">In May 2025, the FASB issued ASU 2025-03, </w:t>
      </w:r>
      <w:r>
        <w:rPr>
          <w:rFonts w:ascii="Times New Roman" w:cs="Times New Roman" w:eastAsia="Times New Roman" w:hAnsi="Times New Roman"/>
          <w:sz w:val="16"/>
          <w:szCs w:val="16"/>
          <w:i w:val="1"/>
          <w:iCs w:val="1"/>
          <w:color w:val="auto"/>
        </w:rPr>
        <w:t>Business Combinations (Topic 805) and Consolidation (Topic 810): Determining the Accounting Acquirer in the Acquisition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a Variable Interest Entity</w:t>
      </w:r>
      <w:r>
        <w:rPr>
          <w:rFonts w:ascii="Times New Roman" w:cs="Times New Roman" w:eastAsia="Times New Roman" w:hAnsi="Times New Roman"/>
          <w:sz w:val="16"/>
          <w:szCs w:val="16"/>
          <w:color w:val="auto"/>
        </w:rPr>
        <w:t>, which amends current guidance to improve how entities determine the accounting acquirer in business combinations involving a VIE, particularly when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transaction is primarily executed though the exchange of equity interests. It aligns the criteria for determining the acquirer for accounting purposes in transactions in which the acquiree is a VIE with those used in other acquisition transactions. The amendments are effective for annual periods beginning after December 15, 2026, with early adoption permitted. The Company does not expect the adoption of this guidance to have a material effect on the condensed consolidated financial statements.</w:t>
      </w:r>
    </w:p>
    <w:p>
      <w:pPr>
        <w:spacing w:after="0" w:line="15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Revenues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presents revenues disaggregated by product offering, which aligns with the Company’s performance obligations and the basis for calculating each amount: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Management and Advisory Fees, Net</w:t>
            </w:r>
          </w:p>
        </w:tc>
        <w:tc>
          <w:tcPr>
            <w:tcW w:w="240" w:type="dxa"/>
            <w:vAlign w:val="bottom"/>
          </w:tcPr>
          <w:p>
            <w:pPr>
              <w:spacing w:after="0"/>
              <w:rPr>
                <w:sz w:val="14"/>
                <w:szCs w:val="14"/>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14"/>
                <w:szCs w:val="14"/>
                <w:color w:val="auto"/>
              </w:rPr>
            </w:pPr>
          </w:p>
        </w:tc>
        <w:tc>
          <w:tcPr>
            <w:tcW w:w="2400" w:type="dxa"/>
            <w:vAlign w:val="bottom"/>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CEEFF"/>
            </w:tcBorders>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Focused commingled funds</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143,298</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104,891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387,310</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316,598</w:t>
            </w:r>
          </w:p>
        </w:tc>
        <w:tc>
          <w:tcPr>
            <w:tcW w:w="0" w:type="dxa"/>
            <w:vAlign w:val="bottom"/>
          </w:tcPr>
          <w:p>
            <w:pPr>
              <w:spacing w:after="0"/>
              <w:rPr>
                <w:sz w:val="1"/>
                <w:szCs w:val="1"/>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217,290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185,014</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Advisory and other services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18,295</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17,458</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54,493</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47,134</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 reimbursement revenues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management and advisory fees,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239,932</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190,840</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666,594</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553,613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3" w:lineRule="exact"/>
        <w:rPr>
          <w:sz w:val="20"/>
          <w:szCs w:val="20"/>
          <w:color w:val="auto"/>
        </w:rPr>
      </w:pPr>
    </w:p>
    <w:p>
      <w:pPr>
        <w:ind w:left="520" w:right="80" w:hanging="515"/>
        <w:spacing w:after="0" w:line="266"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income-based incentive fees of $6.0 million and $2.1 million for the three months ended December 31, 2025 and 2024, respectively, and $15.7 million and $4.6 million for the nine months ended December 31, 2025 and 2024,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 Fees</w:t>
            </w:r>
          </w:p>
        </w:tc>
        <w:tc>
          <w:tcPr>
            <w:tcW w:w="240" w:type="dxa"/>
            <w:vAlign w:val="bottom"/>
          </w:tcPr>
          <w:p>
            <w:pPr>
              <w:spacing w:after="0"/>
              <w:rPr>
                <w:sz w:val="14"/>
                <w:szCs w:val="14"/>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14"/>
                <w:szCs w:val="14"/>
                <w:color w:val="auto"/>
              </w:rPr>
            </w:pPr>
          </w:p>
        </w:tc>
        <w:tc>
          <w:tcPr>
            <w:tcW w:w="2400" w:type="dxa"/>
            <w:vAlign w:val="bottom"/>
            <w:gridSpan w:val="4"/>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CEEFF"/>
            </w:tcBorders>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Focused commingled funds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207,954</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22,369</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208,193</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incentive fees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207,954</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22,369</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213,046</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Carried Interest Allocations</w:t>
            </w:r>
          </w:p>
        </w:tc>
        <w:tc>
          <w:tcPr>
            <w:tcW w:w="240" w:type="dxa"/>
            <w:vAlign w:val="bottom"/>
          </w:tcPr>
          <w:p>
            <w:pPr>
              <w:spacing w:after="0"/>
              <w:rPr>
                <w:sz w:val="24"/>
                <w:szCs w:val="24"/>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24"/>
                <w:szCs w:val="24"/>
                <w:color w:val="auto"/>
              </w:rPr>
            </w:pPr>
          </w:p>
        </w:tc>
        <w:tc>
          <w:tcPr>
            <w:tcW w:w="2400" w:type="dxa"/>
            <w:vAlign w:val="bottom"/>
            <w:gridSpan w:val="4"/>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CEEFF"/>
            </w:tcBorders>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63,558</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283,735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133,705</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Focused commingled funds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85,130</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43,188</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184,931</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70,383</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carried interest allocations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148,688</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117,607</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468,666</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204,088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Legacy Greenspring Carried Interest Allocations</w:t>
            </w: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Focused commingled funds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(10,276)</w:t>
            </w:r>
          </w:p>
        </w:tc>
        <w:tc>
          <w:tcPr>
            <w:tcW w:w="2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8,009</w:t>
            </w: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56,076</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320"/>
              <w:spacing w:after="0" w:line="171" w:lineRule="exact"/>
              <w:rPr>
                <w:sz w:val="20"/>
                <w:szCs w:val="20"/>
                <w:color w:val="auto"/>
              </w:rPr>
            </w:pPr>
            <w:r>
              <w:rPr>
                <w:rFonts w:ascii="Times New Roman" w:cs="Times New Roman" w:eastAsia="Times New Roman" w:hAnsi="Times New Roman"/>
                <w:sz w:val="14"/>
                <w:szCs w:val="14"/>
                <w:color w:val="auto"/>
              </w:rPr>
              <w:t>Total legacy Greenspring carried interest allocations</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(10,063)</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8,207</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56,717</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3" w:lineRule="exact"/>
        <w:rPr>
          <w:sz w:val="20"/>
          <w:szCs w:val="20"/>
          <w:color w:val="auto"/>
        </w:rPr>
      </w:pPr>
    </w:p>
    <w:p>
      <w:pPr>
        <w:ind w:left="520" w:right="160" w:hanging="515"/>
        <w:spacing w:after="0" w:line="267"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months ended December 31, 2025 and 2024 reflect the net effect of gross realized carried interest allocations of $0.3 million and $38.3 million, respectively, and the nine months ended December 31, 2025 and 2024 reflect the net effect of gross realized carried interest allocations of $18.4 million and $56.8 million, respectively, and the reversal of such amounts in unrealized carried interest allocations for such periods.</w:t>
      </w:r>
    </w:p>
    <w:p>
      <w:pPr>
        <w:spacing w:after="0" w:line="13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See note 5 for a discussion of changes in carried interest allocations and legacy Greenspring carried interest allocations.</w:t>
      </w:r>
    </w:p>
    <w:p>
      <w:pPr>
        <w:spacing w:after="0" w:line="177" w:lineRule="exact"/>
        <w:rPr>
          <w:sz w:val="20"/>
          <w:szCs w:val="20"/>
          <w:color w:val="auto"/>
        </w:rPr>
      </w:pPr>
    </w:p>
    <w:p>
      <w:pPr>
        <w:ind w:right="400" w:firstLine="509"/>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December 31, 2025, the increase in incentive fees was primarily driven by higher incentive fees generated by StepStone’s Private Venture and Growth Fund.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derives revenues from clients located in both the United States and other countries. The table below presents the Company’s revenues by geographic location: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4"/>
                <w:szCs w:val="14"/>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14"/>
                <w:szCs w:val="14"/>
                <w:color w:val="auto"/>
              </w:rPr>
            </w:pPr>
          </w:p>
        </w:tc>
        <w:tc>
          <w:tcPr>
            <w:tcW w:w="2400" w:type="dxa"/>
            <w:vAlign w:val="bottom"/>
            <w:gridSpan w:val="4"/>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3"/>
        </w:trPr>
        <w:tc>
          <w:tcPr>
            <w:tcW w:w="5720" w:type="dxa"/>
            <w:vAlign w:val="bottom"/>
            <w:tcBorders>
              <w:bottom w:val="single" w:sz="8" w:color="CCEEFF"/>
            </w:tcBorders>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370,743</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142,367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703,809</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312,178</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Non-U.S. countries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215,768</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196,656</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701,214</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484,923</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586,511</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339,023</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1,405,023</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797,101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3" w:lineRule="exact"/>
        <w:rPr>
          <w:sz w:val="20"/>
          <w:szCs w:val="20"/>
          <w:color w:val="auto"/>
        </w:rPr>
      </w:pPr>
    </w:p>
    <w:p>
      <w:pPr>
        <w:ind w:left="500" w:hanging="495"/>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are attributed to countries based on client location for SMAs and advisory and other services, or location of investment vehicle for focused commingled funds.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6"/>
          <w:szCs w:val="16"/>
          <w:color w:val="auto"/>
        </w:rPr>
        <w:t>For the three and nine months ended December 31, 2025 and 2024, no individual client represented 10% or more of the Company’s net management and advisory fees. For the three and nine months ended December 31, 2025, two commingled funds represented 10% or more of the Company’s incentive fees. For the three and nine months ended December 31, 2024, one commingled fund represented 10% or more of the Company’s incentive fees.</w:t>
      </w:r>
    </w:p>
    <w:p>
      <w:pPr>
        <w:spacing w:after="0" w:line="148"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For the three and nine months ended December 31, 2025, the Company had management and advisory fee revenues attributable to the United States, which represented 10% or more of the Company’s net management and advisory fees. The Company had incentive fees attributable to the United States and Luxembourg, which represented 10% or more of the Company’s incentive fees. For the three months ended December 31, 2024, the Company had management and advisory fee revenues attributable to the United States and Luxembourg, each of which represented 10% or more of the Company’s net management and advisory fees. For the nine months ended December 31, 2024, the Company had management and advisory fee revenues attributable to the United States and Cayman Islands, each of which represented 10% or more of the Company’s net management and advisory fees. For the three and nine months ended December 31, 2024, the Company had incentive fees attributable to the United States, which represented 10% or more of the Company’s incentive fees.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6"/>
          <w:szCs w:val="16"/>
          <w:color w:val="auto"/>
        </w:rPr>
        <w:t>As of December 31, 2025 and March 31, 2025, the Company had $24.6 million and $26.8 million, respectively, of deferred revenues, which is included in accounts payable, accrued expenses and other liabilities in the condensed consolidated balance sheets. During the nine months ended December 31, 2025, the Company had recognized $4.5 million as revenue from amounts included in the deferred revenue balance as of March 31, 2025.</w:t>
      </w:r>
    </w:p>
    <w:p>
      <w:pPr>
        <w:spacing w:after="0" w:line="146" w:lineRule="exact"/>
        <w:rPr>
          <w:sz w:val="20"/>
          <w:szCs w:val="20"/>
          <w:color w:val="auto"/>
        </w:rPr>
      </w:pPr>
    </w:p>
    <w:p>
      <w:pPr>
        <w:ind w:left="520" w:right="9340" w:hanging="515"/>
        <w:spacing w:after="0" w:line="531" w:lineRule="auto"/>
        <w:tabs>
          <w:tab w:leader="none" w:pos="2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Variable Interest Entities Consolidated VIEs</w:t>
      </w:r>
    </w:p>
    <w:p>
      <w:pPr>
        <w:ind w:firstLine="509"/>
        <w:spacing w:after="0" w:line="248" w:lineRule="auto"/>
        <w:rPr>
          <w:sz w:val="20"/>
          <w:szCs w:val="20"/>
          <w:color w:val="auto"/>
        </w:rPr>
      </w:pPr>
      <w:r>
        <w:rPr>
          <w:rFonts w:ascii="Times New Roman" w:cs="Times New Roman" w:eastAsia="Times New Roman" w:hAnsi="Times New Roman"/>
          <w:sz w:val="16"/>
          <w:szCs w:val="16"/>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$1,440.8 million and $1,376.0 million as of December 31, 2025 and March 31, 2025, respectively. The liabilities of the consolidated VIEs totaled $2,840.0 million and $1,278.7 million as of December 31, 2025 and March 31, 2025,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December 31, 2025 and March 31, 2025, no material amounts previously distributed have been accrued for clawback liabilities.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Unconsolidated VIEs</w:t>
      </w:r>
    </w:p>
    <w:p>
      <w:pPr>
        <w:spacing w:after="0" w:line="179"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4"/>
          <w:szCs w:val="14"/>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500" w:type="dxa"/>
            <w:vAlign w:val="bottom"/>
            <w:tcBorders>
              <w:bottom w:val="single" w:sz="8" w:color="auto"/>
            </w:tcBorders>
          </w:tcPr>
          <w:p>
            <w:pPr>
              <w:spacing w:after="0"/>
              <w:rPr>
                <w:sz w:val="14"/>
                <w:szCs w:val="14"/>
                <w:color w:val="auto"/>
              </w:rPr>
            </w:pPr>
          </w:p>
        </w:tc>
      </w:tr>
      <w:tr>
        <w:trPr>
          <w:trHeight w:val="161"/>
        </w:trPr>
        <w:tc>
          <w:tcPr>
            <w:tcW w:w="7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funds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280,840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176,339</w:t>
            </w:r>
          </w:p>
        </w:tc>
      </w:tr>
      <w:tr>
        <w:trPr>
          <w:trHeight w:val="180"/>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Greenspring investments in funds</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134,147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133,489</w:t>
            </w: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affiliates, net</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56,058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47,693</w:t>
            </w:r>
          </w:p>
        </w:tc>
      </w:tr>
      <w:tr>
        <w:trPr>
          <w:trHeight w:val="180"/>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Amounts attributable to non-controlling interests in subsidiaries</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26,465</w:t>
            </w: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attributable to non-controlling interests in legacy Greenspring entities</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134,147</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133,489</w:t>
            </w:r>
          </w:p>
        </w:tc>
      </w:tr>
      <w:tr>
        <w:trPr>
          <w:trHeight w:val="171"/>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Maximum exposure to loss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307,273</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197,567</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Investments</w:t>
      </w:r>
    </w:p>
    <w:p>
      <w:pPr>
        <w:spacing w:after="0" w:line="179"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6"/>
          <w:szCs w:val="16"/>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(loss) in the condensed consolidated statements of income (loss).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(loss) in the condensed consolidated statements of income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Equity Method Investments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Company’s equity method investments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500" w:type="dxa"/>
            <w:vAlign w:val="bottom"/>
            <w:tcBorders>
              <w:bottom w:val="single" w:sz="8" w:color="auto"/>
            </w:tcBorders>
          </w:tcPr>
          <w:p>
            <w:pPr>
              <w:spacing w:after="0"/>
              <w:rPr>
                <w:sz w:val="14"/>
                <w:szCs w:val="14"/>
                <w:color w:val="auto"/>
              </w:rPr>
            </w:pPr>
          </w:p>
        </w:tc>
      </w:tr>
      <w:tr>
        <w:trPr>
          <w:trHeight w:val="161"/>
        </w:trPr>
        <w:tc>
          <w:tcPr>
            <w:tcW w:w="7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72"/>
        </w:trPr>
        <w:tc>
          <w:tcPr>
            <w:tcW w:w="748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4"/>
                <w:szCs w:val="14"/>
                <w:color w:val="auto"/>
              </w:rPr>
              <w:t>Investments in funds</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292,994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183,694</w:t>
            </w:r>
          </w:p>
        </w:tc>
      </w:tr>
      <w:tr>
        <w:trPr>
          <w:trHeight w:val="180"/>
        </w:trPr>
        <w:tc>
          <w:tcPr>
            <w:tcW w:w="7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carried interest allocations</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1,835,862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1,495,664</w:t>
            </w:r>
          </w:p>
        </w:tc>
      </w:tr>
      <w:tr>
        <w:trPr>
          <w:trHeight w:val="180"/>
        </w:trPr>
        <w:tc>
          <w:tcPr>
            <w:tcW w:w="74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Legacy Greenspring investments in funds and accrued carried interest allocations</w:t>
            </w:r>
            <w:r>
              <w:rPr>
                <w:rFonts w:ascii="Times New Roman" w:cs="Times New Roman" w:eastAsia="Times New Roman" w:hAnsi="Times New Roman"/>
                <w:sz w:val="18"/>
                <w:szCs w:val="18"/>
                <w:color w:val="auto"/>
                <w:vertAlign w:val="superscript"/>
              </w:rPr>
              <w:t>(2)</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670,631</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629,228</w:t>
            </w:r>
          </w:p>
        </w:tc>
      </w:tr>
      <w:tr>
        <w:trPr>
          <w:trHeight w:val="171"/>
        </w:trPr>
        <w:tc>
          <w:tcPr>
            <w:tcW w:w="7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equity method investments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2,799,487</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2,308,586</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3" w:lineRule="exact"/>
        <w:rPr>
          <w:sz w:val="20"/>
          <w:szCs w:val="20"/>
          <w:color w:val="auto"/>
        </w:rPr>
      </w:pPr>
    </w:p>
    <w:p>
      <w:pPr>
        <w:ind w:left="520" w:right="400" w:hanging="515"/>
        <w:spacing w:after="0" w:line="253"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investments in funds were $338.2 million and $275.7 million as of December 31, 2025 and March 31, 2025, respectively. The consolidation of the Consolidated Funds results in the elimination of the Company’s investments in such funds.</w:t>
      </w:r>
    </w:p>
    <w:p>
      <w:pPr>
        <w:ind w:left="520" w:right="420" w:hanging="515"/>
        <w:spacing w:after="0" w:line="266"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investments in funds of $134.1 million and $133.5 million and carried interest allocations of $536.5 million and $495.7 million as of December 31, 2025 and March 31, 2025, respectively.</w:t>
      </w:r>
    </w:p>
    <w:p>
      <w:pPr>
        <w:spacing w:after="0" w:line="13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Company recognized equity method income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14"/>
                <w:szCs w:val="14"/>
                <w:color w:val="auto"/>
              </w:rPr>
            </w:pPr>
          </w:p>
        </w:tc>
        <w:tc>
          <w:tcPr>
            <w:tcW w:w="2400" w:type="dxa"/>
            <w:vAlign w:val="bottom"/>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r>
      <w:tr>
        <w:trPr>
          <w:trHeight w:val="161"/>
        </w:trPr>
        <w:tc>
          <w:tcPr>
            <w:tcW w:w="57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Carried interest allocations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148,688</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468,666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204,088</w:t>
            </w: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Greenspring carried interest allocations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(10,063)</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8,207</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56,717</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Legacy Greenspring investment income (loss)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(4,119)</w:t>
            </w:r>
          </w:p>
        </w:tc>
      </w:tr>
      <w:tr>
        <w:trPr>
          <w:trHeight w:val="196"/>
        </w:trPr>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equity method income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147,927</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128,045</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548,682</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218,714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6"/>
          <w:szCs w:val="16"/>
          <w:color w:val="auto"/>
        </w:rPr>
        <w:t>The increase in carried interest allocations for the three months ended December 31, 2025 as compared to the three months ended December 31, 2024 was primarily attributable to higher net unrealized appreciation in the fair value of certain underlying fund investments in the Company’s private equity and infrastructure funds. The increase in carried interest allocations for the nine months ended December 31, 2025 as compared to the nine months ended December 31, 2024 was primarily attributable to higher net unrealized appreciation in the fair value of certain underlying fund investments in the Company’s private equity funds. The decrease in legacy Greenspring carried interest allocations for the three months ended December 31, 2025 as compared to the three months ended December 31, 2024 was primarily attributable to net unrealized depreciation in the fair value of certain underlying fund investments in the current year period as compared to net unrealized appreciation in the prior year period. The increase in legacy Greenspring carried interest allocations for the nine months ended December 31, 2025 as compared to the nine months ended December 31, 2024 was primarily attributable to higher net unrealized appreciation in the fair value of certain underlying fund investments in the current year period as compared to the prior year period. See note 2 for a discussion of the Company’s accounting policy for investments on a three-month lag.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As of December 31, 2025 and March 31, 2025, the Company’s investment in one SMA represented 10% or more of the total accrued carried interest allocations balance, and in the aggregate represented approximately 13% and 15%, respectively, of the total accrued carried interest allocations balance as of those dates. As of December 31, 2025 and March 31, 2025, the Company’s investments in each of three commingled funds individually represented 10% or more of the total legacy Greenspring accrued carried interest allocations balance, and in the aggregate represented approximately 53% and 47%, respectively, of the total legacy Greenspring accrued carried interest allocations balances as of those dates.</w:t>
      </w:r>
    </w:p>
    <w:p>
      <w:pPr>
        <w:spacing w:after="0" w:line="153" w:lineRule="exact"/>
        <w:rPr>
          <w:sz w:val="20"/>
          <w:szCs w:val="20"/>
          <w:color w:val="auto"/>
        </w:rPr>
      </w:pPr>
    </w:p>
    <w:p>
      <w:pPr>
        <w:ind w:right="60" w:firstLine="509"/>
        <w:spacing w:after="0" w:line="292" w:lineRule="auto"/>
        <w:rPr>
          <w:sz w:val="20"/>
          <w:szCs w:val="20"/>
          <w:color w:val="auto"/>
        </w:rPr>
      </w:pPr>
      <w:r>
        <w:rPr>
          <w:rFonts w:ascii="Times New Roman" w:cs="Times New Roman" w:eastAsia="Times New Roman" w:hAnsi="Times New Roman"/>
          <w:sz w:val="14"/>
          <w:szCs w:val="14"/>
          <w:color w:val="auto"/>
        </w:rPr>
        <w:t>Of the total accrued carried interest allocations balance as of December 31, 2025 and March 31, 2025, $960.5 million and $758.0 million, respectively, were payable to affiliates and are included in accrued carried interest-related compensation in the condensed consolidated balance sheets. Of the total legacy Greenspring investments in funds and accrued carried interest allocations balance as of December 31, 2025 and March 31, 2025, $536.5 million and $495.7 million, respectively, were payable to employees who are considered affiliates of the Company and are included in legacy Greenspring accrued carried interest-related compensation in the condensed consolidated balance sheets and $134.1 million and $133.5 million, respectively, are reflected as non-controlling interests in legacy Greenspring entities in the condensed consolidated balance sheets.</w:t>
      </w:r>
    </w:p>
    <w:p>
      <w:pPr>
        <w:spacing w:after="0" w:line="12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6"/>
          <w:szCs w:val="16"/>
          <w:color w:val="auto"/>
        </w:rPr>
        <w:t>The Company evaluates each of its equity method investments to determine if any are considered significant as defined by the SEC. As of December 31, 2025 and March 31, 2025, no individual equity method investment held by the Company met the significance criteria. As a result, the Company is not required to provide separate financial statements for any of its equity method investments.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Investments of Consolidated Funds</w:t>
      </w:r>
    </w:p>
    <w:p>
      <w:pPr>
        <w:spacing w:after="0" w:line="168" w:lineRule="exact"/>
        <w:rPr>
          <w:sz w:val="20"/>
          <w:szCs w:val="20"/>
          <w:color w:val="auto"/>
        </w:rPr>
      </w:pPr>
    </w:p>
    <w:p>
      <w:pPr>
        <w:ind w:right="500" w:firstLine="509"/>
        <w:spacing w:after="0" w:line="273" w:lineRule="auto"/>
        <w:rPr>
          <w:sz w:val="20"/>
          <w:szCs w:val="20"/>
          <w:color w:val="auto"/>
        </w:rPr>
      </w:pPr>
      <w:r>
        <w:rPr>
          <w:rFonts w:ascii="Times New Roman" w:cs="Times New Roman" w:eastAsia="Times New Roman" w:hAnsi="Times New Roman"/>
          <w:sz w:val="16"/>
          <w:szCs w:val="16"/>
          <w:color w:val="auto"/>
        </w:rPr>
        <w:t>The Company consolidates funds and entities when it is deemed to hold a controlling financial interest. The activity of the Consolidated Funds is reflected within the condensed consolidated financial statements.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Investments held by the Consolidated Funds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24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Percentage of Total Investments as of</w:t>
            </w:r>
          </w:p>
        </w:tc>
      </w:t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4"/>
                <w:szCs w:val="14"/>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4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6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38"/>
        </w:trPr>
        <w:tc>
          <w:tcPr>
            <w:tcW w:w="55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Debt securities (cost of $1.9 million and $0 million as of December 31, 2025 and March 31,</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91"/>
        </w:trPr>
        <w:tc>
          <w:tcPr>
            <w:tcW w:w="5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38"/>
        </w:trPr>
        <w:tc>
          <w:tcPr>
            <w:tcW w:w="55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Equity securities (cost of $0 million and $60.0 million as of December 31, 2025 and March 31,</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91"/>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 respectively)</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70,178</w:t>
            </w:r>
          </w:p>
        </w:tc>
        <w:tc>
          <w:tcPr>
            <w:tcW w:w="2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38"/>
        </w:trPr>
        <w:tc>
          <w:tcPr>
            <w:tcW w:w="55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Partnership and LLC interests (cost of $85.3 million and $257.0 million as of December 31, 2025</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91"/>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and March 31, 2025, respectively)</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103,235</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344,833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196"/>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investments of Consolidated Funds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415,011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6"/>
          <w:szCs w:val="16"/>
          <w:color w:val="auto"/>
        </w:rPr>
        <w:t>As of December 31, 2025 and March 31, 2025, no individual investment had a fair value greater than 5% of the Company’s total assets. During the three months ended December 31, 2025, the Company deconsolidated an investment fund that was previously consolidated in the Company’s results as it was determined that the Company no longer held a controlling financial interest. As the Company continues to hold financial interests in the fund, the investment is accounted for under the equity method and is classified as a related party transaction. See note 12 for more information.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net realized and unrealized gains from investment activities of the Consolidated Funds: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94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14"/>
                <w:szCs w:val="14"/>
                <w:color w:val="auto"/>
              </w:rPr>
            </w:pPr>
          </w:p>
        </w:tc>
        <w:tc>
          <w:tcPr>
            <w:tcW w:w="2400" w:type="dxa"/>
            <w:vAlign w:val="bottom"/>
            <w:gridSpan w:val="4"/>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r>
      <w:tr>
        <w:trPr>
          <w:trHeight w:val="161"/>
        </w:trPr>
        <w:tc>
          <w:tcPr>
            <w:tcW w:w="572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 of Consolidated Funds: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gains on investments</w:t>
            </w: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2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24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2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investments</w:t>
            </w: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21,221</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12,579</w:t>
            </w:r>
          </w:p>
        </w:tc>
        <w:tc>
          <w:tcPr>
            <w:tcW w:w="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87,539</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28,149</w:t>
            </w:r>
          </w:p>
        </w:tc>
      </w:tr>
      <w:tr>
        <w:trPr>
          <w:trHeight w:val="171"/>
        </w:trPr>
        <w:tc>
          <w:tcPr>
            <w:tcW w:w="5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investment income of Consolidated Funds</w:t>
            </w:r>
          </w:p>
        </w:tc>
        <w:tc>
          <w:tcPr>
            <w:tcW w:w="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21,282</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15,037</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88,997</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30,878</w:t>
            </w:r>
          </w:p>
        </w:tc>
      </w:tr>
      <w:tr>
        <w:trPr>
          <w:trHeight w:val="20"/>
        </w:trPr>
        <w:tc>
          <w:tcPr>
            <w:tcW w:w="5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Fair Value Measurements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measures certain assets and liabilities at fair value on a recurring basis.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Financial Instruments of the Company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 and March 31, 2025, respectively, the Company held no financial instruments within the fair value hierarchy measured at fair value on a recurring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Contingent Consideration</w:t>
      </w:r>
    </w:p>
    <w:p>
      <w:pPr>
        <w:spacing w:after="0" w:line="179" w:lineRule="exact"/>
        <w:rPr>
          <w:sz w:val="20"/>
          <w:szCs w:val="20"/>
          <w:color w:val="auto"/>
        </w:rPr>
      </w:pPr>
    </w:p>
    <w:p>
      <w:pPr>
        <w:ind w:right="180" w:firstLine="509"/>
        <w:spacing w:after="0" w:line="283" w:lineRule="auto"/>
        <w:rPr>
          <w:sz w:val="20"/>
          <w:szCs w:val="20"/>
          <w:color w:val="auto"/>
        </w:rPr>
      </w:pPr>
      <w:r>
        <w:rPr>
          <w:rFonts w:ascii="Times New Roman" w:cs="Times New Roman" w:eastAsia="Times New Roman" w:hAnsi="Times New Roman"/>
          <w:sz w:val="14"/>
          <w:szCs w:val="14"/>
          <w:color w:val="auto"/>
        </w:rPr>
        <w:t>The Company previously held a contingent consideration obligation liability that was measured at fair value on a recurring basis. The fair value of the contingent consideration obligation was based on a discounted cash flow analysis using a probability-weighted average estimate of certain performance targets, including revenue levels. The significant unobservable inputs required to value the contingent consideration obligation primarily related to the future expected revenues and the discount rate applied to the expected future revenues and payments of obligations. The management fee revenue target for calendar year 2024 was achieved resulting in the full earn-out amount of</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$75.0 million, which was fully paid during the three months ended March 31, 2025. In accordance with the contingent consideration arrangement, a portion of the contingent earn-out liability otherwise payable to the sellers included amounts paid to certain of the Company’s employees and former employees during the year ended March 31, 2025. As a result, the contingent consideration liability was settled net of $5.8 million paid. Changes in the fair value of the liabilities are included in general, administrative and other expenses in the condensed consolidated statements of income (loss).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Financial Instruments of Consolidated Funds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2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320" w:type="dxa"/>
            <w:vAlign w:val="bottom"/>
          </w:tcPr>
          <w:p>
            <w:pPr>
              <w:spacing w:after="0"/>
              <w:rPr>
                <w:sz w:val="14"/>
                <w:szCs w:val="14"/>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8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Debt securities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r>
      <w:tr>
        <w:trPr>
          <w:trHeight w:val="196"/>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63,664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63,664</w:t>
            </w:r>
          </w:p>
        </w:tc>
      </w:tr>
      <w:tr>
        <w:trPr>
          <w:trHeight w:val="180"/>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Partnership and LLC interests</w:t>
            </w: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7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64,530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64,530</w:t>
            </w:r>
          </w:p>
        </w:tc>
      </w:tr>
      <w:tr>
        <w:trPr>
          <w:trHeight w:val="20"/>
        </w:trPr>
        <w:tc>
          <w:tcPr>
            <w:tcW w:w="5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6"/>
          <w:szCs w:val="16"/>
          <w:color w:val="auto"/>
        </w:rPr>
        <w:t>For the financial instruments presented in the tables above, there were no changes in fair value hierarchy levels during the three and nine months ended December 31, 2025 and 2024.</w:t>
      </w:r>
    </w:p>
    <w:p>
      <w:pPr>
        <w:spacing w:after="0" w:line="14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6"/>
          <w:szCs w:val="16"/>
          <w:color w:val="auto"/>
        </w:rPr>
        <w:t>During the three months ended December 31, 2025, the Company deconsolidated an investment fund that was previously consolidated in the Company’s results as it was determined that the Company no longer held a controlling financial interest. The related investments previously presented as Level III were derecognized due to the deconsolidation of the fund.</w:t>
      </w:r>
    </w:p>
    <w:p>
      <w:pPr>
        <w:spacing w:after="0" w:line="14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December 31, 2025 and March 31, 2025, investments with a combined fair value of $103.2 million and $350.5 million, respectively, are excluded from presentation in the fair value hierarchy as the fair value of these investments were measured at net asset value. As of December 31, 2025 and March 31, 2025, investments with a combined fair value of $1.9 million and $64.5 million, respectively, were classified as Level III investments. Depending on the valuation methodology applied, the significant unobservable input used to value these investments classified as Level III investments may include the enterprise value to revenue multiple, discounts to recent transaction prices or recent round of financing, or the yield method.</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 reconciliation from the beginning balance to the closing balance of Level III financial instruments of Consolidated Funds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20" w:type="dxa"/>
            <w:vAlign w:val="bottom"/>
          </w:tcPr>
          <w:p>
            <w:pPr>
              <w:spacing w:after="0"/>
              <w:rPr>
                <w:sz w:val="14"/>
                <w:szCs w:val="14"/>
                <w:color w:val="auto"/>
              </w:rPr>
            </w:pPr>
          </w:p>
        </w:tc>
        <w:tc>
          <w:tcPr>
            <w:tcW w:w="2400" w:type="dxa"/>
            <w:vAlign w:val="bottom"/>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61"/>
        </w:trPr>
        <w:tc>
          <w:tcPr>
            <w:tcW w:w="57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of Consolidated Funds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79,776</w:t>
            </w:r>
          </w:p>
        </w:tc>
        <w:tc>
          <w:tcPr>
            <w:tcW w:w="22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27,471</w:t>
            </w:r>
          </w:p>
        </w:tc>
        <w:tc>
          <w:tcPr>
            <w:tcW w:w="24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64,530</w:t>
            </w:r>
          </w:p>
        </w:tc>
        <w:tc>
          <w:tcPr>
            <w:tcW w:w="2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13,694</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Transfers into Level III</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0" w:type="dxa"/>
            <w:vAlign w:val="bottom"/>
          </w:tcPr>
          <w:p>
            <w:pPr>
              <w:spacing w:after="0"/>
              <w:rPr>
                <w:sz w:val="1"/>
                <w:szCs w:val="1"/>
                <w:color w:val="auto"/>
              </w:rPr>
            </w:pPr>
          </w:p>
        </w:tc>
      </w:tr>
      <w:tr>
        <w:trPr>
          <w:trHeight w:val="180"/>
        </w:trPr>
        <w:tc>
          <w:tcPr>
            <w:tcW w:w="5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Transfers out of Level III</w:t>
            </w:r>
          </w:p>
        </w:tc>
        <w:tc>
          <w:tcPr>
            <w:tcW w:w="24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Purchases</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10,805</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23,363</w:t>
            </w:r>
          </w:p>
        </w:tc>
        <w:tc>
          <w:tcPr>
            <w:tcW w:w="0" w:type="dxa"/>
            <w:vAlign w:val="bottom"/>
          </w:tcPr>
          <w:p>
            <w:pPr>
              <w:spacing w:after="0"/>
              <w:rPr>
                <w:sz w:val="1"/>
                <w:szCs w:val="1"/>
                <w:color w:val="auto"/>
              </w:rPr>
            </w:pPr>
          </w:p>
        </w:tc>
      </w:tr>
      <w:tr>
        <w:trPr>
          <w:trHeight w:val="180"/>
        </w:trPr>
        <w:tc>
          <w:tcPr>
            <w:tcW w:w="5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fair value</w:t>
            </w:r>
          </w:p>
        </w:tc>
        <w:tc>
          <w:tcPr>
            <w:tcW w:w="24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Deconsolidation of fund - Level III derecognition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(77,861)</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42,435</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42,435</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Changes in unrealized gains included in earnings related to financial assets still held at the reporting</w:t>
            </w: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40" w:type="dxa"/>
            <w:vAlign w:val="bottom"/>
          </w:tcPr>
          <w:p>
            <w:pPr>
              <w:spacing w:after="0"/>
              <w:rPr>
                <w:sz w:val="12"/>
                <w:szCs w:val="12"/>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220" w:type="dxa"/>
            <w:vAlign w:val="bottom"/>
          </w:tcPr>
          <w:p>
            <w:pPr>
              <w:spacing w:after="0"/>
              <w:rPr>
                <w:sz w:val="12"/>
                <w:szCs w:val="12"/>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63"/>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Intangibles and Goodwill</w:t>
      </w:r>
    </w:p>
    <w:p>
      <w:pPr>
        <w:spacing w:after="0" w:line="179" w:lineRule="exact"/>
        <w:rPr>
          <w:sz w:val="20"/>
          <w:szCs w:val="20"/>
          <w:color w:val="auto"/>
        </w:rPr>
      </w:pPr>
    </w:p>
    <w:p>
      <w:pPr>
        <w:ind w:right="400" w:firstLine="509"/>
        <w:spacing w:after="0" w:line="259" w:lineRule="auto"/>
        <w:rPr>
          <w:sz w:val="20"/>
          <w:szCs w:val="20"/>
          <w:color w:val="auto"/>
        </w:rPr>
      </w:pPr>
      <w:r>
        <w:rPr>
          <w:rFonts w:ascii="Times New Roman" w:cs="Times New Roman" w:eastAsia="Times New Roman" w:hAnsi="Times New Roman"/>
          <w:sz w:val="16"/>
          <w:szCs w:val="16"/>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Intangible assets,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0"/>
              </w:rPr>
              <w:t>As of</w:t>
            </w:r>
          </w:p>
        </w:tc>
        <w:tc>
          <w:tcPr>
            <w:tcW w:w="1240" w:type="dxa"/>
            <w:vAlign w:val="bottom"/>
            <w:tcBorders>
              <w:bottom w:val="single" w:sz="8" w:color="auto"/>
            </w:tcBorders>
          </w:tcPr>
          <w:p>
            <w:pPr>
              <w:spacing w:after="0"/>
              <w:rPr>
                <w:sz w:val="14"/>
                <w:szCs w:val="14"/>
                <w:color w:val="auto"/>
              </w:rPr>
            </w:pPr>
          </w:p>
        </w:tc>
      </w:tr>
      <w:tr>
        <w:trPr>
          <w:trHeight w:val="161"/>
        </w:trPr>
        <w:tc>
          <w:tcPr>
            <w:tcW w:w="8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352,002</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352,002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relationships</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96,650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96,650</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(215,401)</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(184,780)</w:t>
            </w:r>
          </w:p>
        </w:tc>
      </w:tr>
      <w:tr>
        <w:trPr>
          <w:trHeight w:val="171"/>
        </w:trPr>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233,251</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263,872</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Amortization expense related to intangible assets was $10.2 million and $10.3 million for the three months ended December 31, 2025 and 2024, respectively, and</w:t>
      </w:r>
    </w:p>
    <w:p>
      <w:pPr>
        <w:spacing w:after="0" w:line="1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6"/>
          <w:szCs w:val="16"/>
          <w:color w:val="auto"/>
        </w:rPr>
        <w:t>$30.6 million and $30.8 million for the nine months ended December 31, 2025 and 2024, respectively. These amounts are included in general, administrative and other expenses in the condensed consolidated statements of loss.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At December 31, 2025, the expected future amortization of finite-lived intangible assets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FY2026</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10,207</w:t>
            </w:r>
          </w:p>
        </w:tc>
      </w:tr>
      <w:tr>
        <w:trPr>
          <w:trHeight w:val="180"/>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FY2027</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40,759</w:t>
            </w: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FY2028</w:t>
            </w: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40,759</w:t>
            </w:r>
          </w:p>
        </w:tc>
      </w:tr>
      <w:tr>
        <w:trPr>
          <w:trHeight w:val="180"/>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FY2029</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40,759</w:t>
            </w: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FY2030</w:t>
            </w: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40,759</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60,008</w:t>
            </w:r>
          </w:p>
        </w:tc>
      </w:tr>
      <w:tr>
        <w:trPr>
          <w:trHeight w:val="196"/>
        </w:trPr>
        <w:tc>
          <w:tcPr>
            <w:tcW w:w="9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233,251</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 carrying value of goodwill was $580.5 million as of December 31, 2025 and March 31, 2025. The Company determined there was no indication of goodwill impairment as of December 31, 2025 and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Debt Obligations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Company’s debt obligations consist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860" w:type="dxa"/>
            <w:vAlign w:val="bottom"/>
            <w:tcBorders>
              <w:bottom w:val="single" w:sz="8" w:color="auto"/>
            </w:tcBorders>
          </w:tcPr>
          <w:p>
            <w:pPr>
              <w:spacing w:after="0"/>
              <w:rPr>
                <w:sz w:val="16"/>
                <w:szCs w:val="16"/>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senior notes</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r>
      <w:tr>
        <w:trPr>
          <w:trHeight w:val="18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1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71"/>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remaining principal</w:t>
            </w: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r>
      <w:tr>
        <w:trPr>
          <w:trHeight w:val="18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Debt issuance costs</w:t>
            </w:r>
          </w:p>
        </w:tc>
        <w:tc>
          <w:tcPr>
            <w:tcW w:w="1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w:t>
            </w:r>
          </w:p>
        </w:tc>
      </w:tr>
      <w:tr>
        <w:trPr>
          <w:trHeight w:val="196"/>
        </w:trPr>
        <w:tc>
          <w:tcPr>
            <w:tcW w:w="6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debt obligations</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270,246</w:t>
            </w: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269,268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Senior Notes</w:t>
      </w:r>
    </w:p>
    <w:p>
      <w:pPr>
        <w:spacing w:after="0" w:line="179" w:lineRule="exact"/>
        <w:rPr>
          <w:sz w:val="20"/>
          <w:szCs w:val="20"/>
          <w:color w:val="auto"/>
        </w:rPr>
      </w:pPr>
    </w:p>
    <w:p>
      <w:pPr>
        <w:ind w:firstLine="509"/>
        <w:spacing w:after="0" w:line="330" w:lineRule="auto"/>
        <w:rPr>
          <w:sz w:val="20"/>
          <w:szCs w:val="20"/>
          <w:color w:val="auto"/>
        </w:rPr>
      </w:pPr>
      <w:r>
        <w:rPr>
          <w:rFonts w:ascii="Times New Roman" w:cs="Times New Roman" w:eastAsia="Times New Roman" w:hAnsi="Times New Roman"/>
          <w:sz w:val="14"/>
          <w:szCs w:val="14"/>
          <w:color w:val="auto"/>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spacing w:after="0" w:line="98" w:lineRule="exact"/>
        <w:rPr>
          <w:sz w:val="20"/>
          <w:szCs w:val="20"/>
          <w:color w:val="auto"/>
        </w:rPr>
      </w:pPr>
    </w:p>
    <w:p>
      <w:pPr>
        <w:ind w:right="160" w:firstLine="509"/>
        <w:spacing w:after="0" w:line="248" w:lineRule="auto"/>
        <w:rPr>
          <w:sz w:val="20"/>
          <w:szCs w:val="20"/>
          <w:color w:val="auto"/>
        </w:rPr>
      </w:pPr>
      <w:r>
        <w:rPr>
          <w:rFonts w:ascii="Times New Roman" w:cs="Times New Roman" w:eastAsia="Times New Roman" w:hAnsi="Times New Roman"/>
          <w:sz w:val="16"/>
          <w:szCs w:val="16"/>
          <w:color w:val="auto"/>
        </w:rPr>
        <w:t>Interest on the Notes is payable semi-annually in arrears on April 22 and October 22 of each year. Interest on the Notes accrues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53" w:lineRule="exact"/>
        <w:rPr>
          <w:sz w:val="20"/>
          <w:szCs w:val="20"/>
          <w:color w:val="auto"/>
        </w:rPr>
      </w:pPr>
    </w:p>
    <w:p>
      <w:pPr>
        <w:ind w:right="560" w:firstLine="509"/>
        <w:spacing w:after="0" w:line="259" w:lineRule="auto"/>
        <w:rPr>
          <w:sz w:val="20"/>
          <w:szCs w:val="20"/>
          <w:color w:val="auto"/>
        </w:rPr>
      </w:pPr>
      <w:r>
        <w:rPr>
          <w:rFonts w:ascii="Times New Roman" w:cs="Times New Roman" w:eastAsia="Times New Roman" w:hAnsi="Times New Roman"/>
          <w:sz w:val="16"/>
          <w:szCs w:val="16"/>
          <w:color w:val="auto"/>
        </w:rPr>
        <w:t>The fair value of the Notes, which are recorded at amortized cost, is classified as a Level III valuation within the fair value hierarchy. As of December 31, 2025 and March 31, 2025, respectively, the carrying value of the Notes, net of debt issuance costs, approximated fair value.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Revolving Credit Facility</w:t>
      </w:r>
    </w:p>
    <w:p>
      <w:pPr>
        <w:spacing w:after="0" w:line="179"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6"/>
          <w:szCs w:val="16"/>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w:t>
      </w:r>
    </w:p>
    <w:p>
      <w:pPr>
        <w:spacing w:after="0" w:line="15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December 31, 2025 was 6.02%.</w:t>
      </w:r>
    </w:p>
    <w:p>
      <w:pPr>
        <w:spacing w:after="0" w:line="120"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6"/>
          <w:szCs w:val="16"/>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48" w:lineRule="exact"/>
        <w:rPr>
          <w:sz w:val="20"/>
          <w:szCs w:val="20"/>
          <w:color w:val="auto"/>
        </w:rPr>
      </w:pPr>
    </w:p>
    <w:p>
      <w:pPr>
        <w:ind w:right="160" w:firstLine="509"/>
        <w:spacing w:after="0" w:line="273" w:lineRule="auto"/>
        <w:rPr>
          <w:sz w:val="20"/>
          <w:szCs w:val="20"/>
          <w:color w:val="auto"/>
        </w:rPr>
      </w:pPr>
      <w:r>
        <w:rPr>
          <w:rFonts w:ascii="Times New Roman" w:cs="Times New Roman" w:eastAsia="Times New Roman" w:hAnsi="Times New Roman"/>
          <w:sz w:val="16"/>
          <w:szCs w:val="16"/>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23"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6"/>
          <w:szCs w:val="16"/>
          <w:color w:val="auto"/>
        </w:rPr>
        <w:t>The Company can use available funding capacity under the Revolver to satisfy letters of credit in amounts up to $10.0 million. Amounts used to satisfy the letters of credit reduce the available capacity under the Revolver. As of December 31, 2025, the Company had outstanding letters of credit totaling $10.1 million.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Debt Obligations of Consolidated Funds</w:t>
      </w:r>
    </w:p>
    <w:p>
      <w:pPr>
        <w:spacing w:after="0" w:line="179" w:lineRule="exact"/>
        <w:rPr>
          <w:sz w:val="20"/>
          <w:szCs w:val="20"/>
          <w:color w:val="auto"/>
        </w:rPr>
      </w:pPr>
    </w:p>
    <w:p>
      <w:pPr>
        <w:ind w:right="240" w:firstLine="509"/>
        <w:spacing w:after="0" w:line="273" w:lineRule="auto"/>
        <w:rPr>
          <w:sz w:val="20"/>
          <w:szCs w:val="20"/>
          <w:color w:val="auto"/>
        </w:rPr>
      </w:pPr>
      <w:r>
        <w:rPr>
          <w:rFonts w:ascii="Times New Roman" w:cs="Times New Roman" w:eastAsia="Times New Roman" w:hAnsi="Times New Roman"/>
          <w:sz w:val="16"/>
          <w:szCs w:val="16"/>
          <w:color w:val="auto"/>
        </w:rPr>
        <w:t>Certain Consolidated Funds may maintain revolving credit facilities that are secured by fund assets to fund investments on a short-term basis. The debt obligations of the Consolidated Funds are non-recourse to the Company.</w:t>
      </w:r>
    </w:p>
    <w:p>
      <w:pPr>
        <w:spacing w:after="0" w:line="12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In December 2024, one of the Company’s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December 31, 2025, there were no outstanding borrowings under the Fund Credit Facility.</w:t>
      </w:r>
    </w:p>
    <w:p>
      <w:pPr>
        <w:spacing w:after="0" w:line="14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6"/>
          <w:szCs w:val="16"/>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Debt Covenants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Senior Notes</w:t>
      </w:r>
    </w:p>
    <w:p>
      <w:pPr>
        <w:spacing w:after="0" w:line="179"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16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6"/>
          <w:szCs w:val="16"/>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Fund Credit Facility</w:t>
      </w:r>
    </w:p>
    <w:p>
      <w:pPr>
        <w:spacing w:after="0" w:line="17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6"/>
          <w:szCs w:val="16"/>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December 31, 2025, the Company was in compliance with the covenants under its various debt agreements.</w:t>
      </w:r>
    </w:p>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9.</w:t>
      </w:r>
      <w:r>
        <w:rPr>
          <w:sz w:val="20"/>
          <w:szCs w:val="20"/>
          <w:color w:val="auto"/>
        </w:rPr>
        <w:tab/>
      </w:r>
      <w:r>
        <w:rPr>
          <w:rFonts w:ascii="Times New Roman" w:cs="Times New Roman" w:eastAsia="Times New Roman" w:hAnsi="Times New Roman"/>
          <w:sz w:val="14"/>
          <w:szCs w:val="14"/>
          <w:b w:val="1"/>
          <w:bCs w:val="1"/>
          <w:color w:val="auto"/>
        </w:rPr>
        <w:t>Equity-Based Compensation</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change in unvested RSUs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Number of RSUs</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 Grant-Date Fair</w:t>
            </w: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3"/>
                <w:szCs w:val="13"/>
                <w:b w:val="1"/>
                <w:bCs w:val="1"/>
                <w:color w:val="auto"/>
                <w:w w:val="94"/>
              </w:rPr>
              <w:t>Value Per RSU</w:t>
            </w:r>
          </w:p>
        </w:tc>
        <w:tc>
          <w:tcPr>
            <w:tcW w:w="0" w:type="dxa"/>
            <w:vAlign w:val="bottom"/>
          </w:tcPr>
          <w:p>
            <w:pPr>
              <w:spacing w:after="0"/>
              <w:rPr>
                <w:sz w:val="1"/>
                <w:szCs w:val="1"/>
                <w:color w:val="auto"/>
              </w:rPr>
            </w:pPr>
          </w:p>
        </w:tc>
      </w:tr>
      <w:tr>
        <w:trPr>
          <w:trHeight w:val="17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1,024,007</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4"/>
                <w:szCs w:val="14"/>
                <w:color w:val="auto"/>
              </w:rPr>
              <w:t>42.28</w:t>
            </w:r>
          </w:p>
        </w:tc>
        <w:tc>
          <w:tcPr>
            <w:tcW w:w="0" w:type="dxa"/>
            <w:vAlign w:val="bottom"/>
          </w:tcPr>
          <w:p>
            <w:pPr>
              <w:spacing w:after="0"/>
              <w:rPr>
                <w:sz w:val="1"/>
                <w:szCs w:val="1"/>
                <w:color w:val="auto"/>
              </w:rPr>
            </w:pPr>
          </w:p>
        </w:tc>
      </w:tr>
      <w:tr>
        <w:trPr>
          <w:trHeight w:val="180"/>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69,234</w:t>
            </w:r>
          </w:p>
        </w:tc>
        <w:tc>
          <w:tcPr>
            <w:tcW w:w="14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center"/>
              <w:ind w:left="1210"/>
              <w:spacing w:after="0"/>
              <w:rPr>
                <w:sz w:val="20"/>
                <w:szCs w:val="20"/>
                <w:color w:val="auto"/>
              </w:rPr>
            </w:pPr>
            <w:r>
              <w:rPr>
                <w:rFonts w:ascii="Times New Roman" w:cs="Times New Roman" w:eastAsia="Times New Roman" w:hAnsi="Times New Roman"/>
                <w:sz w:val="14"/>
                <w:szCs w:val="14"/>
                <w:color w:val="auto"/>
              </w:rPr>
              <w:t>59.71</w:t>
            </w:r>
          </w:p>
        </w:tc>
        <w:tc>
          <w:tcPr>
            <w:tcW w:w="0" w:type="dxa"/>
            <w:vAlign w:val="bottom"/>
          </w:tcPr>
          <w:p>
            <w:pPr>
              <w:spacing w:after="0"/>
              <w:rPr>
                <w:sz w:val="1"/>
                <w:szCs w:val="1"/>
                <w:color w:val="auto"/>
              </w:rPr>
            </w:pPr>
          </w:p>
        </w:tc>
      </w:tr>
      <w:tr>
        <w:trPr>
          <w:trHeight w:val="180"/>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180"/>
        </w:trPr>
        <w:tc>
          <w:tcPr>
            <w:tcW w:w="6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(10,809)</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1,068,704</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4"/>
                <w:szCs w:val="14"/>
                <w:color w:val="auto"/>
              </w:rPr>
              <w:t>43.37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change in unvested PRSUs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Number of PRSUs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9"/>
              </w:rPr>
              <w:t>Weighted-Average Grant-Date Fair</w:t>
            </w:r>
          </w:p>
        </w:tc>
        <w:tc>
          <w:tcPr>
            <w:tcW w:w="0" w:type="dxa"/>
            <w:vAlign w:val="bottom"/>
          </w:tcPr>
          <w:p>
            <w:pPr>
              <w:spacing w:after="0"/>
              <w:rPr>
                <w:sz w:val="1"/>
                <w:szCs w:val="1"/>
                <w:color w:val="auto"/>
              </w:rPr>
            </w:pPr>
          </w:p>
        </w:tc>
      </w:tr>
      <w:tr>
        <w:trPr>
          <w:trHeight w:val="169"/>
        </w:trPr>
        <w:tc>
          <w:tcPr>
            <w:tcW w:w="69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Value Per PRSU</w:t>
            </w:r>
          </w:p>
        </w:tc>
        <w:tc>
          <w:tcPr>
            <w:tcW w:w="0" w:type="dxa"/>
            <w:vAlign w:val="bottom"/>
          </w:tcPr>
          <w:p>
            <w:pPr>
              <w:spacing w:after="0"/>
              <w:rPr>
                <w:sz w:val="1"/>
                <w:szCs w:val="1"/>
                <w:color w:val="auto"/>
              </w:rPr>
            </w:pP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16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69,870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0" w:type="dxa"/>
            <w:vAlign w:val="bottom"/>
          </w:tcPr>
          <w:p>
            <w:pPr>
              <w:spacing w:after="0"/>
              <w:rPr>
                <w:sz w:val="1"/>
                <w:szCs w:val="1"/>
                <w:color w:val="auto"/>
              </w:rPr>
            </w:pPr>
          </w:p>
        </w:tc>
      </w:tr>
      <w:tr>
        <w:trPr>
          <w:trHeight w:val="180"/>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10,804</w:t>
            </w:r>
          </w:p>
        </w:tc>
        <w:tc>
          <w:tcPr>
            <w:tcW w:w="14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w:t>
            </w:r>
          </w:p>
        </w:tc>
        <w:tc>
          <w:tcPr>
            <w:tcW w:w="0" w:type="dxa"/>
            <w:vAlign w:val="bottom"/>
          </w:tcPr>
          <w:p>
            <w:pPr>
              <w:spacing w:after="0"/>
              <w:rPr>
                <w:sz w:val="1"/>
                <w:szCs w:val="1"/>
                <w:color w:val="auto"/>
              </w:rPr>
            </w:pPr>
          </w:p>
        </w:tc>
      </w:tr>
      <w:tr>
        <w:trPr>
          <w:trHeight w:val="180"/>
        </w:trPr>
        <w:tc>
          <w:tcPr>
            <w:tcW w:w="8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6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80,674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509"/>
        <w:spacing w:after="0" w:line="259" w:lineRule="auto"/>
        <w:rPr>
          <w:sz w:val="20"/>
          <w:szCs w:val="20"/>
          <w:color w:val="auto"/>
        </w:rPr>
      </w:pPr>
      <w:r>
        <w:rPr>
          <w:rFonts w:ascii="Times New Roman" w:cs="Times New Roman" w:eastAsia="Times New Roman" w:hAnsi="Times New Roman"/>
          <w:sz w:val="16"/>
          <w:szCs w:val="16"/>
          <w:color w:val="auto"/>
        </w:rPr>
        <w:t>As of December 31, 2025, $42.9 million of unrecognized non-cash compensation expense in respect of equity-based awards remained to be recognized over a weighted-average period of approximately 3.0 years.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Liability Classified Awards</w:t>
      </w:r>
    </w:p>
    <w:p>
      <w:pPr>
        <w:spacing w:after="0" w:line="179"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14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6"/>
          <w:szCs w:val="16"/>
          <w:color w:val="auto"/>
        </w:rPr>
        <w:t>The Company accounted for the profits interest and option agreement as a single unit of account as a liability classified equity-based award. There are no vesting provisions or service requirements related to the award. The fair value of the liability classified awards is based on the contractual redemption price. The contractual transaction price is calculated based on the adjusted net income of SPW multiplied by an adjusted trading multiple for the Company’s Class A common stock, and then increased or reduced for certain other specified items. A third-party valuation specialist assisted the Company with the fair value estimate for the awards. Certain assumptions used in determining the fair value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a discount rate and an adjusted trading multiple. The Company applied a discount rate of 31% and 34% as of December 31, 2025 and March 31, 2025, respectively, and an adjusted trading multiple of 20.0x as of December 31, 2025 and March 31, 2025, respectively.</w:t>
      </w:r>
    </w:p>
    <w:p>
      <w:pPr>
        <w:spacing w:after="0" w:line="157"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6"/>
          <w:szCs w:val="16"/>
          <w:color w:val="auto"/>
        </w:rPr>
        <w:t>The Company recognized $463.7 million and $483.5 million during the three months ended December 31, 2025 and 2024, respectively, and $1,527.4 million and $529.0 million during the nine months ended December 31, 2025 and 2024, respectively, of expense related to liability classified awards within equity-based compensation expense in the condensed consolidated statements of loss. For the three months ended December 31, 2025 and 2024, the Company paid $11.0 million and $2.3 million, respectively, related to the settlement of liability classified awards. For the nine months ended December 31, 2025 and 2024, the Company paid $26.1 million and $3.0 million, respectively, related to the settlement of liability classified awards. As of December 31, 2025 and March 31, 2025, the Company had recognized $2,165.6 million and $663.9 million, respectively, for liability classified awards within accrued compensation and benefits in the condensed consolidated balance sheets.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79"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The Company has an ESPP under which eligible employees may purchase shares of Class A common stock of the Company at six-month period intervals for 85% of the lower of the fair market value on either the first or last trading day of the offering period. The offering periods run from April 1 to September 30, and October 1 to March 31 each year. Each eligible employee may purchase up to five thousand dollars worth of shares each six-month offering period, limited to a maximum of 1,000 shares. During the three months ended December 31, 2025 and 2024, no shares were purchased under the ESPP as purchases typically occur in September and March. During the nine months ended December 31, 2025 and 2024, 37,712 shares and 38,096 shares, respectively, were purchased under the ESPP. As of December 31, 2025, the Company has 2,092,481 shares of Class A common stock reserved for future issuances under the ESPP.</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ind w:left="360" w:hanging="355"/>
        <w:spacing w:after="0"/>
        <w:tabs>
          <w:tab w:leader="none" w:pos="36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179"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color w:val="auto"/>
        </w:rPr>
        <w:t>In connection with the exchanges of Class B and Class D units of the Partnership for Class A common stock by certain limited partners of the Partnership during the three months ended December 31, 2025, the Company recorded an increase to the deferred tax asset of $18.5 million and an increase in the valuation allowance of $0.8 million. Additionally, a corresponding Tax Receivable Agreements liability of $13.6 million was recorded, representing 85% of the incremental net cash tax savings for the Company as a result of these exchanges. The Company made payments of $1.1 million and $17 thousand during the three months ended December 31, 2025 and 2024, respectively, and payments of $12.6 million and $9.8 million during the nine months ended December 31, 2025 and 2024, respectively, under the Tax Receivable Agreements. As of December 31, 2025, the Company’s total Tax Receivable Agreements liability was $334.3 million. See note 12 for more information on the Tax Receivable Agreements.</w:t>
      </w:r>
    </w:p>
    <w:p>
      <w:pPr>
        <w:spacing w:after="0" w:line="11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6"/>
          <w:szCs w:val="16"/>
          <w:color w:val="auto"/>
        </w:rPr>
        <w:t>During the three and nine months ended December 31, 2025, the Company recognized an expense within equity-based compensation expense in the condensed consolidated statements of loss to remeasure the profits interests issued in SPW which are accounted for as liability classified awards. This expense is not currently deductible for tax purposes, resulting in a temporary difference that increased the Company’s deferred tax asset by $56.7 million and $207.0 million during the three and nine months ended December 31, 2025, respectively. See note 9 for more information.</w:t>
      </w:r>
    </w:p>
    <w:p>
      <w:pPr>
        <w:spacing w:after="0" w:line="150"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6"/>
          <w:szCs w:val="16"/>
          <w:color w:val="auto"/>
        </w:rPr>
        <w:t>The Company’s effective income tax rate was 16.5% and 16.7% for the three months ended December 31, 2025 and 2024, respectively and 15.8% and 19.8% for the nine months ended December 31, 2025 and 2024, respectively. The overall effective tax rate in each of the periods described above is less than the statutory rate. For the three and nine months ended December 31, 2025 and 2024, this is primarily due to a portion of net loss allocated to non-controlling interests and the related tax benefit being borne by the holders of non-controlling interests. The decrease in the effective tax rate for the nine months ended December 31, 2025 as compared to the prior year period was mainly driven by an increase in the tax expense associated with net loss allocated to non-controlling interests in a period of increased pre-tax net loss.</w:t>
      </w:r>
    </w:p>
    <w:p>
      <w:pPr>
        <w:spacing w:after="0" w:line="153" w:lineRule="exact"/>
        <w:rPr>
          <w:sz w:val="20"/>
          <w:szCs w:val="20"/>
          <w:color w:val="auto"/>
        </w:rPr>
      </w:pPr>
    </w:p>
    <w:p>
      <w:pPr>
        <w:jc w:val="both"/>
        <w:ind w:right="140" w:firstLine="509"/>
        <w:spacing w:after="0" w:line="307" w:lineRule="auto"/>
        <w:rPr>
          <w:sz w:val="20"/>
          <w:szCs w:val="20"/>
          <w:color w:val="auto"/>
        </w:rPr>
      </w:pPr>
      <w:r>
        <w:rPr>
          <w:rFonts w:ascii="Times New Roman" w:cs="Times New Roman" w:eastAsia="Times New Roman" w:hAnsi="Times New Roman"/>
          <w:sz w:val="14"/>
          <w:szCs w:val="14"/>
          <w:color w:val="auto"/>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their legislation, and additional countries are anticipated to adopt these rules in the future. To date, these legislative changes have not had a material impact on the Company’s effective tax rate.</w:t>
      </w:r>
    </w:p>
    <w:p>
      <w:pPr>
        <w:spacing w:after="0" w:line="104"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23" w:lineRule="exact"/>
        <w:rPr>
          <w:sz w:val="20"/>
          <w:szCs w:val="20"/>
          <w:color w:val="auto"/>
        </w:rPr>
      </w:pPr>
    </w:p>
    <w:p>
      <w:pPr>
        <w:ind w:right="360" w:firstLine="509"/>
        <w:spacing w:after="0" w:line="273" w:lineRule="auto"/>
        <w:rPr>
          <w:sz w:val="20"/>
          <w:szCs w:val="20"/>
          <w:color w:val="auto"/>
        </w:rPr>
      </w:pPr>
      <w:r>
        <w:rPr>
          <w:rFonts w:ascii="Times New Roman" w:cs="Times New Roman" w:eastAsia="Times New Roman" w:hAnsi="Times New Roman"/>
          <w:sz w:val="16"/>
          <w:szCs w:val="16"/>
          <w:color w:val="auto"/>
        </w:rPr>
        <w:t>As of December 31, 2025,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ind w:left="340" w:hanging="335"/>
        <w:spacing w:after="0"/>
        <w:tabs>
          <w:tab w:leader="none" w:pos="34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179" w:lineRule="exact"/>
        <w:rPr>
          <w:sz w:val="20"/>
          <w:szCs w:val="20"/>
          <w:color w:val="auto"/>
        </w:rPr>
      </w:pPr>
    </w:p>
    <w:p>
      <w:pPr>
        <w:ind w:right="280" w:firstLine="509"/>
        <w:spacing w:after="0" w:line="259" w:lineRule="auto"/>
        <w:rPr>
          <w:sz w:val="20"/>
          <w:szCs w:val="20"/>
          <w:color w:val="auto"/>
        </w:rPr>
      </w:pPr>
      <w:r>
        <w:rPr>
          <w:rFonts w:ascii="Times New Roman" w:cs="Times New Roman" w:eastAsia="Times New Roman" w:hAnsi="Times New Roman"/>
          <w:sz w:val="16"/>
          <w:szCs w:val="16"/>
          <w:color w:val="auto"/>
        </w:rPr>
        <w:t>Basic and diluted earnings per share of Class A common stock are presented for the three and nine months ended December 31, 2025 and 2024. The following table sets forth reconciliations of the numerators and denominators used to compute basic and diluted earnings per share of Class A common stock: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80" w:type="dxa"/>
            <w:vAlign w:val="bottom"/>
          </w:tcPr>
          <w:p>
            <w:pPr>
              <w:spacing w:after="0"/>
              <w:rPr>
                <w:sz w:val="16"/>
                <w:szCs w:val="16"/>
                <w:color w:val="auto"/>
              </w:rPr>
            </w:pPr>
          </w:p>
        </w:tc>
        <w:tc>
          <w:tcPr>
            <w:tcW w:w="300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42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1"/>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attributable to StepStone Group Inc. – Basic</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(123,451)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(528,017)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(161,055)</w:t>
            </w: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attributable to StepStone Group Inc. – Diluted</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(123,451)</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(192,015)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(528,017)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(161,055)</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3"/>
        </w:trPr>
        <w:tc>
          <w:tcPr>
            <w:tcW w:w="4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2"/>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Basic</w:t>
            </w: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79,465,039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73,687,289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78,627,273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69,561,254</w:t>
            </w:r>
          </w:p>
        </w:tc>
      </w:tr>
      <w:tr>
        <w:trPr>
          <w:trHeight w:val="146"/>
        </w:trPr>
        <w:tc>
          <w:tcPr>
            <w:tcW w:w="4280" w:type="dxa"/>
            <w:vAlign w:val="bottom"/>
          </w:tcPr>
          <w:p>
            <w:pPr>
              <w:ind w:left="180"/>
              <w:spacing w:after="0" w:line="146" w:lineRule="exact"/>
              <w:rPr>
                <w:sz w:val="20"/>
                <w:szCs w:val="20"/>
                <w:color w:val="auto"/>
              </w:rPr>
            </w:pPr>
            <w:r>
              <w:rPr>
                <w:rFonts w:ascii="Times New Roman" w:cs="Times New Roman" w:eastAsia="Times New Roman" w:hAnsi="Times New Roman"/>
                <w:sz w:val="14"/>
                <w:szCs w:val="14"/>
                <w:color w:val="auto"/>
              </w:rPr>
              <w:t>Weighted-average shares of Class A common stock outstanding –</w:t>
            </w: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84"/>
        </w:trPr>
        <w:tc>
          <w:tcPr>
            <w:tcW w:w="4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79,465,039</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73,687,289</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78,627,273</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69,561,254</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4"/>
        </w:trPr>
        <w:tc>
          <w:tcPr>
            <w:tcW w:w="4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of Class A common stock:</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4"/>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bl>
    <w:p>
      <w:pPr>
        <w:spacing w:after="0" w:line="21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6"/>
          <w:szCs w:val="16"/>
          <w:color w:val="auto"/>
        </w:rPr>
        <w:t>Diluted earnings per share of Class A common stock is computed by dividing net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32" w:lineRule="exact"/>
        <w:rPr>
          <w:sz w:val="20"/>
          <w:szCs w:val="20"/>
          <w:color w:val="auto"/>
        </w:rPr>
      </w:pPr>
    </w:p>
    <w:p>
      <w:pPr>
        <w:ind w:right="500" w:firstLine="509"/>
        <w:spacing w:after="0" w:line="273" w:lineRule="auto"/>
        <w:rPr>
          <w:sz w:val="20"/>
          <w:szCs w:val="20"/>
          <w:color w:val="auto"/>
        </w:rPr>
      </w:pPr>
      <w:r>
        <w:rPr>
          <w:rFonts w:ascii="Times New Roman" w:cs="Times New Roman" w:eastAsia="Times New Roman" w:hAnsi="Times New Roman"/>
          <w:sz w:val="16"/>
          <w:szCs w:val="16"/>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23" w:lineRule="exact"/>
        <w:rPr>
          <w:sz w:val="20"/>
          <w:szCs w:val="20"/>
          <w:color w:val="auto"/>
        </w:rPr>
      </w:pPr>
    </w:p>
    <w:p>
      <w:pPr>
        <w:ind w:right="340" w:firstLine="509"/>
        <w:spacing w:after="0" w:line="252" w:lineRule="auto"/>
        <w:rPr>
          <w:sz w:val="20"/>
          <w:szCs w:val="20"/>
          <w:color w:val="auto"/>
        </w:rPr>
      </w:pPr>
      <w:r>
        <w:rPr>
          <w:rFonts w:ascii="Times New Roman" w:cs="Times New Roman" w:eastAsia="Times New Roman" w:hAnsi="Times New Roman"/>
          <w:sz w:val="16"/>
          <w:szCs w:val="16"/>
          <w:color w:val="auto"/>
        </w:rPr>
        <w:t>The calculation of diluted earnings per share excludes 39,017,716 Class B units, 931,103 Class C units and 1,917,870 Class D units of the Partnership outstanding as of December 31, 2025, and 40,127,254 Class B units, 965,761 Class C units and 1,536,970 Class D units of the Partnership outstanding as of December 31, 2024, which are exchangeable into Class A common stock under the if-converted method, as the inclusion of such shares would be anti-dilutive. The calculation of diluted earnings per share excludes 80,674 PRSUs outstanding as of December 31, 2025 as the related performance targets have not been met as of December 31, 2025.</w:t>
      </w:r>
    </w:p>
    <w:p>
      <w:pPr>
        <w:spacing w:after="0" w:line="150"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6"/>
          <w:szCs w:val="16"/>
          <w:color w:val="auto"/>
        </w:rPr>
        <w:t>As the Company was in a net loss position for the three and nine months ended December 31, 2025, the calculation of diluted earnings per share excludes potential shares of Class A common stock for 1,068,704 outstanding RSUs, as the inclusion of such shares would be anti-dilutive.</w:t>
      </w:r>
    </w:p>
    <w:p>
      <w:pPr>
        <w:spacing w:after="0" w:line="144"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6"/>
          <w:szCs w:val="16"/>
          <w:color w:val="auto"/>
        </w:rPr>
        <w:t>As the Company was in a net loss position for the three and nine months ended December 31, 2024, the calculation of diluted earnings per share excludes potential shares of Class A common stock for 839,883 outstanding RSUs, as the inclusion of such shares would be anti-dilutive.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ind w:left="360" w:hanging="355"/>
        <w:spacing w:after="0"/>
        <w:tabs>
          <w:tab w:leader="none" w:pos="3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considers its directors, greater than 5% beneficial owner of any class of the Company’s stock, senior executives, employees and equity method investments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 related parties. A substantial portion of the Company’s management and advisory fees and carried interest allocations is earned from various StepStone Funds.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earned net management and advisory fees from the StepStone Funds of $172.2 million and $121.2 million for the three months ended December 31, 2025 and 2024,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$480.0 million and $369.8 million for the nine months ended December 31, 2025 and 2024, respectively. The Company earned incentive fees from the StepStone Funds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$208.0 million for the three and nine months ended December 31, 2025, respectively, and $22.3 million and $22.5 million for the three and nine months ended </w:t>
      </w:r>
      <w:r>
        <w:rPr>
          <w:rFonts w:ascii="Times New Roman" w:cs="Times New Roman" w:eastAsia="Times New Roman" w:hAnsi="Times New Roman"/>
          <w:sz w:val="14"/>
          <w:szCs w:val="14"/>
          <w:color w:val="231F20"/>
        </w:rPr>
        <w:t>December 31, 2024</w:t>
      </w:r>
      <w:r>
        <w:rPr>
          <w:rFonts w:ascii="Times New Roman" w:cs="Times New Roman" w:eastAsia="Times New Roman" w:hAnsi="Times New Roman"/>
          <w:sz w:val="14"/>
          <w:szCs w:val="14"/>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Carried interest allocation revenues earned from the StepStone Funds totaled $148.7 million and $117.6 million for the three months ended December 31, 2025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 respectively, and $468.7 million and $204.1 million for the nine months ended December 31, 2025 and 2024, respectively. Legacy Greenspring carried interest allocation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earned from certain legacy Greenspring funds for which the Company has no direct economic interests totaled $(10.1) million and $8.2 million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2024, respectively, and $56.7 million and $13.0 million for the nine months ended December 31, 2025 and 2024, respectively.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40" w:type="dxa"/>
            <w:vAlign w:val="bottom"/>
            <w:tcBorders>
              <w:bottom w:val="single" w:sz="8" w:color="auto"/>
            </w:tcBorders>
          </w:tcPr>
          <w:p>
            <w:pPr>
              <w:spacing w:after="0"/>
              <w:rPr>
                <w:sz w:val="14"/>
                <w:szCs w:val="14"/>
                <w:color w:val="auto"/>
              </w:rPr>
            </w:pPr>
          </w:p>
        </w:tc>
      </w:tr>
      <w:tr>
        <w:trPr>
          <w:trHeight w:val="161"/>
        </w:trPr>
        <w:tc>
          <w:tcPr>
            <w:tcW w:w="8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receivable from StepStone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280,894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65,765</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receivable from employees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12,919</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receivable from loans</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15,147</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w:t>
            </w:r>
          </w:p>
        </w:tc>
      </w:tr>
      <w:tr>
        <w:trPr>
          <w:trHeight w:val="171"/>
        </w:trPr>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due from affiliates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334,942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92,723</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firstLine="509"/>
        <w:spacing w:after="0" w:line="273" w:lineRule="auto"/>
        <w:rPr>
          <w:sz w:val="20"/>
          <w:szCs w:val="20"/>
          <w:color w:val="auto"/>
        </w:rPr>
      </w:pPr>
      <w:r>
        <w:rPr>
          <w:rFonts w:ascii="Times New Roman" w:cs="Times New Roman" w:eastAsia="Times New Roman" w:hAnsi="Times New Roman"/>
          <w:sz w:val="16"/>
          <w:szCs w:val="16"/>
          <w:color w:val="auto"/>
        </w:rPr>
        <w:t>Due to affiliates in the condensed consolidated balance sheets consists primarily of amounts payable to certain non-controlling interest holders in connection with the Tax Receivable Agreements, amounts payable to the StepStone Funds and amounts due to employee equity holders of consolidated subsidiaries, as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40" w:type="dxa"/>
            <w:vAlign w:val="bottom"/>
            <w:tcBorders>
              <w:bottom w:val="single" w:sz="8" w:color="auto"/>
            </w:tcBorders>
          </w:tcPr>
          <w:p>
            <w:pPr>
              <w:spacing w:after="0"/>
              <w:rPr>
                <w:sz w:val="14"/>
                <w:szCs w:val="14"/>
                <w:color w:val="auto"/>
              </w:rPr>
            </w:pPr>
          </w:p>
        </w:tc>
      </w:tr>
      <w:tr>
        <w:trPr>
          <w:trHeight w:val="161"/>
        </w:trPr>
        <w:tc>
          <w:tcPr>
            <w:tcW w:w="8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payable to non-controlling interest holders in connection with Tax Receivable Agreements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334,272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313,749</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payable to StepStone Funds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18,072</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payable to certain employee equity holders of consolidated subsidiaries</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due to affiliates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354,610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331,821</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509"/>
        <w:spacing w:after="0" w:line="273" w:lineRule="auto"/>
        <w:rPr>
          <w:sz w:val="20"/>
          <w:szCs w:val="20"/>
          <w:color w:val="auto"/>
        </w:rPr>
      </w:pPr>
      <w:r>
        <w:rPr>
          <w:rFonts w:ascii="Times New Roman" w:cs="Times New Roman" w:eastAsia="Times New Roman" w:hAnsi="Times New Roman"/>
          <w:sz w:val="16"/>
          <w:szCs w:val="16"/>
          <w:color w:val="auto"/>
        </w:rPr>
        <w:t>The Company made payments of $1.1 million and $17 thousand during the three months ended December 31, 2025 and 2024, respectively, and $12.6 million and $9.8 million for the nine months ended December 31, 2025 and 2024, respectively, under the Tax Receivable Agreements.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ind w:left="360" w:hanging="355"/>
        <w:spacing w:after="0"/>
        <w:tabs>
          <w:tab w:leader="none" w:pos="3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 and Redeemable Non-Controlling Interests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168" w:lineRule="exact"/>
        <w:rPr>
          <w:sz w:val="20"/>
          <w:szCs w:val="20"/>
          <w:color w:val="auto"/>
        </w:rPr>
      </w:pPr>
    </w:p>
    <w:p>
      <w:pPr>
        <w:jc w:val="both"/>
        <w:ind w:right="180" w:firstLine="509"/>
        <w:spacing w:after="0" w:line="252" w:lineRule="auto"/>
        <w:rPr>
          <w:sz w:val="20"/>
          <w:szCs w:val="20"/>
          <w:color w:val="auto"/>
        </w:rPr>
      </w:pPr>
      <w:r>
        <w:rPr>
          <w:rFonts w:ascii="Times New Roman" w:cs="Times New Roman" w:eastAsia="Times New Roman" w:hAnsi="Times New Roman"/>
          <w:sz w:val="16"/>
          <w:szCs w:val="16"/>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50"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6"/>
          <w:szCs w:val="16"/>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shows a rollforward of the Company’s shares of common stock outstanding since March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Class B Common Stock</w:t>
            </w:r>
          </w:p>
        </w:tc>
      </w:tr>
      <w:tr>
        <w:trPr>
          <w:trHeight w:val="17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2025</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76,761,399</w:t>
            </w:r>
          </w:p>
        </w:tc>
        <w:tc>
          <w:tcPr>
            <w:tcW w:w="12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39,656,954</w:t>
            </w:r>
          </w:p>
        </w:tc>
      </w:tr>
      <w:tr>
        <w:trPr>
          <w:trHeight w:val="180"/>
        </w:trPr>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 issued in exchange for Class B Partnership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639,238</w:t>
            </w:r>
          </w:p>
        </w:tc>
        <w:tc>
          <w:tcPr>
            <w:tcW w:w="12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(639,238)</w:t>
            </w:r>
          </w:p>
        </w:tc>
      </w:tr>
      <w:tr>
        <w:trPr>
          <w:trHeight w:val="18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issued in exchange for Class C Partnership units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34,658</w:t>
            </w:r>
          </w:p>
        </w:tc>
        <w:tc>
          <w:tcPr>
            <w:tcW w:w="12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 issued in exchange for Class D Partnership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1,892,506</w:t>
            </w:r>
          </w:p>
        </w:tc>
        <w:tc>
          <w:tcPr>
            <w:tcW w:w="12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issued for vesting of RSUs, net of shares withheld for taxes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12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 issued for purchase of asset class non-controlling interests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756,105</w:t>
            </w:r>
          </w:p>
        </w:tc>
        <w:tc>
          <w:tcPr>
            <w:tcW w:w="12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issued under ESPP</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37,712</w:t>
            </w:r>
          </w:p>
        </w:tc>
        <w:tc>
          <w:tcPr>
            <w:tcW w:w="120" w:type="dxa"/>
            <w:vAlign w:val="bottom"/>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80,135,346</w:t>
            </w:r>
          </w:p>
        </w:tc>
        <w:tc>
          <w:tcPr>
            <w:tcW w:w="120" w:type="dxa"/>
            <w:vAlign w:val="bottom"/>
          </w:tcPr>
          <w:p>
            <w:pPr>
              <w:spacing w:after="0"/>
              <w:rPr>
                <w:sz w:val="14"/>
                <w:szCs w:val="14"/>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39,017,716</w:t>
            </w:r>
          </w:p>
        </w:tc>
      </w:tr>
      <w:tr>
        <w:trPr>
          <w:trHeight w:val="20"/>
        </w:trPr>
        <w:tc>
          <w:tcPr>
            <w:tcW w:w="63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6"/>
          <w:szCs w:val="16"/>
          <w:color w:val="auto"/>
        </w:rPr>
        <w:t>The Company has 25,000,000 authorized shares of preferred stock, par value of $0.001 per share, and as of December 31, 2025, no shares of preferred stock were issued or outstanding.</w:t>
      </w:r>
    </w:p>
    <w:p>
      <w:pPr>
        <w:spacing w:after="0" w:line="144"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In December 2025, the Company issued 116,000 shares of Class A common stock to certain limited partners of the Partnership in exchange for 116,000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892,169 shares of Class A common stock to certain limited partners of the Partnership in exchange for 892,169 Class D units of the Partnership in accordance with the elective exchange notices submitted pursuant to the Class D Exchange Agreement, and a corresponding number of Class A units of the Partnership were issued to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6"/>
          <w:szCs w:val="16"/>
          <w:color w:val="auto"/>
        </w:rPr>
        <w:t>In September 2025, the Company issued 370,470 shares of Class A common stock to certain limited partners of the Partnership in exchange for 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the Company. The Company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the Company.</w:t>
      </w:r>
    </w:p>
    <w:p>
      <w:pPr>
        <w:spacing w:after="0" w:line="15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6"/>
          <w:szCs w:val="16"/>
          <w:color w:val="auto"/>
        </w:rPr>
        <w:t>In June 2025, the Company issued 152,768 shares of Class A common stock to certain limited partners of the Partnership in exchange for 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the Company. The Company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the Company.</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Purchase of Asset Class Non-Controlling Interests</w:t>
      </w:r>
    </w:p>
    <w:p>
      <w:pPr>
        <w:spacing w:after="0" w:line="1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6"/>
          <w:szCs w:val="16"/>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48" w:lineRule="exact"/>
        <w:rPr>
          <w:sz w:val="20"/>
          <w:szCs w:val="20"/>
          <w:color w:val="auto"/>
        </w:rPr>
      </w:pPr>
    </w:p>
    <w:p>
      <w:pPr>
        <w:jc w:val="both"/>
        <w:ind w:right="100" w:firstLine="509"/>
        <w:spacing w:after="0" w:line="252" w:lineRule="auto"/>
        <w:rPr>
          <w:sz w:val="20"/>
          <w:szCs w:val="20"/>
          <w:color w:val="auto"/>
        </w:rPr>
      </w:pPr>
      <w:r>
        <w:rPr>
          <w:rFonts w:ascii="Times New Roman" w:cs="Times New Roman" w:eastAsia="Times New Roman" w:hAnsi="Times New Roman"/>
          <w:sz w:val="16"/>
          <w:szCs w:val="16"/>
          <w:color w:val="auto"/>
        </w:rPr>
        <w:t>The Transaction Agreements provide for, among other things and subject to the terms and conditions therein, the exchange of the sellers’ equity interests in the Asset Class Entities, as applicable, for a combination of (i) Class D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w:t>
      </w:r>
    </w:p>
    <w:p>
      <w:pPr>
        <w:spacing w:after="0" w:line="140"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3"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6"/>
          <w:szCs w:val="16"/>
          <w:color w:val="auto"/>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spacing w:after="0" w:line="148" w:lineRule="exact"/>
        <w:rPr>
          <w:sz w:val="20"/>
          <w:szCs w:val="20"/>
          <w:color w:val="auto"/>
        </w:rPr>
      </w:pPr>
    </w:p>
    <w:p>
      <w:pPr>
        <w:jc w:val="both"/>
        <w:ind w:right="20" w:firstLine="509"/>
        <w:spacing w:after="0" w:line="252" w:lineRule="auto"/>
        <w:rPr>
          <w:sz w:val="20"/>
          <w:szCs w:val="20"/>
          <w:color w:val="auto"/>
        </w:rPr>
      </w:pPr>
      <w:r>
        <w:rPr>
          <w:rFonts w:ascii="Times New Roman" w:cs="Times New Roman" w:eastAsia="Times New Roman" w:hAnsi="Times New Roman"/>
          <w:sz w:val="16"/>
          <w:szCs w:val="16"/>
          <w:color w:val="auto"/>
        </w:rPr>
        <w:t>On May 31, 2024, the Company completed the first annual exchange (the “2024 Exchange”) to acquire approximately 5% of the equity interests of each of SRA, SRE and SPD pursuant to the Transaction Agreements. As a result of the 2024 Exchange, the Partnership owned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140"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54"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6"/>
          <w:szCs w:val="16"/>
          <w:color w:val="auto"/>
        </w:rPr>
        <w:t>On May 30, 2025, the Company completed the second annual exchange (the “2025 Exchange”) to acquire approximately 5% of the equity interests of each of SRA, SRE and SPD pursuant to the Transaction Agreements. As a result of the 2025 Exchange, the Partnership now owns approximately 60% of the outstanding equity interests of SRA, 60% of the outstanding equity interests of SRE and 59% of the outstanding equity interests of SPD. The aggregate consideration paid by the Company in the 2025 Exchange was approximately (i) $10 million in cash, (ii) 756,105 shares of the Company’s Class A common stock and (iii) 2,438,403 Class D units of the Partnership.</w:t>
      </w:r>
    </w:p>
    <w:p>
      <w:pPr>
        <w:spacing w:after="0" w:line="140"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6"/>
          <w:szCs w:val="16"/>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5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6"/>
          <w:szCs w:val="16"/>
          <w:color w:val="auto"/>
        </w:rPr>
        <w:t>As of December 31, 2025, the Company determined that redemption of the redeemable non-controlling interests in subsidiaries was probable and presented the carrying value at the redemption amount based on the conditions that existed as of that date of $7.9 million in the condensed consolidated balance sheets within redeemable non-controlling interests in subsidiaries.</w:t>
      </w:r>
    </w:p>
    <w:p>
      <w:pPr>
        <w:spacing w:after="0" w:line="137"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6"/>
          <w:szCs w:val="16"/>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Dividends and Distributions</w:t>
      </w:r>
    </w:p>
    <w:p>
      <w:pPr>
        <w:spacing w:after="0" w:line="179"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6"/>
          <w:szCs w:val="16"/>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4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6"/>
          <w:szCs w:val="16"/>
          <w:color w:val="auto"/>
        </w:rPr>
        <w:t>On November 6, 2025, the Company announced a quarterly cash dividend of $0.28 per share of Class A common stock, which was paid on December 15, 2025 to holders of record as of the close of business on November 28, 2025.</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activities associated with the redeemable non-controlling interests in Consolidated Funds: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4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671,705</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205,624</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377,897</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102,623</w:t>
            </w:r>
          </w:p>
        </w:tc>
      </w:tr>
      <w:tr>
        <w:trPr>
          <w:trHeight w:val="180"/>
        </w:trPr>
        <w:tc>
          <w:tcPr>
            <w:tcW w:w="4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Contributions</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109,803</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79,138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391,250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169,943</w:t>
            </w:r>
          </w:p>
        </w:tc>
      </w:tr>
      <w:tr>
        <w:trPr>
          <w:trHeight w:val="180"/>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Redemption of redeemable non-controlling interests</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(8,845)</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(53,793)</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(8,845)</w:t>
            </w:r>
          </w:p>
        </w:tc>
      </w:tr>
      <w:tr>
        <w:trPr>
          <w:trHeight w:val="180"/>
        </w:trPr>
        <w:tc>
          <w:tcPr>
            <w:tcW w:w="4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18,564</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79,180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23,101</w:t>
            </w:r>
          </w:p>
        </w:tc>
      </w:tr>
      <w:tr>
        <w:trPr>
          <w:trHeight w:val="180"/>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Deconsolidation of consolidated fund</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(622,664)</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(622,664)</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171,870</w:t>
            </w:r>
          </w:p>
        </w:tc>
        <w:tc>
          <w:tcPr>
            <w:tcW w:w="2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286,822</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171,870</w:t>
            </w: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286,822</w:t>
            </w:r>
          </w:p>
        </w:tc>
      </w:tr>
      <w:tr>
        <w:trPr>
          <w:trHeight w:val="20"/>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activities associated with the redeemable non-controlling interests in subsidiaries: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4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6,238</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115,920</w:t>
            </w:r>
          </w:p>
        </w:tc>
      </w:tr>
      <w:tr>
        <w:trPr>
          <w:trHeight w:val="18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18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Redemption of redeemable non-controlling interests</w:t>
            </w:r>
          </w:p>
        </w:tc>
        <w:tc>
          <w:tcPr>
            <w:tcW w:w="1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(110,351)</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7,914</w:t>
            </w:r>
          </w:p>
        </w:tc>
        <w:tc>
          <w:tcPr>
            <w:tcW w:w="2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7,914</w:t>
            </w: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6,552</w:t>
            </w:r>
          </w:p>
        </w:tc>
      </w:tr>
      <w:tr>
        <w:trPr>
          <w:trHeight w:val="20"/>
        </w:trPr>
        <w:tc>
          <w:tcPr>
            <w:tcW w:w="4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60" w:hanging="355"/>
        <w:spacing w:after="0"/>
        <w:tabs>
          <w:tab w:leader="none" w:pos="36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16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6"/>
          <w:szCs w:val="16"/>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December 31, 2025.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Lease Commitments</w:t>
      </w:r>
    </w:p>
    <w:p>
      <w:pPr>
        <w:spacing w:after="0" w:line="179" w:lineRule="exact"/>
        <w:rPr>
          <w:sz w:val="20"/>
          <w:szCs w:val="20"/>
          <w:color w:val="auto"/>
        </w:rPr>
      </w:pPr>
    </w:p>
    <w:p>
      <w:pPr>
        <w:ind w:right="460" w:firstLine="509"/>
        <w:spacing w:after="0" w:line="330" w:lineRule="auto"/>
        <w:rPr>
          <w:sz w:val="20"/>
          <w:szCs w:val="20"/>
          <w:color w:val="auto"/>
        </w:rPr>
      </w:pPr>
      <w:r>
        <w:rPr>
          <w:rFonts w:ascii="Times New Roman" w:cs="Times New Roman" w:eastAsia="Times New Roman" w:hAnsi="Times New Roman"/>
          <w:sz w:val="14"/>
          <w:szCs w:val="14"/>
          <w:color w:val="auto"/>
        </w:rPr>
        <w:t>The Company leases offices in 31 cities in North America, South America, Europe, Middle East, Asia and Australia, and certain equipment subject to operating lease agreements expiring through 2039, some of which may include options to extend or terminate the lease. As of December 31, 2025, there were no finance leases outstanding.</w:t>
      </w:r>
    </w:p>
    <w:p>
      <w:pPr>
        <w:spacing w:after="0" w:line="9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6"/>
          <w:szCs w:val="16"/>
          <w:color w:val="auto"/>
        </w:rPr>
        <w:t>In May 2025, the Company executed an agreement to lease an additional floor for its New York office. The Company expects to gain access to the office space in 2026. At that time, the Company will establish a ROU asset and lease liability for the new lease. Upon lease commencement, total future lease payments are expected to be approximately $59 million over approximately 15 years.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lease expense included in general, administrative and other expenses in the condensed consolidated statements of loss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71"/>
        </w:trPr>
        <w:tc>
          <w:tcPr>
            <w:tcW w:w="18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0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Operating lease cost</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12,028</w:t>
            </w:r>
          </w:p>
        </w:tc>
        <w:tc>
          <w:tcPr>
            <w:tcW w:w="0" w:type="dxa"/>
            <w:vAlign w:val="bottom"/>
          </w:tcPr>
          <w:p>
            <w:pPr>
              <w:spacing w:after="0"/>
              <w:rPr>
                <w:sz w:val="1"/>
                <w:szCs w:val="1"/>
                <w:color w:val="auto"/>
              </w:rPr>
            </w:pPr>
          </w:p>
        </w:tc>
      </w:tr>
      <w:tr>
        <w:trPr>
          <w:trHeight w:val="18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8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1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24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(1)</w:t>
            </w:r>
          </w:p>
        </w:tc>
        <w:tc>
          <w:tcPr>
            <w:tcW w:w="49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cost includes an immaterial amount of short-term leases.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80" w:type="dxa"/>
            <w:vAlign w:val="bottom"/>
          </w:tcPr>
          <w:p>
            <w:pPr>
              <w:spacing w:after="0"/>
              <w:rPr>
                <w:sz w:val="24"/>
                <w:szCs w:val="24"/>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71"/>
        </w:trPr>
        <w:tc>
          <w:tcPr>
            <w:tcW w:w="18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5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12,988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11,298</w:t>
            </w:r>
          </w:p>
        </w:tc>
        <w:tc>
          <w:tcPr>
            <w:tcW w:w="0" w:type="dxa"/>
            <w:vAlign w:val="bottom"/>
          </w:tcPr>
          <w:p>
            <w:pPr>
              <w:spacing w:after="0"/>
              <w:rPr>
                <w:sz w:val="1"/>
                <w:szCs w:val="1"/>
                <w:color w:val="auto"/>
              </w:rPr>
            </w:pPr>
          </w:p>
        </w:tc>
      </w:tr>
      <w:tr>
        <w:trPr>
          <w:trHeight w:val="18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for operating leases (in years)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for operating leases</w:t>
            </w: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700"/>
        </w:trPr>
        <w:tc>
          <w:tcPr>
            <w:tcW w:w="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 w:type="dxa"/>
            <w:vAlign w:val="bottom"/>
            <w:tcBorders>
              <w:bottom w:val="single" w:sz="8" w:color="9A9A9A"/>
            </w:tcBorders>
          </w:tcPr>
          <w:p>
            <w:pPr>
              <w:spacing w:after="0"/>
              <w:rPr>
                <w:sz w:val="22"/>
                <w:szCs w:val="22"/>
                <w:color w:val="auto"/>
              </w:rPr>
            </w:pPr>
          </w:p>
        </w:tc>
        <w:tc>
          <w:tcPr>
            <w:tcW w:w="38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9900" w:type="dxa"/>
            <w:vAlign w:val="bottom"/>
          </w:tcPr>
          <w:p>
            <w:pPr>
              <w:jc w:val="center"/>
              <w:ind w:left="1308"/>
              <w:spacing w:after="0"/>
              <w:rPr>
                <w:sz w:val="20"/>
                <w:szCs w:val="20"/>
                <w:color w:val="auto"/>
              </w:rPr>
            </w:pPr>
            <w:r>
              <w:rPr>
                <w:rFonts w:ascii="Times New Roman" w:cs="Times New Roman" w:eastAsia="Times New Roman" w:hAnsi="Times New Roman"/>
                <w:sz w:val="16"/>
                <w:szCs w:val="16"/>
                <w:b w:val="1"/>
                <w:bCs w:val="1"/>
                <w:color w:val="auto"/>
                <w:w w:val="97"/>
              </w:rPr>
              <w:t>StepStone Group Inc.</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9900" w:type="dxa"/>
            <w:vAlign w:val="bottom"/>
          </w:tcPr>
          <w:p>
            <w:pPr>
              <w:jc w:val="center"/>
              <w:ind w:left="1328"/>
              <w:spacing w:after="0"/>
              <w:rPr>
                <w:sz w:val="20"/>
                <w:szCs w:val="20"/>
                <w:color w:val="auto"/>
              </w:rPr>
            </w:pPr>
            <w:r>
              <w:rPr>
                <w:rFonts w:ascii="Times New Roman" w:cs="Times New Roman" w:eastAsia="Times New Roman" w:hAnsi="Times New Roman"/>
                <w:sz w:val="16"/>
                <w:szCs w:val="16"/>
                <w:b w:val="1"/>
                <w:bCs w:val="1"/>
                <w:color w:val="auto"/>
                <w:w w:val="97"/>
              </w:rPr>
              <w:t>Notes to Condensed Consolidated Financial Statements (Unaudited)</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2"/>
        </w:trPr>
        <w:tc>
          <w:tcPr>
            <w:tcW w:w="9900" w:type="dxa"/>
            <w:vAlign w:val="bottom"/>
          </w:tcPr>
          <w:p>
            <w:pPr>
              <w:jc w:val="center"/>
              <w:ind w:left="1328"/>
              <w:spacing w:after="0"/>
              <w:rPr>
                <w:sz w:val="20"/>
                <w:szCs w:val="20"/>
                <w:color w:val="auto"/>
              </w:rPr>
            </w:pPr>
            <w:r>
              <w:rPr>
                <w:rFonts w:ascii="Times New Roman" w:cs="Times New Roman" w:eastAsia="Times New Roman" w:hAnsi="Times New Roman"/>
                <w:sz w:val="13"/>
                <w:szCs w:val="13"/>
                <w:i w:val="1"/>
                <w:iCs w:val="1"/>
                <w:color w:val="auto"/>
                <w:w w:val="97"/>
              </w:rPr>
              <w:t>(in thousands, except share and per share amounts and where noted)</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8"/>
        </w:trPr>
        <w:tc>
          <w:tcPr>
            <w:tcW w:w="9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As of December 31, 2025, maturities of operating lease liabilities were as follows: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0"/>
        </w:trPr>
        <w:tc>
          <w:tcPr>
            <w:tcW w:w="9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FY2026</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FY2027</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16,050</w:t>
            </w: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FY2028</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w:t>
            </w: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FY2029</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15,922</w:t>
            </w: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FY2030</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16,219</w:t>
            </w:r>
          </w:p>
        </w:tc>
      </w:tr>
      <w:tr>
        <w:trPr>
          <w:trHeight w:val="180"/>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72,982</w:t>
            </w:r>
          </w:p>
        </w:tc>
      </w:tr>
      <w:tr>
        <w:trPr>
          <w:trHeight w:val="171"/>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139,360</w:t>
            </w:r>
          </w:p>
        </w:tc>
      </w:tr>
      <w:tr>
        <w:trPr>
          <w:trHeight w:val="180"/>
        </w:trPr>
        <w:tc>
          <w:tcPr>
            <w:tcW w:w="9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Imputed interest</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(32,863)</w:t>
            </w:r>
          </w:p>
        </w:tc>
      </w:tr>
      <w:tr>
        <w:trPr>
          <w:trHeight w:val="196"/>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Unfunded Capital Commitments</w:t>
      </w:r>
    </w:p>
    <w:p>
      <w:pPr>
        <w:spacing w:after="0" w:line="179"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6"/>
          <w:szCs w:val="16"/>
          <w:color w:val="auto"/>
        </w:rPr>
        <w:t>As of December 31, 2025 and March 31, 2025, the Company, generally in its capacity as general partner or managing member of the StepStone Funds, had unfunded commitments totaling $116.5 million and $125.0 million, respectively. The $116.5 million and $125.0 million of unfunded commitments as of December 31, 2025 and March 31, 2025, respectively, exclude $31.7 million and $47.8 million, respectively, related to commitments held by general partner entities for certain funds in which the Company does not hold any direct economic interests, including the legacy Greenspring funds.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Carried Interest Allocations</w:t>
      </w:r>
    </w:p>
    <w:p>
      <w:pPr>
        <w:spacing w:after="0" w:line="17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6"/>
          <w:szCs w:val="16"/>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2025 and March 31, 2025, no material amounts for potential clawback obligations had been accrued. This contingent obligation is normally reduced by income taxes that the Company has paid related to the carried interest allocations. As of December 31, 2025, the maximum amount of carried interest allocations (excluding legacy Greenspring carried interest allocations) attributable to the Company subject to contingent repayment was an estimated $419.6 million, net of tax, assuming the fair value of all investments was zero, a possibility that the Company views as remote.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Indemnification Arrangements</w:t>
      </w:r>
    </w:p>
    <w:p>
      <w:pPr>
        <w:spacing w:after="0" w:line="179"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6"/>
          <w:szCs w:val="16"/>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December 31, 2025 and March 31, 2025. Based on past experience, management believes that the risk of loss related to these indemnities is remote.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80" w:right="31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amounts and where noted)</w:t>
      </w:r>
    </w:p>
    <w:p>
      <w:pPr>
        <w:spacing w:after="0" w:line="200" w:lineRule="exact"/>
        <w:rPr>
          <w:sz w:val="20"/>
          <w:szCs w:val="20"/>
          <w:color w:val="auto"/>
        </w:rPr>
      </w:pPr>
    </w:p>
    <w:p>
      <w:pPr>
        <w:spacing w:after="0" w:line="311" w:lineRule="exact"/>
        <w:rPr>
          <w:sz w:val="20"/>
          <w:szCs w:val="20"/>
          <w:color w:val="auto"/>
        </w:rPr>
      </w:pPr>
    </w:p>
    <w:p>
      <w:pPr>
        <w:ind w:left="360" w:hanging="355"/>
        <w:spacing w:after="0"/>
        <w:tabs>
          <w:tab w:leader="none" w:pos="36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Reporting</w:t>
      </w:r>
    </w:p>
    <w:p>
      <w:pPr>
        <w:spacing w:after="0" w:line="179"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6"/>
          <w:szCs w:val="16"/>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3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The Company’s single reportable segment earns substantially all its revenue from management, advisory, and performance fees. The CODM manages the Company on a consolidated basis and utilizes GAAP net income (loss) as presented in the condensed consolidated statements of income (loss) as the primary financial measure used to assess the performance of and allocate resources to the business. The CODM regularly reviews the GAAP condensed consolidated statements of income (loss) including the revenue, expense and other captions as presented in the Company’s periodic filings. There are no other significant expenses or specified revenue and expense categories reviewed by the CODM other than as reflected in the condensed consolidated statements of income (loss). The CODM reviews segment assets at the consolidated level within the condensed consolidated balance sheets, as there is no difference between segment assets and total consolidated assets. As the Company operates as a single segment, the accounting policies utilized by the segment are consistent with those included in the condensed consolidated financial statements here within.</w:t>
      </w:r>
    </w:p>
    <w:p>
      <w:pPr>
        <w:spacing w:after="0" w:line="153" w:lineRule="exact"/>
        <w:rPr>
          <w:sz w:val="20"/>
          <w:szCs w:val="20"/>
          <w:color w:val="auto"/>
        </w:rPr>
      </w:pPr>
    </w:p>
    <w:p>
      <w:pPr>
        <w:ind w:left="360" w:hanging="355"/>
        <w:spacing w:after="0"/>
        <w:tabs>
          <w:tab w:leader="none" w:pos="36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168"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6"/>
          <w:szCs w:val="16"/>
          <w:color w:val="auto"/>
        </w:rPr>
        <w:t>On February 5, 2026, the Company announced a quarterly cash dividend of $0.28 per share of Class A common stock, payable on March 13, 2026 to holders of record as of the close of business on February 27, 2026.</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77"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6"/>
          <w:szCs w:val="16"/>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2025 filed with the SEC. In this quarterly report, references to “we,” “us,” “our,” “StepStone” and similar terms refer to SSG and its consolidated subsidiaries, including the Partnership.</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7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6"/>
          <w:szCs w:val="16"/>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December 31, 2025, we were responsible for approximately $811 billion of total capital, including $220 billion of AUM and $591 billion of AUA.</w:t>
      </w:r>
    </w:p>
    <w:p>
      <w:pPr>
        <w:spacing w:after="0" w:line="15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31 cities across 19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December 31, 2025, we had over 1,275 total employees, including over 420 investment professionals and over 850 employees across our operating team and implementation teams dedicated to sourcing, executing, analyzing and monitoring private markets opportunities.</w:t>
      </w:r>
    </w:p>
    <w:p>
      <w:pPr>
        <w:spacing w:after="0" w:line="155" w:lineRule="exact"/>
        <w:rPr>
          <w:sz w:val="20"/>
          <w:szCs w:val="20"/>
          <w:color w:val="auto"/>
        </w:rPr>
      </w:pPr>
    </w:p>
    <w:p>
      <w:pPr>
        <w:ind w:right="160" w:firstLine="509"/>
        <w:spacing w:after="0" w:line="273" w:lineRule="auto"/>
        <w:rPr>
          <w:sz w:val="20"/>
          <w:szCs w:val="20"/>
          <w:color w:val="auto"/>
        </w:rPr>
      </w:pPr>
      <w:r>
        <w:rPr>
          <w:rFonts w:ascii="Times New Roman" w:cs="Times New Roman" w:eastAsia="Times New Roman" w:hAnsi="Times New Roman"/>
          <w:sz w:val="16"/>
          <w:szCs w:val="16"/>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21" w:lineRule="exact"/>
        <w:rPr>
          <w:sz w:val="20"/>
          <w:szCs w:val="20"/>
          <w:color w:val="auto"/>
        </w:rPr>
      </w:pPr>
    </w:p>
    <w:p>
      <w:pPr>
        <w:ind w:left="520" w:right="360" w:hanging="260"/>
        <w:spacing w:after="0" w:line="255" w:lineRule="auto"/>
        <w:tabs>
          <w:tab w:leader="none" w:pos="51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Separately managed accounts (“SMAs”)</w:t>
      </w:r>
      <w:r>
        <w:rPr>
          <w:rFonts w:ascii="Times New Roman" w:cs="Times New Roman" w:eastAsia="Times New Roman" w:hAnsi="Times New Roman"/>
          <w:sz w:val="16"/>
          <w:szCs w:val="16"/>
          <w:color w:val="000000"/>
        </w:rPr>
        <w:t>. Owned by one client and managed according to their specific preferences, SMAs integrate a combination of primaries,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000000"/>
        </w:rPr>
        <w:t>secondaries and co-investments across one or more asset classes. SMAs are meant to address clients’ specific portfolio objectives with respect to return, risk tolerance, diversification and liquidity. SMAs, including directly managed assets, comprised $130 billion of our AUM as of December 31, 2025</w:t>
      </w:r>
      <w:r>
        <w:rPr>
          <w:rFonts w:ascii="Times New Roman" w:cs="Times New Roman" w:eastAsia="Times New Roman" w:hAnsi="Times New Roman"/>
          <w:sz w:val="16"/>
          <w:szCs w:val="16"/>
          <w:color w:val="231F20"/>
        </w:rPr>
        <w:t>.</w:t>
      </w:r>
    </w:p>
    <w:p>
      <w:pPr>
        <w:spacing w:after="0" w:line="145" w:lineRule="exact"/>
        <w:rPr>
          <w:rFonts w:ascii="Times New Roman" w:cs="Times New Roman" w:eastAsia="Times New Roman" w:hAnsi="Times New Roman"/>
          <w:sz w:val="16"/>
          <w:szCs w:val="16"/>
          <w:color w:val="auto"/>
        </w:rPr>
      </w:pPr>
    </w:p>
    <w:p>
      <w:pPr>
        <w:ind w:left="520" w:right="140" w:hanging="260"/>
        <w:spacing w:after="0" w:line="275" w:lineRule="auto"/>
        <w:tabs>
          <w:tab w:leader="none" w:pos="51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Focused commingled funds. </w:t>
      </w:r>
      <w:r>
        <w:rPr>
          <w:rFonts w:ascii="Times New Roman" w:cs="Times New Roman" w:eastAsia="Times New Roman" w:hAnsi="Times New Roman"/>
          <w:sz w:val="16"/>
          <w:szCs w:val="16"/>
          <w:color w:val="231F20"/>
        </w:rPr>
        <w:t>Owned by multiple clients, our focused commingled funds deploy capital in specific asset classes with defined investment strategies. Focused</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commingled funds comprised $73 billion of our AUM as of </w:t>
      </w:r>
      <w:r>
        <w:rPr>
          <w:rFonts w:ascii="Times New Roman" w:cs="Times New Roman" w:eastAsia="Times New Roman" w:hAnsi="Times New Roman"/>
          <w:sz w:val="16"/>
          <w:szCs w:val="16"/>
          <w:color w:val="000000"/>
        </w:rPr>
        <w:t>December 31, 2025</w:t>
      </w:r>
      <w:r>
        <w:rPr>
          <w:rFonts w:ascii="Times New Roman" w:cs="Times New Roman" w:eastAsia="Times New Roman" w:hAnsi="Times New Roman"/>
          <w:sz w:val="16"/>
          <w:szCs w:val="16"/>
          <w:color w:val="231F20"/>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49" w:name="page50"/>
    <w:bookmarkEnd w:id="49"/>
    <w:p>
      <w:pPr>
        <w:ind w:left="520" w:right="200" w:hanging="260"/>
        <w:spacing w:after="0" w:line="248" w:lineRule="auto"/>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Advisory and data services. </w:t>
      </w:r>
      <w:r>
        <w:rPr>
          <w:rFonts w:ascii="Times New Roman" w:cs="Times New Roman" w:eastAsia="Times New Roman" w:hAnsi="Times New Roman"/>
          <w:sz w:val="16"/>
          <w:szCs w:val="16"/>
          <w:color w:val="231F20"/>
        </w:rPr>
        <w:t>These services include one or more of the following for our clients: (i) recurring support of portfolio construction and design; (ii) discrete or</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 w:cs="Times New Roman" w:eastAsia="Times New Roman" w:hAnsi="Times New Roman"/>
          <w:sz w:val="16"/>
          <w:szCs w:val="16"/>
          <w:color w:val="000000"/>
        </w:rPr>
        <w:t>$591 billion</w:t>
      </w:r>
      <w:r>
        <w:rPr>
          <w:rFonts w:ascii="Times New Roman" w:cs="Times New Roman" w:eastAsia="Times New Roman" w:hAnsi="Times New Roman"/>
          <w:sz w:val="16"/>
          <w:szCs w:val="16"/>
          <w:color w:val="231F20"/>
        </w:rPr>
        <w:t xml:space="preserve"> of our AUA and $16 billion of our AUM as of </w:t>
      </w:r>
      <w:r>
        <w:rPr>
          <w:rFonts w:ascii="Times New Roman" w:cs="Times New Roman" w:eastAsia="Times New Roman" w:hAnsi="Times New Roman"/>
          <w:sz w:val="16"/>
          <w:szCs w:val="16"/>
          <w:color w:val="000000"/>
        </w:rPr>
        <w:t>December 31, 2025</w:t>
      </w:r>
      <w:r>
        <w:rPr>
          <w:rFonts w:ascii="Times New Roman" w:cs="Times New Roman" w:eastAsia="Times New Roman" w:hAnsi="Times New Roman"/>
          <w:sz w:val="16"/>
          <w:szCs w:val="16"/>
          <w:color w:val="231F20"/>
        </w:rPr>
        <w:t>.</w:t>
      </w:r>
    </w:p>
    <w:p>
      <w:pPr>
        <w:spacing w:after="0" w:line="152" w:lineRule="exact"/>
        <w:rPr>
          <w:rFonts w:ascii="Times New Roman" w:cs="Times New Roman" w:eastAsia="Times New Roman" w:hAnsi="Times New Roman"/>
          <w:sz w:val="16"/>
          <w:szCs w:val="16"/>
          <w:color w:val="auto"/>
        </w:rPr>
      </w:pPr>
    </w:p>
    <w:p>
      <w:pPr>
        <w:ind w:left="520" w:right="300" w:hanging="260"/>
        <w:spacing w:after="0" w:line="309" w:lineRule="auto"/>
        <w:tabs>
          <w:tab w:leader="none" w:pos="51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31F20"/>
        </w:rPr>
        <w:t xml:space="preserve">Portfolio analytics and reporting. </w:t>
      </w:r>
      <w:r>
        <w:rPr>
          <w:rFonts w:ascii="Times New Roman" w:cs="Times New Roman" w:eastAsia="Times New Roman" w:hAnsi="Times New Roman"/>
          <w:sz w:val="14"/>
          <w:szCs w:val="14"/>
          <w:color w:val="231F20"/>
        </w:rPr>
        <w:t>We provide clients with tailored reporting packages, including customized performance benchmarks as well as associated compliance,</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 xml:space="preserve">administrative and tax capabilities. Mandates for portfolio analytics and reporting services typically include licensed access to our proprietary performance monitoring software, SPI Reporting. We provided portfolio analytics and reporting on over $871 billion of client commitments through SPI Reporting 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w:t>
      </w:r>
    </w:p>
    <w:p>
      <w:pPr>
        <w:spacing w:after="0" w:line="112" w:lineRule="exact"/>
        <w:rPr>
          <w:sz w:val="20"/>
          <w:szCs w:val="20"/>
          <w:color w:val="auto"/>
        </w:rPr>
      </w:pPr>
    </w:p>
    <w:p>
      <w:pPr>
        <w:ind w:right="60" w:firstLine="509"/>
        <w:spacing w:after="0" w:line="307" w:lineRule="auto"/>
        <w:rPr>
          <w:sz w:val="20"/>
          <w:szCs w:val="20"/>
          <w:color w:val="auto"/>
        </w:rPr>
      </w:pPr>
      <w:r>
        <w:rPr>
          <w:rFonts w:ascii="Times New Roman" w:cs="Times New Roman" w:eastAsia="Times New Roman" w:hAnsi="Times New Roman"/>
          <w:sz w:val="14"/>
          <w:szCs w:val="14"/>
          <w:color w:val="auto"/>
        </w:rPr>
        <w:t>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Trends Affecting Our Business</w:t>
      </w:r>
    </w:p>
    <w:p>
      <w:pPr>
        <w:spacing w:after="0" w:line="16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231F20"/>
        </w:rPr>
        <w:t>In addition to these macroeconomic trends and market factors, we believe our future performance will be influenced by the following factors:</w:t>
      </w:r>
    </w:p>
    <w:p>
      <w:pPr>
        <w:spacing w:after="0" w:line="164" w:lineRule="exact"/>
        <w:rPr>
          <w:sz w:val="20"/>
          <w:szCs w:val="20"/>
          <w:color w:val="auto"/>
        </w:rPr>
      </w:pPr>
    </w:p>
    <w:p>
      <w:pPr>
        <w:ind w:left="520" w:hanging="260"/>
        <w:spacing w:after="0" w:line="252" w:lineRule="auto"/>
        <w:tabs>
          <w:tab w:leader="none" w:pos="51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The extent to which clients favor private markets investments. </w:t>
      </w:r>
      <w:r>
        <w:rPr>
          <w:rFonts w:ascii="Times New Roman" w:cs="Times New Roman" w:eastAsia="Times New Roman" w:hAnsi="Times New Roman"/>
          <w:sz w:val="16"/>
          <w:szCs w:val="16"/>
          <w:color w:val="231F20"/>
        </w:rPr>
        <w:t>Our ability to attract new capital is partially dependent on clients’ views of private markets relative to</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37" w:lineRule="exact"/>
        <w:rPr>
          <w:rFonts w:ascii="Times New Roman" w:cs="Times New Roman" w:eastAsia="Times New Roman" w:hAnsi="Times New Roman"/>
          <w:sz w:val="16"/>
          <w:szCs w:val="16"/>
          <w:color w:val="auto"/>
        </w:rPr>
      </w:pPr>
    </w:p>
    <w:p>
      <w:pPr>
        <w:ind w:left="520" w:right="160" w:hanging="260"/>
        <w:spacing w:after="0" w:line="253" w:lineRule="auto"/>
        <w:tabs>
          <w:tab w:leader="none" w:pos="51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Our ability to generate strong, stable returns. </w:t>
      </w:r>
      <w:r>
        <w:rPr>
          <w:rFonts w:ascii="Times New Roman" w:cs="Times New Roman" w:eastAsia="Times New Roman" w:hAnsi="Times New Roman"/>
          <w:sz w:val="16"/>
          <w:szCs w:val="16"/>
          <w:color w:val="231F20"/>
        </w:rPr>
        <w:t>Our ability to raise and retain capital is partially dependent on the investment returns we are able to generate for our clients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50" w:name="page51"/>
    <w:bookmarkEnd w:id="50"/>
    <w:p>
      <w:pPr>
        <w:ind w:left="520" w:right="60" w:hanging="260"/>
        <w:spacing w:after="0" w:line="253" w:lineRule="auto"/>
        <w:tabs>
          <w:tab w:leader="none" w:pos="5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Our ability to maintain our data advantage relative to competitors. </w:t>
      </w:r>
      <w:r>
        <w:rPr>
          <w:rFonts w:ascii="Times New Roman" w:cs="Times New Roman" w:eastAsia="Times New Roman" w:hAnsi="Times New Roman"/>
          <w:sz w:val="16"/>
          <w:szCs w:val="16"/>
          <w:color w:val="231F20"/>
        </w:rPr>
        <w:t>Our proprietary data and technology platforms, analytical tools and deep industry knowledge allow us to</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36" w:lineRule="exact"/>
        <w:rPr>
          <w:rFonts w:ascii="Times New Roman" w:cs="Times New Roman" w:eastAsia="Times New Roman" w:hAnsi="Times New Roman"/>
          <w:sz w:val="16"/>
          <w:szCs w:val="16"/>
          <w:color w:val="auto"/>
        </w:rPr>
      </w:pPr>
    </w:p>
    <w:p>
      <w:pPr>
        <w:ind w:left="520" w:right="40" w:hanging="260"/>
        <w:spacing w:after="0" w:line="252" w:lineRule="auto"/>
        <w:tabs>
          <w:tab w:leader="none" w:pos="5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Our ability to source investments with attractive risk-adjusted returns. </w:t>
      </w:r>
      <w:r>
        <w:rPr>
          <w:rFonts w:ascii="Times New Roman" w:cs="Times New Roman" w:eastAsia="Times New Roman" w:hAnsi="Times New Roman"/>
          <w:sz w:val="16"/>
          <w:szCs w:val="16"/>
          <w:color w:val="231F20"/>
        </w:rPr>
        <w:t>The continued growth in our revenues is dependent on our ability to identify attractive investments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37" w:lineRule="exact"/>
        <w:rPr>
          <w:rFonts w:ascii="Times New Roman" w:cs="Times New Roman" w:eastAsia="Times New Roman" w:hAnsi="Times New Roman"/>
          <w:sz w:val="16"/>
          <w:szCs w:val="16"/>
          <w:color w:val="auto"/>
        </w:rPr>
      </w:pPr>
    </w:p>
    <w:p>
      <w:pPr>
        <w:ind w:left="520" w:hanging="260"/>
        <w:spacing w:after="0" w:line="253" w:lineRule="auto"/>
        <w:tabs>
          <w:tab w:leader="none" w:pos="5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231F20"/>
        </w:rPr>
        <w:t xml:space="preserve">Increased competition and clients’ desire to work with fewer managers. </w:t>
      </w:r>
      <w:r>
        <w:rPr>
          <w:rFonts w:ascii="Times New Roman" w:cs="Times New Roman" w:eastAsia="Times New Roman" w:hAnsi="Times New Roman"/>
          <w:sz w:val="16"/>
          <w:szCs w:val="16"/>
          <w:color w:val="231F20"/>
        </w:rPr>
        <w:t>There has been an increasing desire on the part of larger institutional investors to build deeper</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Events</w:t>
      </w:r>
    </w:p>
    <w:p>
      <w:pPr>
        <w:spacing w:after="0" w:line="168" w:lineRule="exact"/>
        <w:rPr>
          <w:sz w:val="20"/>
          <w:szCs w:val="20"/>
          <w:color w:val="auto"/>
        </w:rPr>
      </w:pPr>
    </w:p>
    <w:p>
      <w:pPr>
        <w:ind w:right="240" w:firstLine="509"/>
        <w:spacing w:after="0" w:line="252" w:lineRule="auto"/>
        <w:rPr>
          <w:sz w:val="20"/>
          <w:szCs w:val="20"/>
          <w:color w:val="auto"/>
        </w:rPr>
      </w:pPr>
      <w:r>
        <w:rPr>
          <w:rFonts w:ascii="Times New Roman" w:cs="Times New Roman" w:eastAsia="Times New Roman" w:hAnsi="Times New Roman"/>
          <w:sz w:val="16"/>
          <w:szCs w:val="16"/>
          <w:color w:val="231F20"/>
        </w:rPr>
        <w:t xml:space="preserve">In the second half of 2025, </w:t>
      </w:r>
      <w:r>
        <w:rPr>
          <w:rFonts w:ascii="Times New Roman" w:cs="Times New Roman" w:eastAsia="Times New Roman" w:hAnsi="Times New Roman"/>
          <w:sz w:val="16"/>
          <w:szCs w:val="16"/>
          <w:color w:val="000000"/>
        </w:rPr>
        <w:t>financial markets continued to experience significant volatility in response to the uncertainty of the economic impact from U.S. trade policy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developments including the announcement and implementation of increases on tariffs charged by the U.S. on certain imports and the weakening of the U.S. dollar against several major foreign currencies. Despite elevated levels of inflation, slowing global growth and elevated long-term rates, unemployment has remained low, and the U.S. economy has continued to grow throughout calendar year 2025.</w:t>
      </w:r>
    </w:p>
    <w:p>
      <w:pPr>
        <w:spacing w:after="0" w:line="150" w:lineRule="exact"/>
        <w:rPr>
          <w:sz w:val="20"/>
          <w:szCs w:val="20"/>
          <w:color w:val="auto"/>
        </w:rPr>
      </w:pPr>
    </w:p>
    <w:p>
      <w:pPr>
        <w:ind w:right="180" w:firstLine="509"/>
        <w:spacing w:after="0" w:line="292" w:lineRule="auto"/>
        <w:rPr>
          <w:sz w:val="20"/>
          <w:szCs w:val="20"/>
          <w:color w:val="auto"/>
        </w:rPr>
      </w:pPr>
      <w:r>
        <w:rPr>
          <w:rFonts w:ascii="Times New Roman" w:cs="Times New Roman" w:eastAsia="Times New Roman" w:hAnsi="Times New Roman"/>
          <w:sz w:val="14"/>
          <w:szCs w:val="14"/>
          <w:color w:val="auto"/>
        </w:rPr>
        <w:t>On July 4, 2025, the One Big Beautiful Bill Act was enacted in the United States, which includes extensive amendments to existing tax laws applicable to businesses. The relevant provisions were included in our income tax provision for the three and nine months ended December 31, 2025 and did not have a significant impact on our condensed</w:t>
      </w:r>
    </w:p>
    <w:p>
      <w:pPr>
        <w:spacing w:after="0" w:line="1"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consolidated financial statements. We will continue to evaluate the effect of the new legislation but do not expect the legislation to have a significant effect on the condensed consolidated financial statements for the full year ending March 31, 2026.</w:t>
      </w:r>
    </w:p>
    <w:p>
      <w:pPr>
        <w:spacing w:after="0" w:line="144"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6"/>
          <w:szCs w:val="16"/>
          <w:color w:val="231F20"/>
        </w:rPr>
        <w:t xml:space="preserve">We are continuing to closely monitor developments related to inflation, decreasing but still elevated interest rates, </w:t>
      </w:r>
      <w:r>
        <w:rPr>
          <w:rFonts w:ascii="Times New Roman" w:cs="Times New Roman" w:eastAsia="Times New Roman" w:hAnsi="Times New Roman"/>
          <w:sz w:val="16"/>
          <w:szCs w:val="16"/>
          <w:color w:val="000000"/>
        </w:rPr>
        <w:t>trade, regulatory and other governmental policy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fluctuations in foreign currency exchange rates, </w:t>
      </w:r>
      <w:r>
        <w:rPr>
          <w:rFonts w:ascii="Times New Roman" w:cs="Times New Roman" w:eastAsia="Times New Roman" w:hAnsi="Times New Roman"/>
          <w:sz w:val="16"/>
          <w:szCs w:val="16"/>
          <w:color w:val="231F20"/>
        </w:rPr>
        <w:t>banking system volatility,</w:t>
      </w:r>
      <w:r>
        <w:rPr>
          <w:rFonts w:ascii="Times New Roman" w:cs="Times New Roman" w:eastAsia="Times New Roman" w:hAnsi="Times New Roman"/>
          <w:sz w:val="16"/>
          <w:szCs w:val="16"/>
          <w:color w:val="000000"/>
        </w:rPr>
        <w:t xml:space="preserve"> geopolitical tension, unrest or conflicts, including in or with China, Russia, Ukraine, Europe and the Middle East</w:t>
      </w:r>
      <w:r>
        <w:rPr>
          <w:rFonts w:ascii="Times New Roman" w:cs="Times New Roman" w:eastAsia="Times New Roman" w:hAnsi="Times New Roman"/>
          <w:sz w:val="16"/>
          <w:szCs w:val="16"/>
          <w:color w:val="231F20"/>
        </w:rPr>
        <w:t>, and assess the impact on financial markets and on our business. Our results and the overall industry results have been, and may continue to be, adversely affected by</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 w:cs="Times New Roman" w:eastAsia="Times New Roman" w:hAnsi="Times New Roman"/>
          <w:sz w:val="16"/>
          <w:szCs w:val="16"/>
          <w:color w:val="000000"/>
        </w:rPr>
        <w:t>t is currently not possible to predict the ultimate effects of these events on the financial markets, the overall economy and our condensed consolidated financial</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statements. See “Risk Factors—Risks Related to Our Industry—Difficult or volatile market and political conditions can adversely affect our business by reducing the market value of the assets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51" w:name="page52"/>
    <w:bookmarkEnd w:id="51"/>
    <w:p>
      <w:pPr>
        <w:jc w:val="both"/>
        <w:ind w:right="160"/>
        <w:spacing w:after="0" w:line="254" w:lineRule="auto"/>
        <w:rPr>
          <w:sz w:val="20"/>
          <w:szCs w:val="20"/>
          <w:color w:val="auto"/>
        </w:rPr>
      </w:pPr>
      <w:r>
        <w:rPr>
          <w:rFonts w:ascii="Times New Roman" w:cs="Times New Roman" w:eastAsia="Times New Roman" w:hAnsi="Times New Roman"/>
          <w:sz w:val="16"/>
          <w:szCs w:val="16"/>
          <w:color w:val="auto"/>
        </w:rPr>
        <w:t>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2025.</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Transactions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Senior Notes</w:t>
      </w:r>
    </w:p>
    <w:p>
      <w:pPr>
        <w:spacing w:after="0" w:line="179" w:lineRule="exact"/>
        <w:rPr>
          <w:sz w:val="20"/>
          <w:szCs w:val="20"/>
          <w:color w:val="auto"/>
        </w:rPr>
      </w:pPr>
    </w:p>
    <w:p>
      <w:pPr>
        <w:ind w:right="420" w:firstLine="509"/>
        <w:spacing w:after="0" w:line="273" w:lineRule="auto"/>
        <w:rPr>
          <w:sz w:val="20"/>
          <w:szCs w:val="20"/>
          <w:color w:val="auto"/>
        </w:rPr>
      </w:pPr>
      <w:r>
        <w:rPr>
          <w:rFonts w:ascii="Times New Roman" w:cs="Times New Roman" w:eastAsia="Times New Roman" w:hAnsi="Times New Roman"/>
          <w:sz w:val="16"/>
          <w:szCs w:val="16"/>
          <w:color w:val="auto"/>
        </w:rPr>
        <w:t>On October 22, 2024, we issued $175.0 million aggregate principal amount of our 5.52% Series A senior notes due October 22, 2029 (the “Notes”), pursuant to a note purchase agreement, dated as of October 22, 2024 (the “Note Purchase Agreement”), in a private placement exempt from registration under the Securities Act.</w:t>
      </w:r>
    </w:p>
    <w:p>
      <w:pPr>
        <w:spacing w:after="0" w:line="123"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6"/>
          <w:szCs w:val="16"/>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Purchase of Asset Class Non-Controlling Interests</w:t>
      </w:r>
    </w:p>
    <w:p>
      <w:pPr>
        <w:spacing w:after="0" w:line="1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6"/>
          <w:szCs w:val="16"/>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4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6"/>
          <w:szCs w:val="16"/>
          <w:color w:val="auto"/>
        </w:rPr>
        <w:t>The Transaction Agreements provide for, among other things and subject to the terms and conditions therein, the exchange of the sellers’ equity interests in the Asset Class Entities, as applicable, for a combination of (i) Class D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spacing w:after="0" w:line="155"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6"/>
          <w:szCs w:val="16"/>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owned approximately 54% of the outstanding equity interests of SRA, 56% of the outstanding equity interests of SRE and 54% of the outstanding equity interests of SPD. The aggregate consideration paid by us in the 2024 Exchange was approximately (i) $13 million in cash, (ii) 513,394 shares of Class A common stock and (iii) 2,239,185 Class D units of the Partnership.</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52" w:name="page53"/>
    <w:bookmarkEnd w:id="52"/>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44"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6"/>
          <w:szCs w:val="16"/>
          <w:color w:val="auto"/>
        </w:rPr>
        <w:t>On May 30, 2025, we completed the second annual exchange (the “2025 Exchange”) to acquire approximately 5% of the equity interests of each of SRA, SRE and SPD pursuant to the Transaction Agreements dated as of February 7, 2024. As a result of the 2025 Exchange, the Partnership now owns approximately 60% of the outstanding equity interests of SRA, 60% of the outstanding equity interests of SRE and 59% of the outstanding equity interests of SPD. The aggregate consideration paid by us in the 2025 Exchange was approximately (i) $10 million in cash, (ii) 756,105 shares of Class A common stock and (iii) 2,438,403 Class D units of the Partnership.</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Equity Transactions</w:t>
      </w:r>
    </w:p>
    <w:p>
      <w:pPr>
        <w:spacing w:after="0" w:line="16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t>In June 2025, we issued 152,768 shares of Class A common stock to certain limited partners of the Partnership in exchange for 152,768 Class B units of the Partnership in accordance with the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120"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In September 2025, we issued 370,470 shares of Class A common stock to certain limited partners of the Partnership in exchange for 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us. We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6" w:right="339" w:bottom="1440" w:gutter="0" w:footer="0" w:header="0"/>
        </w:sectPr>
      </w:pPr>
    </w:p>
    <w:bookmarkStart w:id="53" w:name="page54"/>
    <w:bookmarkEnd w:id="53"/>
    <w:p>
      <w:pPr>
        <w:ind w:right="20" w:firstLine="509"/>
        <w:spacing w:after="0" w:line="292" w:lineRule="auto"/>
        <w:rPr>
          <w:sz w:val="20"/>
          <w:szCs w:val="20"/>
          <w:color w:val="auto"/>
        </w:rPr>
      </w:pPr>
      <w:r>
        <w:rPr>
          <w:rFonts w:ascii="Times New Roman" w:cs="Times New Roman" w:eastAsia="Times New Roman" w:hAnsi="Times New Roman"/>
          <w:sz w:val="14"/>
          <w:szCs w:val="14"/>
          <w:color w:val="auto"/>
        </w:rPr>
        <w:t>In December 2025, we issued 116,000 shares of Class A common stock to certain limited partners of the Partnership in exchange for 116,000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892,169 shares of Class A common stock to certain limited partners of the Partnership in exchange for 892,169 Class D units of the Partnership in accordance with the elective exchange notices submitted pursuant to the Class D Exchange Agreement, and a corresponding number of Class A units of the Partnership were issued to 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17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6"/>
          <w:szCs w:val="16"/>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5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6"/>
          <w:szCs w:val="16"/>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diagram below illustrates our organizational structure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117475</wp:posOffset>
            </wp:positionV>
            <wp:extent cx="4608195" cy="2068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08195" cy="206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may not sum to 100% due to rounding.</w:t>
      </w:r>
    </w:p>
    <w:p>
      <w:pPr>
        <w:spacing w:after="0" w:line="23" w:lineRule="exact"/>
        <w:rPr>
          <w:sz w:val="20"/>
          <w:szCs w:val="20"/>
          <w:color w:val="auto"/>
        </w:rPr>
      </w:pPr>
    </w:p>
    <w:p>
      <w:pPr>
        <w:ind w:left="500" w:hanging="495"/>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partners of the Partnership other than StepStone Group Inc. are: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54" w:name="page55"/>
    <w:bookmarkEnd w:id="54"/>
    <w:p>
      <w:pPr>
        <w:spacing w:after="0" w:line="1" w:lineRule="exact"/>
        <w:rPr>
          <w:sz w:val="20"/>
          <w:szCs w:val="20"/>
          <w:color w:val="auto"/>
        </w:rPr>
      </w:pPr>
    </w:p>
    <w:p>
      <w:pPr>
        <w:ind w:left="1020" w:hanging="506"/>
        <w:spacing w:after="0"/>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which holds a 100% general partner interest and no economic interests;</w:t>
      </w:r>
    </w:p>
    <w:p>
      <w:pPr>
        <w:spacing w:after="0" w:line="23" w:lineRule="exact"/>
        <w:rPr>
          <w:rFonts w:ascii="Times New Roman" w:cs="Times New Roman" w:eastAsia="Times New Roman" w:hAnsi="Times New Roman"/>
          <w:sz w:val="14"/>
          <w:szCs w:val="14"/>
          <w:color w:val="auto"/>
        </w:rPr>
      </w:pPr>
    </w:p>
    <w:p>
      <w:pPr>
        <w:ind w:left="1020" w:right="400" w:hanging="506"/>
        <w:spacing w:after="0" w:line="253" w:lineRule="auto"/>
        <w:tabs>
          <w:tab w:leader="none" w:pos="1016"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members of management, employee and former employee owners and outside investors, all of whom own Class B units and an equivalent number of shares of Class B common stock;</w:t>
      </w:r>
    </w:p>
    <w:p>
      <w:pPr>
        <w:ind w:left="1020" w:hanging="506"/>
        <w:spacing w:after="0"/>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employee owners who own Class C units; and</w:t>
      </w:r>
    </w:p>
    <w:p>
      <w:pPr>
        <w:spacing w:after="0" w:line="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employee owners who own Class D units.</w:t>
      </w:r>
    </w:p>
    <w:p>
      <w:pPr>
        <w:spacing w:after="0" w:line="8" w:lineRule="exact"/>
        <w:rPr>
          <w:rFonts w:ascii="Times New Roman" w:cs="Times New Roman" w:eastAsia="Times New Roman" w:hAnsi="Times New Roman"/>
          <w:sz w:val="14"/>
          <w:szCs w:val="14"/>
          <w:color w:val="auto"/>
        </w:rPr>
      </w:pPr>
    </w:p>
    <w:p>
      <w:pPr>
        <w:ind w:left="520" w:right="80" w:hanging="515"/>
        <w:spacing w:after="0" w:line="253" w:lineRule="auto"/>
        <w:tabs>
          <w:tab w:leader="none" w:pos="5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is entitled to one vote and votes together with the Class B common stock as a single class, except as set forth in SSG’s amended and restated certificate of incorporation or as required by law.</w:t>
      </w:r>
    </w:p>
    <w:p>
      <w:pPr>
        <w:ind w:left="520" w:right="80" w:hanging="515"/>
        <w:spacing w:after="0" w:line="266" w:lineRule="auto"/>
        <w:tabs>
          <w:tab w:leader="none" w:pos="5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is entitled to one vote and votes together with the Class A common stock as a single class, except as set forth in SSG’s amended and restated certificate of incorporation or as required by law. The economic rights of our Class B common stock are limited to the right to be redeemed at par value.</w:t>
      </w:r>
    </w:p>
    <w:p>
      <w:pPr>
        <w:spacing w:after="0" w:line="13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September 18, 2025, holders of our Class B common stock controlled a majority of the voting power of our outstanding common stock because (i) each share of our</w:t>
      </w:r>
    </w:p>
    <w:p>
      <w:pPr>
        <w:spacing w:after="0" w:line="4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Class B common stock entitled its holder to five votes on all matters to be voted on by stockholders generally, until the earliest to occur of certain ownership changes or September 18, 2025 as set forth in our then current Amended and Restated Certificate of Incorporation (the “Sunset”) and (ii) under our Amended and Restated Stockholders Agreement, dated as of September 20, 2021 (the “Stockholders Agreement”), certain Class A stockholders, Class B stockholders and Class C unitholders in the Partnership agreed to vote all of their shares of voting stock together and in accordance with the Class B Committee (as defined in the Stockholders Agreement). As a result, prior to the Sunset, we qualified as a “controlled company” within the meaning of the corporate governance rules of The Nasdaq Global Select Market LLC (“Nasdaq”). Under these rules, a listed company of which more than 50% of the voting power with respect to the election of directors is held by an individual, group or another company is a “controlled company” and may elect not to comply with certain corporate governance requirements. Consistent with this, until the occurrence of the Sunset, we elected not to comply with certain corporate governance requirements, including the requirements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5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However, since the occurrence of the Sunset and expiration of the Stockholders Agreement on September 18, 2025, each share of Class A common stock and Class B common stock is entitled to one vote, and we no longer qualify as a “controlled company” within the meaning of the Nasdaq rules. Under the Nasdaq rules, the Company may continue to rely on exemptions from certain corporate governance requirements during a one year “phase-in” period. The Company has taken all action necessary to comply with the Nasdaq rules that apply to non-controlled companies, including transitioning our board of directors to being composed of a majority of independent directors by September 18, 2026 (the end of the permitted “phase-in” period following loss of controlled company status under the Nasdaq rules). Additionally, as of September 18, 2025, the Compensation Committee and Nominating and Corporate Governance Committee of our board of directors each consist of a majority of independent directors. On or before September 18, 2026, we plan for these committees to be composed entirely of independent directors, and for a majority of our board of directors to consist of independent directors. Until the Company is fully subject to these requirements, stockholders may not have the same protections afforded to stockholders of companies that are subject to all of the corporate governance requirements under the Nasdaq rules.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Financial Measures</w:t>
      </w:r>
    </w:p>
    <w:p>
      <w:pPr>
        <w:spacing w:after="0" w:line="17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6"/>
          <w:szCs w:val="16"/>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generate revenues primarily from management and advisory fees, incentive fees and allocations of carried interest.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6"/>
          <w:szCs w:val="16"/>
          <w:i w:val="1"/>
          <w:iCs w:val="1"/>
          <w:color w:val="auto"/>
        </w:rPr>
        <w:t>Management and Advisory Fees, Net</w:t>
      </w:r>
    </w:p>
    <w:p>
      <w:pPr>
        <w:spacing w:after="0" w:line="179" w:lineRule="exact"/>
        <w:rPr>
          <w:sz w:val="20"/>
          <w:szCs w:val="20"/>
          <w:color w:val="auto"/>
        </w:rPr>
      </w:pPr>
    </w:p>
    <w:p>
      <w:pPr>
        <w:ind w:right="80" w:firstLine="509"/>
        <w:spacing w:after="0" w:line="330" w:lineRule="auto"/>
        <w:rPr>
          <w:sz w:val="20"/>
          <w:szCs w:val="20"/>
          <w:color w:val="auto"/>
        </w:rPr>
      </w:pPr>
      <w:r>
        <w:rPr>
          <w:rFonts w:ascii="Times New Roman" w:cs="Times New Roman" w:eastAsia="Times New Roman" w:hAnsi="Times New Roman"/>
          <w:sz w:val="14"/>
          <w:szCs w:val="14"/>
          <w:color w:val="231F20"/>
        </w:rPr>
        <w:t>Management and advisory fees, net, consist of fees received from managing SMAs and focused commingled funds, advisory and data services, and portfolio analytics and reporting. Management fees include income-based incentive fees, which are predictable and recurring in nature and paid quarterly based on net investment income of certain funds</w:t>
      </w:r>
      <w:r>
        <w:rPr>
          <w:rFonts w:ascii="Times New Roman" w:cs="Times New Roman" w:eastAsia="Times New Roman" w:hAnsi="Times New Roman"/>
          <w:sz w:val="14"/>
          <w:szCs w:val="14"/>
          <w:color w:val="000000"/>
        </w:rPr>
        <w:t>.</w:t>
      </w:r>
    </w:p>
    <w:p>
      <w:pPr>
        <w:spacing w:after="0" w:line="98" w:lineRule="exact"/>
        <w:rPr>
          <w:sz w:val="20"/>
          <w:szCs w:val="20"/>
          <w:color w:val="auto"/>
        </w:rPr>
      </w:pPr>
    </w:p>
    <w:p>
      <w:pPr>
        <w:ind w:left="520" w:hanging="260"/>
        <w:spacing w:after="0" w:line="252"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 xml:space="preserve">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w:t>
      </w:r>
      <w:r>
        <w:rPr>
          <w:rFonts w:ascii="Times New Roman" w:cs="Times New Roman" w:eastAsia="Times New Roman" w:hAnsi="Times New Roman"/>
          <w:sz w:val="16"/>
          <w:szCs w:val="16"/>
          <w:color w:val="000000"/>
        </w:rPr>
        <w:t>0.39% and</w:t>
      </w:r>
      <w:r>
        <w:rPr>
          <w:rFonts w:ascii="Times New Roman" w:cs="Times New Roman" w:eastAsia="Times New Roman" w:hAnsi="Times New Roman"/>
          <w:sz w:val="16"/>
          <w:szCs w:val="16"/>
          <w:color w:val="231F20"/>
        </w:rPr>
        <w:t xml:space="preserve"> 0.38% of average FEAUM for both the twelve months ended December 31, 2024 and 2025.</w:t>
      </w:r>
    </w:p>
    <w:p>
      <w:pPr>
        <w:spacing w:after="0" w:line="139" w:lineRule="exact"/>
        <w:rPr>
          <w:rFonts w:ascii="Times New Roman" w:cs="Times New Roman" w:eastAsia="Times New Roman" w:hAnsi="Times New Roman"/>
          <w:sz w:val="16"/>
          <w:szCs w:val="16"/>
          <w:color w:val="auto"/>
        </w:rPr>
      </w:pPr>
    </w:p>
    <w:p>
      <w:pPr>
        <w:ind w:left="520" w:right="20" w:hanging="260"/>
        <w:spacing w:after="0" w:line="251"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1.03% and 1.01% of average FEAUM for the twelve months ended December 31, 2024 and 2025, respectively, and primarily reflected the timing of new funds and growth in our private wealth funds which earn higher fee rates.</w:t>
      </w:r>
    </w:p>
    <w:p>
      <w:pPr>
        <w:spacing w:after="0" w:line="141" w:lineRule="exact"/>
        <w:rPr>
          <w:rFonts w:ascii="Times New Roman" w:cs="Times New Roman" w:eastAsia="Times New Roman" w:hAnsi="Times New Roman"/>
          <w:sz w:val="16"/>
          <w:szCs w:val="16"/>
          <w:color w:val="auto"/>
        </w:rPr>
      </w:pPr>
    </w:p>
    <w:p>
      <w:pPr>
        <w:ind w:left="520" w:right="80" w:hanging="260"/>
        <w:spacing w:after="0" w:line="254"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The weighted-average management fee rate across SMAs and focused commingled funds was approximately 0.64% and 0.63% of average FEAUM for the twelve months ended December 31, 2024 and 2025, respectively, and primarily reflected the timing of new funds, shifts in mix between SMAs and focused commingled funds and growth in our private wealth funds which earn higher fee rates.</w:t>
      </w:r>
    </w:p>
    <w:p>
      <w:pPr>
        <w:spacing w:after="0" w:line="147" w:lineRule="exact"/>
        <w:rPr>
          <w:rFonts w:ascii="Times New Roman" w:cs="Times New Roman" w:eastAsia="Times New Roman" w:hAnsi="Times New Roman"/>
          <w:sz w:val="16"/>
          <w:szCs w:val="16"/>
          <w:color w:val="auto"/>
        </w:rPr>
      </w:pPr>
    </w:p>
    <w:p>
      <w:pPr>
        <w:ind w:left="520" w:right="160" w:hanging="260"/>
        <w:spacing w:after="0" w:line="252" w:lineRule="auto"/>
        <w:tabs>
          <w:tab w:leader="none" w:pos="511"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39" w:lineRule="exact"/>
        <w:rPr>
          <w:rFonts w:ascii="Times New Roman" w:cs="Times New Roman" w:eastAsia="Times New Roman" w:hAnsi="Times New Roman"/>
          <w:sz w:val="16"/>
          <w:szCs w:val="16"/>
          <w:color w:val="231F20"/>
        </w:rPr>
      </w:pPr>
    </w:p>
    <w:p>
      <w:pPr>
        <w:ind w:left="520" w:right="100" w:hanging="260"/>
        <w:spacing w:after="0" w:line="254"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Performance Fees</w:t>
      </w:r>
    </w:p>
    <w:p>
      <w:pPr>
        <w:spacing w:after="0" w:line="179"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6"/>
          <w:szCs w:val="16"/>
          <w:color w:val="auto"/>
        </w:rPr>
        <w:t>We earn two types of performance fee revenues: incentive fees and carried interest allocations, as described below. As of December 31, 2025, we had over $105 billion of performance fee-eligible capital (excluding certain legacy Greenspring funds) across over 225 programs.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56" w:name="page57"/>
    <w:bookmarkEnd w:id="56"/>
    <w:p>
      <w:pPr>
        <w:ind w:firstLine="509"/>
        <w:spacing w:after="0" w:line="248" w:lineRule="auto"/>
        <w:rPr>
          <w:sz w:val="20"/>
          <w:szCs w:val="20"/>
          <w:color w:val="auto"/>
        </w:rPr>
      </w:pPr>
      <w:r>
        <w:rPr>
          <w:rFonts w:ascii="Times New Roman" w:cs="Times New Roman" w:eastAsia="Times New Roman" w:hAnsi="Times New Roman"/>
          <w:sz w:val="16"/>
          <w:szCs w:val="16"/>
          <w:i w:val="1"/>
          <w:iCs w:val="1"/>
          <w:color w:val="231F20"/>
        </w:rPr>
        <w:t xml:space="preserve">Incentive fees </w:t>
      </w:r>
      <w:r>
        <w:rPr>
          <w:rFonts w:ascii="Times New Roman" w:cs="Times New Roman" w:eastAsia="Times New Roman" w:hAnsi="Times New Roman"/>
          <w:sz w:val="16"/>
          <w:szCs w:val="16"/>
          <w:color w:val="231F20"/>
        </w:rPr>
        <w:t>comprise fees earned from certain client investment mandates for which we do not have a general partnership interest in a StepStone Fund. Incentive fees are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56"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51"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i w:val="1"/>
          <w:iCs w:val="1"/>
          <w:color w:val="231F20"/>
        </w:rPr>
        <w:t xml:space="preserve">Carried interest allocations </w:t>
      </w:r>
      <w:r>
        <w:rPr>
          <w:rFonts w:ascii="Times New Roman" w:cs="Times New Roman" w:eastAsia="Times New Roman" w:hAnsi="Times New Roman"/>
          <w:sz w:val="16"/>
          <w:szCs w:val="16"/>
          <w:color w:val="231F20"/>
        </w:rPr>
        <w:t>include the allocation of performance-based fees, commonly referred to as carried interest, to us from limited partners in the StepStone Funds in</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16"/>
          <w:szCs w:val="16"/>
          <w:i w:val="1"/>
          <w:iCs w:val="1"/>
          <w:color w:val="231F20"/>
        </w:rPr>
        <w:t>Revenue from Contracts with Customers</w:t>
      </w:r>
      <w:r>
        <w:rPr>
          <w:rFonts w:ascii="Times New Roman" w:cs="Times New Roman" w:eastAsia="Times New Roman" w:hAnsi="Times New Roman"/>
          <w:sz w:val="16"/>
          <w:szCs w:val="16"/>
          <w:color w:val="231F20"/>
        </w:rPr>
        <w:t>.</w:t>
      </w:r>
    </w:p>
    <w:p>
      <w:pPr>
        <w:spacing w:after="0" w:line="143" w:lineRule="exact"/>
        <w:rPr>
          <w:sz w:val="20"/>
          <w:szCs w:val="20"/>
          <w:color w:val="auto"/>
        </w:rPr>
      </w:pPr>
    </w:p>
    <w:p>
      <w:pPr>
        <w:ind w:right="180" w:firstLine="509"/>
        <w:spacing w:after="0" w:line="290" w:lineRule="auto"/>
        <w:rPr>
          <w:sz w:val="20"/>
          <w:szCs w:val="20"/>
          <w:color w:val="auto"/>
        </w:rPr>
      </w:pPr>
      <w:r>
        <w:rPr>
          <w:rFonts w:ascii="Times New Roman" w:cs="Times New Roman" w:eastAsia="Times New Roman" w:hAnsi="Times New Roman"/>
          <w:sz w:val="14"/>
          <w:szCs w:val="14"/>
          <w:i w:val="1"/>
          <w:iCs w:val="1"/>
          <w:color w:val="231F20"/>
        </w:rPr>
        <w:t xml:space="preserve">Legacy Greenspring carried interest allocations </w:t>
      </w:r>
      <w:r>
        <w:rPr>
          <w:rFonts w:ascii="Times New Roman" w:cs="Times New Roman" w:eastAsia="Times New Roman" w:hAnsi="Times New Roman"/>
          <w:sz w:val="14"/>
          <w:szCs w:val="14"/>
          <w:color w:val="231F20"/>
        </w:rPr>
        <w:t>include the allocation of carried interest to legacy Greenspring general partner entities from limited partners in certain</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w:t>
      </w:r>
    </w:p>
    <w:p>
      <w:pPr>
        <w:spacing w:after="0" w:line="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color w:val="231F20"/>
        </w:rPr>
        <w:t>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w:t>
      </w:r>
    </w:p>
    <w:p>
      <w:pPr>
        <w:spacing w:after="0" w:line="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231F20"/>
        </w:rPr>
        <w:t>All of the carried interest allocations in respect of such legacy Greenspring funds are payable to employees who are considered affiliates to us and are therefore reflected as legacy Greenspring performance fee-related compensation in the condensed consolidated statements of income (loss).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34" w:right="359" w:bottom="1440" w:gutter="0" w:footer="0" w:header="0"/>
        </w:sectPr>
      </w:pPr>
    </w:p>
    <w:bookmarkStart w:id="57" w:name="page58"/>
    <w:bookmarkEnd w:id="57"/>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44" w:lineRule="exact"/>
        <w:rPr>
          <w:sz w:val="20"/>
          <w:szCs w:val="20"/>
          <w:color w:val="auto"/>
        </w:rPr>
      </w:pPr>
    </w:p>
    <w:p>
      <w:pPr>
        <w:ind w:right="80" w:firstLine="509"/>
        <w:spacing w:after="0" w:line="251" w:lineRule="auto"/>
        <w:rPr>
          <w:sz w:val="20"/>
          <w:szCs w:val="20"/>
          <w:color w:val="auto"/>
        </w:rPr>
      </w:pPr>
      <w:r>
        <w:rPr>
          <w:rFonts w:ascii="Times New Roman" w:cs="Times New Roman" w:eastAsia="Times New Roman" w:hAnsi="Times New Roman"/>
          <w:sz w:val="16"/>
          <w:szCs w:val="16"/>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December 31, 2025 and March 31, 2025, no material amounts for potential clawback obligations had been accrued.</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Cash-based compensation </w:t>
      </w:r>
      <w:r>
        <w:rPr>
          <w:rFonts w:ascii="Times New Roman" w:cs="Times New Roman" w:eastAsia="Times New Roman" w:hAnsi="Times New Roman"/>
          <w:sz w:val="16"/>
          <w:szCs w:val="16"/>
          <w:color w:val="auto"/>
        </w:rPr>
        <w:t>primarily includes salaries, bonuses, employee benefits, cash-based incentive awards and employer-related payroll taxes.</w:t>
      </w:r>
    </w:p>
    <w:p>
      <w:pPr>
        <w:spacing w:after="0" w:line="166"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represents grants of equity related awards or arrangements to certain employees and directors and expense associated with the employee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plan (“ESPP”).</w:t>
      </w:r>
    </w:p>
    <w:p>
      <w:pPr>
        <w:spacing w:after="0" w:line="13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Performance fee-related compensation </w:t>
      </w:r>
      <w:r>
        <w:rPr>
          <w:rFonts w:ascii="Times New Roman" w:cs="Times New Roman" w:eastAsia="Times New Roman" w:hAnsi="Times New Roman"/>
          <w:sz w:val="16"/>
          <w:szCs w:val="16"/>
          <w:color w:val="auto"/>
        </w:rPr>
        <w:t>represents the portion of carried interest allocation revenue and incentive fees that have been awarded to employees as a form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long-term incentive compensation. Performance fee-related compensation is generally tied to the investment performance of the StepStone Funds. </w:t>
      </w:r>
      <w:r>
        <w:rPr>
          <w:rFonts w:ascii="Times New Roman" w:cs="Times New Roman" w:eastAsia="Times New Roman" w:hAnsi="Times New Roman"/>
          <w:sz w:val="16"/>
          <w:szCs w:val="16"/>
          <w:color w:val="231F20"/>
        </w:rPr>
        <w:t>Approximately 50% of carried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58" w:name="page59"/>
    <w:bookmarkEnd w:id="58"/>
    <w:p>
      <w:pPr>
        <w:ind w:firstLine="50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Legacy Greenspring performance fee-related compensation </w:t>
      </w:r>
      <w:r>
        <w:rPr>
          <w:rFonts w:ascii="Times New Roman" w:cs="Times New Roman" w:eastAsia="Times New Roman" w:hAnsi="Times New Roman"/>
          <w:sz w:val="16"/>
          <w:szCs w:val="16"/>
          <w:color w:val="auto"/>
        </w:rPr>
        <w:t>represents the legacy Greenspring carried interest allocations which are entirely payable to certain employees.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Legacy Greenspring </w:t>
      </w:r>
      <w:r>
        <w:rPr>
          <w:rFonts w:ascii="Times New Roman" w:cs="Times New Roman" w:eastAsia="Times New Roman" w:hAnsi="Times New Roman"/>
          <w:sz w:val="16"/>
          <w:szCs w:val="16"/>
          <w:color w:val="231F20"/>
        </w:rPr>
        <w:t>carried interest-related compensation is accounted for as compensation expense in conjunction with the related legacy Greenspring carried interest allocation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5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w:t>
      </w:r>
      <w:r>
        <w:rPr>
          <w:rFonts w:ascii="Times New Roman" w:cs="Times New Roman" w:eastAsia="Times New Roman" w:hAnsi="Times New Roman"/>
          <w:sz w:val="16"/>
          <w:szCs w:val="16"/>
          <w:color w:val="auto"/>
        </w:rPr>
        <w:t>includes occupancy, travel and related costs, insurance, legal and other professional fees, depreciation, amortization of intangible assets,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Other Income (Expense)</w:t>
      </w:r>
    </w:p>
    <w:p>
      <w:pPr>
        <w:spacing w:after="0" w:line="16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i w:val="1"/>
          <w:iCs w:val="1"/>
          <w:color w:val="231F20"/>
        </w:rPr>
        <w:t xml:space="preserve">Investment income (loss) </w:t>
      </w:r>
      <w:r>
        <w:rPr>
          <w:rFonts w:ascii="Times New Roman" w:cs="Times New Roman" w:eastAsia="Times New Roman" w:hAnsi="Times New Roman"/>
          <w:sz w:val="16"/>
          <w:szCs w:val="16"/>
          <w:color w:val="231F20"/>
        </w:rPr>
        <w:t>primarily represents our share of earnings (losses) from the investments we make in our SMAs and focused commingled funds. We, either directly</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56"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6"/>
          <w:szCs w:val="16"/>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6"/>
          <w:szCs w:val="16"/>
          <w:i w:val="1"/>
          <w:iCs w:val="1"/>
          <w:color w:val="231F20"/>
        </w:rPr>
        <w:t xml:space="preserve">Legacy Greenspring investment income (loss) </w:t>
      </w:r>
      <w:r>
        <w:rPr>
          <w:rFonts w:ascii="Times New Roman" w:cs="Times New Roman" w:eastAsia="Times New Roman" w:hAnsi="Times New Roman"/>
          <w:sz w:val="16"/>
          <w:szCs w:val="16"/>
          <w:color w:val="231F20"/>
        </w:rPr>
        <w:t>represents our share of earnings (losses) from the investments we make in certain legacy Greenspring funds through the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Investment income (loss) of Consolidated Funds </w:t>
      </w:r>
      <w:r>
        <w:rPr>
          <w:rFonts w:ascii="Times New Roman" w:cs="Times New Roman" w:eastAsia="Times New Roman" w:hAnsi="Times New Roman"/>
          <w:sz w:val="16"/>
          <w:szCs w:val="16"/>
          <w:color w:val="auto"/>
        </w:rPr>
        <w:t>represents gains (losses) from the investments held by the Consolidated Funds.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Interest income </w:t>
      </w:r>
      <w:r>
        <w:rPr>
          <w:rFonts w:ascii="Times New Roman" w:cs="Times New Roman" w:eastAsia="Times New Roman" w:hAnsi="Times New Roman"/>
          <w:sz w:val="16"/>
          <w:szCs w:val="16"/>
          <w:color w:val="auto"/>
        </w:rPr>
        <w:t>consists of income earned on cash and cash equivalents, restricted cash, and amounts associated with the Consolidated Funds.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primarily consists of the interest expense on the Revolver and the Notes, as well as the related amortization of deferred financing costs.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Other income (loss) </w:t>
      </w:r>
      <w:r>
        <w:rPr>
          <w:rFonts w:ascii="Times New Roman" w:cs="Times New Roman" w:eastAsia="Times New Roman" w:hAnsi="Times New Roman"/>
          <w:sz w:val="16"/>
          <w:szCs w:val="16"/>
          <w:color w:val="auto"/>
        </w:rPr>
        <w:t>includes foreign currency transaction gains and losses, non-operating activities, and amounts associated with the Consolidated Funds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34" w:right="35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179"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4"/>
          <w:szCs w:val="14"/>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p>
      <w:pPr>
        <w:spacing w:after="0" w:line="17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6"/>
          <w:szCs w:val="16"/>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(loss) to clearly distinguish between our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w:t>
      </w:r>
    </w:p>
    <w:p>
      <w:pPr>
        <w:spacing w:after="0" w:line="138" w:lineRule="exact"/>
        <w:rPr>
          <w:sz w:val="20"/>
          <w:szCs w:val="20"/>
          <w:color w:val="auto"/>
        </w:rPr>
      </w:pPr>
    </w:p>
    <w:p>
      <w:pPr>
        <w:ind w:right="420"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subsidiaries </w:t>
      </w:r>
      <w:r>
        <w:rPr>
          <w:rFonts w:ascii="Times New Roman" w:cs="Times New Roman" w:eastAsia="Times New Roman" w:hAnsi="Times New Roman"/>
          <w:sz w:val="16"/>
          <w:szCs w:val="16"/>
          <w:color w:val="auto"/>
        </w:rPr>
        <w:t>represent the economic interests in the consolidated subsidiaries of the Partnership held by 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46"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legacy Greenspring entities </w:t>
      </w:r>
      <w:r>
        <w:rPr>
          <w:rFonts w:ascii="Times New Roman" w:cs="Times New Roman" w:eastAsia="Times New Roman" w:hAnsi="Times New Roman"/>
          <w:sz w:val="16"/>
          <w:szCs w:val="16"/>
          <w:color w:val="auto"/>
        </w:rPr>
        <w:t>represent the economic interests in the legacy Greenspring general partner entities. We did not acquire any direct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46"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the Partnership </w:t>
      </w:r>
      <w:r>
        <w:rPr>
          <w:rFonts w:ascii="Times New Roman" w:cs="Times New Roman" w:eastAsia="Times New Roman" w:hAnsi="Times New Roman"/>
          <w:sz w:val="16"/>
          <w:szCs w:val="16"/>
          <w:color w:val="auto"/>
        </w:rPr>
        <w:t>represent the economic interests in the Partnership held by the Class B, Class C and Class D unitholders of the Partnership.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35" w:lineRule="exact"/>
        <w:rPr>
          <w:sz w:val="20"/>
          <w:szCs w:val="20"/>
          <w:color w:val="auto"/>
        </w:rPr>
      </w:pPr>
    </w:p>
    <w:p>
      <w:pPr>
        <w:jc w:val="both"/>
        <w:ind w:right="80" w:firstLine="509"/>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Redeemable non-controlling interests in Consolidated Funds </w:t>
      </w:r>
      <w:r>
        <w:rPr>
          <w:rFonts w:ascii="Times New Roman" w:cs="Times New Roman" w:eastAsia="Times New Roman" w:hAnsi="Times New Roman"/>
          <w:sz w:val="16"/>
          <w:szCs w:val="16"/>
          <w:color w:val="auto"/>
        </w:rPr>
        <w:t>represent the economic interests in the Consolidated Funds which are 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3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Redeemable non-controlling interests in subsidiaries </w:t>
      </w:r>
      <w:r>
        <w:rPr>
          <w:rFonts w:ascii="Times New Roman" w:cs="Times New Roman" w:eastAsia="Times New Roman" w:hAnsi="Times New Roman"/>
          <w:sz w:val="16"/>
          <w:szCs w:val="16"/>
          <w:color w:val="auto"/>
        </w:rPr>
        <w:t>represent the redeemable economic interests in the consolidated subsidiaries of the Partnership held by third parties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monitor certain operating metrics that are either common to the asset management industry or that we believe provide important data regarding our business.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Assets Under Management</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48" w:lineRule="exact"/>
        <w:rPr>
          <w:sz w:val="20"/>
          <w:szCs w:val="20"/>
          <w:color w:val="auto"/>
        </w:rPr>
      </w:pPr>
    </w:p>
    <w:p>
      <w:pPr>
        <w:ind w:right="40" w:firstLine="509"/>
        <w:spacing w:after="0" w:line="290" w:lineRule="auto"/>
        <w:rPr>
          <w:sz w:val="20"/>
          <w:szCs w:val="20"/>
          <w:color w:val="auto"/>
        </w:rPr>
      </w:pPr>
      <w:r>
        <w:rPr>
          <w:rFonts w:ascii="Times New Roman" w:cs="Times New Roman" w:eastAsia="Times New Roman" w:hAnsi="Times New Roman"/>
          <w:sz w:val="14"/>
          <w:szCs w:val="14"/>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December 31, 2025 reflects final data for the prior period (September 30, 2025), adjusted for net new client account activity through December 31, 2025. NAV data for underlying investments is as of September 30, 2025, as reported by underlying managers up to the business day occurring on or after 100 days following September 30, 2025. When NAV data is not available by the business day occurring on or after 100 days following September 30, 2025, such NAVs are adjusted for cash activity following the last available reported NAV.</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Assets Under Advisement</w:t>
      </w:r>
    </w:p>
    <w:p>
      <w:pPr>
        <w:spacing w:after="0" w:line="179" w:lineRule="exact"/>
        <w:rPr>
          <w:sz w:val="20"/>
          <w:szCs w:val="20"/>
          <w:color w:val="auto"/>
        </w:rPr>
      </w:pPr>
    </w:p>
    <w:p>
      <w:pPr>
        <w:ind w:right="60" w:firstLine="509"/>
        <w:spacing w:after="0" w:line="292" w:lineRule="auto"/>
        <w:rPr>
          <w:sz w:val="20"/>
          <w:szCs w:val="20"/>
          <w:color w:val="auto"/>
        </w:rPr>
      </w:pPr>
      <w:r>
        <w:rPr>
          <w:rFonts w:ascii="Times New Roman" w:cs="Times New Roman" w:eastAsia="Times New Roman" w:hAnsi="Times New Roman"/>
          <w:sz w:val="14"/>
          <w:szCs w:val="14"/>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24"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December 31, 2025 reflects final data for the prior period (September 30, 2025), adjusted for net new client account activity through December 31, 2025. NAV data for underlying investments is as of September 30, 2025, as reported by underlying managers up to the business day occurring on or after 100 days following September 30, 2025. When NAV data is not available by the business day occurring on or after 100 days following September 30, 2025, such NAVs are adjusted for cash activity following the last available reported NAV.</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6"/>
          <w:szCs w:val="16"/>
          <w:b w:val="1"/>
          <w:bCs w:val="1"/>
          <w:color w:val="auto"/>
        </w:rPr>
        <w:t>Fee-Earning AUM</w:t>
      </w:r>
    </w:p>
    <w:p>
      <w:pPr>
        <w:spacing w:after="0" w:line="179"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6"/>
          <w:szCs w:val="16"/>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43" w:lineRule="exact"/>
        <w:rPr>
          <w:sz w:val="20"/>
          <w:szCs w:val="20"/>
          <w:color w:val="auto"/>
        </w:rPr>
      </w:pPr>
    </w:p>
    <w:p>
      <w:pPr>
        <w:ind w:right="180" w:firstLine="509"/>
        <w:spacing w:after="0" w:line="273" w:lineRule="auto"/>
        <w:rPr>
          <w:sz w:val="20"/>
          <w:szCs w:val="20"/>
          <w:color w:val="auto"/>
        </w:rPr>
      </w:pPr>
      <w:r>
        <w:rPr>
          <w:rFonts w:ascii="Times New Roman" w:cs="Times New Roman" w:eastAsia="Times New Roman" w:hAnsi="Times New Roman"/>
          <w:sz w:val="16"/>
          <w:szCs w:val="16"/>
          <w:color w:val="231F20"/>
        </w:rPr>
        <w:t>Our calculation of FEAUM may differ from the calculations of other asset managers and, as a result, may not be comparable to similar measures presented by other asset managers.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Undeployed Fee-Earning Capital</w:t>
      </w:r>
    </w:p>
    <w:p>
      <w:pPr>
        <w:spacing w:after="0" w:line="1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6"/>
          <w:szCs w:val="16"/>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Consolidation of StepStone Funds</w:t>
      </w:r>
    </w:p>
    <w:p>
      <w:pPr>
        <w:spacing w:after="0" w:line="16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168"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6"/>
          <w:szCs w:val="16"/>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150"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6"/>
          <w:szCs w:val="16"/>
          <w:color w:val="auto"/>
        </w:rPr>
        <w:t>During the three months ended December 31, 2025, we deconsolidated an investment fund that was previously consolidated in our results as it was determined that we no longer held a controlling financial interest.</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434" w:right="379" w:bottom="1440" w:gutter="0" w:footer="0" w:header="0"/>
        </w:sectPr>
      </w:pPr>
    </w:p>
    <w:bookmarkStart w:id="62" w:name="page63"/>
    <w:bookmarkEnd w:id="6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300" w:type="dxa"/>
            <w:vAlign w:val="bottom"/>
          </w:tcPr>
          <w:p>
            <w:pPr>
              <w:spacing w:after="0"/>
              <w:rPr>
                <w:sz w:val="13"/>
                <w:szCs w:val="13"/>
                <w:color w:val="auto"/>
              </w:rPr>
            </w:pPr>
          </w:p>
        </w:tc>
        <w:tc>
          <w:tcPr>
            <w:tcW w:w="2560" w:type="dxa"/>
            <w:vAlign w:val="bottom"/>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Nine Months Ended December 31,</w:t>
            </w:r>
          </w:p>
        </w:tc>
      </w:tr>
      <w:tr>
        <w:trPr>
          <w:trHeight w:val="15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33"/>
        </w:trPr>
        <w:tc>
          <w:tcPr>
            <w:tcW w:w="5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Management and advisory fees, net</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239,932</w:t>
            </w:r>
          </w:p>
        </w:tc>
        <w:tc>
          <w:tcPr>
            <w:tcW w:w="22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190,840</w:t>
            </w:r>
          </w:p>
        </w:tc>
        <w:tc>
          <w:tcPr>
            <w:tcW w:w="24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666,594</w:t>
            </w:r>
          </w:p>
        </w:tc>
        <w:tc>
          <w:tcPr>
            <w:tcW w:w="22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553,613</w:t>
            </w:r>
          </w:p>
        </w:tc>
      </w:tr>
      <w:tr>
        <w:trPr>
          <w:trHeight w:val="1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Performance fees: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3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Incentive fees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207,954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22,369</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213,046</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26,365</w:t>
            </w:r>
          </w:p>
        </w:tc>
      </w:tr>
      <w:tr>
        <w:trPr>
          <w:trHeight w:val="143"/>
        </w:trPr>
        <w:tc>
          <w:tcPr>
            <w:tcW w:w="5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Carried interest allocations: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3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Realized</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46,703</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24,282</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129,985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83,718</w:t>
            </w:r>
          </w:p>
        </w:tc>
      </w:tr>
      <w:tr>
        <w:trPr>
          <w:trHeight w:val="143"/>
        </w:trPr>
        <w:tc>
          <w:tcPr>
            <w:tcW w:w="5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Unrealized</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101,985</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93,325</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338,681</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120,370</w:t>
            </w:r>
          </w:p>
        </w:tc>
      </w:tr>
      <w:tr>
        <w:trPr>
          <w:trHeight w:val="124"/>
        </w:trPr>
        <w:tc>
          <w:tcPr>
            <w:tcW w:w="53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Total carried interest allocations</w:t>
            </w:r>
          </w:p>
        </w:tc>
        <w:tc>
          <w:tcPr>
            <w:tcW w:w="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148,688</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117,607</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468,666</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204,088</w:t>
            </w:r>
          </w:p>
        </w:tc>
      </w:tr>
      <w:tr>
        <w:trPr>
          <w:trHeight w:val="143"/>
        </w:trPr>
        <w:tc>
          <w:tcPr>
            <w:tcW w:w="5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Legacy Greenspring carried interest allocations</w:t>
            </w:r>
            <w:r>
              <w:rPr>
                <w:rFonts w:ascii="Times New Roman" w:cs="Times New Roman" w:eastAsia="Times New Roman" w:hAnsi="Times New Roman"/>
                <w:sz w:val="12"/>
                <w:szCs w:val="12"/>
                <w:color w:val="auto"/>
                <w:vertAlign w:val="superscript"/>
              </w:rPr>
              <w:t>(1)</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(10,063)</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8,207</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56,717</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13,035</w:t>
            </w:r>
          </w:p>
        </w:tc>
      </w:tr>
      <w:tr>
        <w:trPr>
          <w:trHeight w:val="124"/>
        </w:trPr>
        <w:tc>
          <w:tcPr>
            <w:tcW w:w="5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0"/>
                <w:szCs w:val="10"/>
                <w:color w:val="auto"/>
              </w:rPr>
              <w:t>Total performance fees</w:t>
            </w: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346,579</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148,183</w:t>
            </w:r>
          </w:p>
        </w:tc>
        <w:tc>
          <w:tcPr>
            <w:tcW w:w="2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738,429</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243,488</w:t>
            </w:r>
          </w:p>
        </w:tc>
      </w:tr>
      <w:tr>
        <w:trPr>
          <w:trHeight w:val="133"/>
        </w:trPr>
        <w:tc>
          <w:tcPr>
            <w:tcW w:w="5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Total revenues</w:t>
            </w: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586,511</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339,023</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1,405,023</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797,101</w:t>
            </w:r>
          </w:p>
        </w:tc>
      </w:tr>
      <w:tr>
        <w:trPr>
          <w:trHeight w:val="114"/>
        </w:trPr>
        <w:tc>
          <w:tcPr>
            <w:tcW w:w="532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Expenses</w:t>
            </w: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Compensation and benefits: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3"/>
        </w:trPr>
        <w:tc>
          <w:tcPr>
            <w:tcW w:w="53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Cash-based compensation</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107,114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85,203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303,447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246,298</w:t>
            </w:r>
          </w:p>
        </w:tc>
      </w:tr>
      <w:tr>
        <w:trPr>
          <w:trHeight w:val="143"/>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Equity-based compensation</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468,808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486,418</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1,541,996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542,929</w:t>
            </w:r>
          </w:p>
        </w:tc>
      </w:tr>
      <w:tr>
        <w:trPr>
          <w:trHeight w:val="133"/>
        </w:trPr>
        <w:tc>
          <w:tcPr>
            <w:tcW w:w="53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Performance fee-related compensation:</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3"/>
        </w:trPr>
        <w:tc>
          <w:tcPr>
            <w:tcW w:w="5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Realized</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122,215</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25,477</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164,915</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55,092</w:t>
            </w:r>
          </w:p>
        </w:tc>
      </w:tr>
      <w:tr>
        <w:trPr>
          <w:trHeight w:val="133"/>
        </w:trPr>
        <w:tc>
          <w:tcPr>
            <w:tcW w:w="53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0"/>
                <w:szCs w:val="10"/>
                <w:color w:val="auto"/>
              </w:rPr>
              <w:t>Unrealized</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69,050</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49,670</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202,134</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66,495</w:t>
            </w:r>
          </w:p>
        </w:tc>
      </w:tr>
      <w:tr>
        <w:trPr>
          <w:trHeight w:val="133"/>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Total performance fee-related compensation</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191,265</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75,147</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367,049</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121,587</w:t>
            </w:r>
          </w:p>
        </w:tc>
      </w:tr>
      <w:tr>
        <w:trPr>
          <w:trHeight w:val="138"/>
        </w:trPr>
        <w:tc>
          <w:tcPr>
            <w:tcW w:w="5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0"/>
                <w:szCs w:val="10"/>
                <w:color w:val="auto"/>
              </w:rPr>
              <w:t>Legacy Greenspring performance fee-related compensation</w:t>
            </w:r>
            <w:r>
              <w:rPr>
                <w:rFonts w:ascii="Times New Roman" w:cs="Times New Roman" w:eastAsia="Times New Roman" w:hAnsi="Times New Roman"/>
                <w:sz w:val="12"/>
                <w:szCs w:val="12"/>
                <w:color w:val="auto"/>
                <w:vertAlign w:val="superscript"/>
              </w:rPr>
              <w:t>(1)</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(10,063)</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8,207</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56,717</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13,035</w:t>
            </w:r>
          </w:p>
        </w:tc>
      </w:tr>
      <w:tr>
        <w:trPr>
          <w:trHeight w:val="1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compensation and benefits</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757,124</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654,975</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2,269,209</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923,849</w:t>
            </w:r>
          </w:p>
        </w:tc>
      </w:tr>
      <w:tr>
        <w:trPr>
          <w:trHeight w:val="13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General, administrative and other</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50,640</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43,130</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138,846</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134,202</w:t>
            </w:r>
          </w:p>
        </w:tc>
      </w:tr>
      <w:tr>
        <w:trPr>
          <w:trHeight w:val="133"/>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Total expenses</w:t>
            </w: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807,764</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698,105</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2,408,055</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1,058,051</w:t>
            </w:r>
          </w:p>
        </w:tc>
      </w:tr>
      <w:tr>
        <w:trPr>
          <w:trHeight w:val="114"/>
        </w:trPr>
        <w:tc>
          <w:tcPr>
            <w:tcW w:w="532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Other income (expense)</w:t>
            </w: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Investment income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9,829</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1,064</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19,131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5,710</w:t>
            </w:r>
          </w:p>
        </w:tc>
      </w:tr>
      <w:tr>
        <w:trPr>
          <w:trHeight w:val="138"/>
        </w:trPr>
        <w:tc>
          <w:tcPr>
            <w:tcW w:w="5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Legacy Greenspring investment income (loss)</w:t>
            </w:r>
            <w:r>
              <w:rPr>
                <w:rFonts w:ascii="Times New Roman" w:cs="Times New Roman" w:eastAsia="Times New Roman" w:hAnsi="Times New Roman"/>
                <w:sz w:val="12"/>
                <w:szCs w:val="12"/>
                <w:color w:val="auto"/>
                <w:vertAlign w:val="superscript"/>
              </w:rPr>
              <w:t>(1)</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4,168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(4,119)</w:t>
            </w:r>
          </w:p>
        </w:tc>
      </w:tr>
      <w:tr>
        <w:trPr>
          <w:trHeight w:val="13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Investment income of Consolidated Funds</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21,282</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15,037</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88,997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30,878</w:t>
            </w:r>
          </w:p>
        </w:tc>
      </w:tr>
      <w:tr>
        <w:trPr>
          <w:trHeight w:val="133"/>
        </w:trPr>
        <w:tc>
          <w:tcPr>
            <w:tcW w:w="5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Interest income</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2,559</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8,175</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7,632</w:t>
            </w:r>
          </w:p>
        </w:tc>
      </w:tr>
      <w:tr>
        <w:trPr>
          <w:trHeight w:val="1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 expense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(5,123)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(3,008)</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(14,082)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(9,510)</w:t>
            </w:r>
          </w:p>
        </w:tc>
      </w:tr>
      <w:tr>
        <w:trPr>
          <w:trHeight w:val="13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Other income (loss)</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(1,312)</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(2,452)</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5,818</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(1,626)</w:t>
            </w:r>
          </w:p>
        </w:tc>
      </w:tr>
      <w:tr>
        <w:trPr>
          <w:trHeight w:val="133"/>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Total other income</w:t>
            </w: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26,604</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14,367</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112,207</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28,965</w:t>
            </w:r>
          </w:p>
        </w:tc>
      </w:tr>
      <w:tr>
        <w:trPr>
          <w:trHeight w:val="124"/>
        </w:trPr>
        <w:tc>
          <w:tcPr>
            <w:tcW w:w="5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Loss before income tax</w:t>
            </w:r>
          </w:p>
        </w:tc>
        <w:tc>
          <w:tcPr>
            <w:tcW w:w="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(194,649)</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(344,715)</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(890,825)</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(231,985)</w:t>
            </w:r>
          </w:p>
        </w:tc>
      </w:tr>
      <w:tr>
        <w:trPr>
          <w:trHeight w:val="1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 benefit</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(32,214)</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(57,552)</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(140,889)</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(46,005)</w:t>
            </w:r>
          </w:p>
        </w:tc>
      </w:tr>
      <w:tr>
        <w:trPr>
          <w:trHeight w:val="124"/>
        </w:trPr>
        <w:tc>
          <w:tcPr>
            <w:tcW w:w="5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(162,435)</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(287,163)</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(749,936)</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(185,980)</w:t>
            </w:r>
          </w:p>
        </w:tc>
      </w:tr>
      <w:tr>
        <w:trPr>
          <w:trHeight w:val="143"/>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Less: Net income attributable to non-controlling interests in subsidiaries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24,562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27,226</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62,421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62,966</w:t>
            </w:r>
          </w:p>
        </w:tc>
      </w:tr>
      <w:tr>
        <w:trPr>
          <w:trHeight w:val="138"/>
        </w:trPr>
        <w:tc>
          <w:tcPr>
            <w:tcW w:w="53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Less: Net income (loss) attributable to non-controlling interests in legacy Greenspring entities</w:t>
            </w:r>
            <w:r>
              <w:rPr>
                <w:rFonts w:ascii="Times New Roman" w:cs="Times New Roman" w:eastAsia="Times New Roman" w:hAnsi="Times New Roman"/>
                <w:sz w:val="12"/>
                <w:szCs w:val="12"/>
                <w:color w:val="auto"/>
                <w:vertAlign w:val="superscript"/>
              </w:rPr>
              <w:t>(1)</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4,168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(4,119)</w:t>
            </w:r>
          </w:p>
        </w:tc>
      </w:tr>
      <w:tr>
        <w:trPr>
          <w:trHeight w:val="138"/>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Less: Net loss attributable to non-controlling interests in the Partnership</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(82,207)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(134,760)</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(369,275)</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(107,856)</w:t>
            </w:r>
          </w:p>
        </w:tc>
      </w:tr>
      <w:tr>
        <w:trPr>
          <w:trHeight w:val="133"/>
        </w:trPr>
        <w:tc>
          <w:tcPr>
            <w:tcW w:w="53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Less: Net income attributable to redeemable non-controlling interests in Consolidated Funds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18,564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10,905</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79,180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23,101</w:t>
            </w:r>
          </w:p>
        </w:tc>
      </w:tr>
      <w:tr>
        <w:trPr>
          <w:trHeight w:val="138"/>
        </w:trPr>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Less: Net income attributable to redeemable non-controlling interests in subsidiaries</w:t>
            </w: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624</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w:t>
            </w: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1,587</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983</w:t>
            </w:r>
          </w:p>
        </w:tc>
      </w:tr>
      <w:tr>
        <w:trPr>
          <w:trHeight w:val="133"/>
        </w:trPr>
        <w:tc>
          <w:tcPr>
            <w:tcW w:w="5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attributable to StepStone Group Inc.</w:t>
            </w: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(123,451)</w:t>
            </w:r>
          </w:p>
        </w:tc>
        <w:tc>
          <w:tcPr>
            <w:tcW w:w="220" w:type="dxa"/>
            <w:vAlign w:val="bottom"/>
          </w:tcPr>
          <w:p>
            <w:pPr>
              <w:spacing w:after="0"/>
              <w:rPr>
                <w:sz w:val="11"/>
                <w:szCs w:val="11"/>
                <w:color w:val="auto"/>
              </w:rPr>
            </w:pPr>
          </w:p>
        </w:tc>
        <w:tc>
          <w:tcPr>
            <w:tcW w:w="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(192,015)</w:t>
            </w:r>
          </w:p>
        </w:tc>
        <w:tc>
          <w:tcPr>
            <w:tcW w:w="240" w:type="dxa"/>
            <w:vAlign w:val="bottom"/>
          </w:tcPr>
          <w:p>
            <w:pPr>
              <w:spacing w:after="0"/>
              <w:rPr>
                <w:sz w:val="11"/>
                <w:szCs w:val="11"/>
                <w:color w:val="auto"/>
              </w:rPr>
            </w:pP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(528,017)</w:t>
            </w:r>
          </w:p>
        </w:tc>
        <w:tc>
          <w:tcPr>
            <w:tcW w:w="220" w:type="dxa"/>
            <w:vAlign w:val="bottom"/>
          </w:tcPr>
          <w:p>
            <w:pPr>
              <w:spacing w:after="0"/>
              <w:rPr>
                <w:sz w:val="11"/>
                <w:szCs w:val="11"/>
                <w:color w:val="auto"/>
              </w:rPr>
            </w:pPr>
          </w:p>
        </w:tc>
        <w:tc>
          <w:tcPr>
            <w:tcW w:w="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(161,055)</w:t>
            </w: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_______________________________</w:t>
      </w:r>
    </w:p>
    <w:p>
      <w:pPr>
        <w:spacing w:after="0" w:line="12" w:lineRule="exact"/>
        <w:rPr>
          <w:sz w:val="20"/>
          <w:szCs w:val="20"/>
          <w:color w:val="auto"/>
        </w:rPr>
      </w:pPr>
    </w:p>
    <w:p>
      <w:pPr>
        <w:ind w:left="500" w:hanging="495"/>
        <w:spacing w:after="0"/>
        <w:tabs>
          <w:tab w:leader="none" w:pos="50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amounts attributable to consolidated VIEs for which we did not acquire any direct economic interests. See notes 2, 3 and 5 to our condensed consolidated financial statements included elsewhere in this quarterly report.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 Compared to Three Months Ended December 31, 2024</w:t>
      </w:r>
    </w:p>
    <w:p>
      <w:pPr>
        <w:spacing w:after="0" w:line="16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6"/>
          <w:szCs w:val="16"/>
          <w:color w:val="auto"/>
        </w:rPr>
        <w:t>Total revenues increased $247.5 million, or 73%, to $586.5 million for the three months ended December 31, 2025 as compared to the three months ended December 31, 2024. The overall increase was driven by higher incentive fees, higher management and advisory fees, net, and higher carried interest allocations, partially offset by a reversal of legacy Greenspring carried interest allocations in the current period as compared to positive legacy Greenspring carried interest allocations in the prior year period, in each case, as described below.</w:t>
      </w:r>
    </w:p>
    <w:p>
      <w:pPr>
        <w:spacing w:after="0" w:line="150"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6"/>
          <w:szCs w:val="16"/>
          <w:color w:val="auto"/>
        </w:rPr>
        <w:t>Management and advisory fees, net increased $49.1 million, or 26%, to $239.9 million for the three months ended December 31, 2025 as compared to the three months ended December 31, 2024. The increase was driven by new client activity, 24% growth in average FEAUM across the platform and higher income-based incentive fees. The three months ended December 31, 2025 included retroactive fees of $1.1 million from the closings of StepStone’s infrastructure secondaries and multi-strategy global venture capital funds. The three months ended December 31, 2024 included retroactive fees of $9.7 million from the closings of StepStone’s Real Estate Partners V, Tactical Growth Fund IV and Infrastructure Co-Investment Partners 2022 funds.</w:t>
      </w:r>
    </w:p>
    <w:p>
      <w:pPr>
        <w:spacing w:after="0" w:line="153"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6"/>
          <w:szCs w:val="16"/>
          <w:color w:val="auto"/>
        </w:rPr>
        <w:t>Incentive fees increased $185.6 million, or 830%, to $208.0 million for the three months ended December 31, 2025 as compared to the three months ended December 31, 2024, largely due to higher incentive fees generated by StepStone’s Private Venture and Growth Fund (“SPRING”).</w:t>
      </w:r>
    </w:p>
    <w:p>
      <w:pPr>
        <w:spacing w:after="0" w:line="144" w:lineRule="exact"/>
        <w:rPr>
          <w:sz w:val="20"/>
          <w:szCs w:val="20"/>
          <w:color w:val="auto"/>
        </w:rPr>
      </w:pPr>
    </w:p>
    <w:p>
      <w:pPr>
        <w:ind w:right="180" w:firstLine="509"/>
        <w:spacing w:after="0" w:line="248" w:lineRule="auto"/>
        <w:rPr>
          <w:sz w:val="20"/>
          <w:szCs w:val="20"/>
          <w:color w:val="auto"/>
        </w:rPr>
      </w:pPr>
      <w:r>
        <w:rPr>
          <w:rFonts w:ascii="Times New Roman" w:cs="Times New Roman" w:eastAsia="Times New Roman" w:hAnsi="Times New Roman"/>
          <w:sz w:val="16"/>
          <w:szCs w:val="16"/>
          <w:color w:val="auto"/>
        </w:rPr>
        <w:t>Realized carried interest allocation revenues increased $22.4 million, or 92%, to $46.7 million for the three months ended December 31, 2025 as compared to the three months ended December 31, 2024, reflecting higher realization activity within our private equity funds. Unrealized carried interest allocation revenues include the reversal of realized carried interest allocation revenues. Excluding the reversal of $46.7 million, unrealized carried interest allocation revenues increased $31.1 million, or 26%, to $148.7 million for the three months ended December 31, 2025 as compared to the three months ended December 31, 2024. The increase in unrealized carried interest allocations for the three months ended December 31, 2025 primarily reflected a higher net increase in the cumulative allocation of gains associated with the underlying portfolios within our private equity and infrastructure funds.</w:t>
      </w:r>
    </w:p>
    <w:p>
      <w:pPr>
        <w:spacing w:after="0" w:line="143" w:lineRule="exact"/>
        <w:rPr>
          <w:sz w:val="20"/>
          <w:szCs w:val="20"/>
          <w:color w:val="auto"/>
        </w:rPr>
      </w:pPr>
    </w:p>
    <w:p>
      <w:pPr>
        <w:ind w:right="40" w:firstLine="509"/>
        <w:spacing w:after="0" w:line="296" w:lineRule="auto"/>
        <w:rPr>
          <w:sz w:val="20"/>
          <w:szCs w:val="20"/>
          <w:color w:val="auto"/>
        </w:rPr>
      </w:pPr>
      <w:r>
        <w:rPr>
          <w:rFonts w:ascii="Times New Roman" w:cs="Times New Roman" w:eastAsia="Times New Roman" w:hAnsi="Times New Roman"/>
          <w:sz w:val="14"/>
          <w:szCs w:val="14"/>
          <w:color w:val="auto"/>
        </w:rPr>
        <w:t>Legacy Greenspring carried interest allocation revenues decreased $18.3 million to $(10.1) million for the three months ended December 31, 2025 as compared to the three months ended December 31, 2024 as a result of net unrealized depreciation in the fair value of certain underlying fund investments in the current year period as compared to net unrealized appreciation in the prior year period. The three months ended December 31, 2025 reflect gross realized carried interest allocations of $0.3 million and unrealized carried interest allocations, net of the reversal of realized carried interest allocations, of $(10.3) million. The three months ended December 31, 2024 reflect gross realized carried interest allocations of $38.3 million and unrealized carried interest allocations, net of the reversal of realized carried interest allocations, of $(30.1) million.</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 Compared to Nine Months Ended December 31, 2024</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Total revenues increased $607.9 million, or 76%, to $1,405.0 million for the nine months ended December 31, 2025 as compared to the nine months ended December 31, 2024. The overall increase was driven by higher carried interest allocations, higher incentive fees, higher management and advisory fees, net, and higher legacy Greenspring carried interest allocations, in each case, as described below.</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434" w:right="379" w:bottom="1440" w:gutter="0" w:footer="0" w:header="0"/>
        </w:sectPr>
      </w:pPr>
    </w:p>
    <w:bookmarkStart w:id="64" w:name="page65"/>
    <w:bookmarkEnd w:id="64"/>
    <w:p>
      <w:pPr>
        <w:ind w:right="160" w:firstLine="509"/>
        <w:spacing w:after="0" w:line="248" w:lineRule="auto"/>
        <w:rPr>
          <w:sz w:val="20"/>
          <w:szCs w:val="20"/>
          <w:color w:val="auto"/>
        </w:rPr>
      </w:pPr>
      <w:r>
        <w:rPr>
          <w:rFonts w:ascii="Times New Roman" w:cs="Times New Roman" w:eastAsia="Times New Roman" w:hAnsi="Times New Roman"/>
          <w:sz w:val="16"/>
          <w:szCs w:val="16"/>
          <w:color w:val="auto"/>
        </w:rPr>
        <w:t>Management and advisory fees, net increased $113.0 million, or 20%, to $666.6 million for the nine months ended December 31, 2025 as compared to the nine months ended December 31, 2024. The increase was driven by new client activity, 26% growth in average FEAUM across the platform and higher income-based incentive fees. The nine months ended December 31, 2025 included retroactive fees of $3.5 million from the closings of StepStone’s Real Estate Partners V, infrastructure secondaries and multi-strategy global venture capital funds. The nine months ended December 31, 2024 included retroactive fees of $36.8 million from the closings of StepStone’s Secondary Opportunities V, Real Estate Partners V, Infrastructure Co-Investment Partners 2022, Tactical Growth Fund IV and VC Global Partners XI funds.</w:t>
      </w:r>
    </w:p>
    <w:p>
      <w:pPr>
        <w:spacing w:after="0" w:line="153" w:lineRule="exact"/>
        <w:rPr>
          <w:sz w:val="20"/>
          <w:szCs w:val="20"/>
          <w:color w:val="auto"/>
        </w:rPr>
      </w:pPr>
    </w:p>
    <w:p>
      <w:pPr>
        <w:ind w:right="240" w:firstLine="509"/>
        <w:spacing w:after="0" w:line="273" w:lineRule="auto"/>
        <w:rPr>
          <w:sz w:val="20"/>
          <w:szCs w:val="20"/>
          <w:color w:val="auto"/>
        </w:rPr>
      </w:pPr>
      <w:r>
        <w:rPr>
          <w:rFonts w:ascii="Times New Roman" w:cs="Times New Roman" w:eastAsia="Times New Roman" w:hAnsi="Times New Roman"/>
          <w:sz w:val="16"/>
          <w:szCs w:val="16"/>
          <w:color w:val="auto"/>
        </w:rPr>
        <w:t>Incentive fees increased $186.7 million, or 708%, to $213.0 million for the nine months ended December 31, 2025 as compared to the nine months ended December 31, 2024, largely due to higher incentive fees generated by SPRING.</w:t>
      </w:r>
    </w:p>
    <w:p>
      <w:pPr>
        <w:spacing w:after="0" w:line="123"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Realized carried interest allocation revenues increased $46.3 million, or 55%, to $130.0 million for the nine months ended December 31, 2025 as compared to the nine months ended December 31, 2024, reflecting higher realization activity within our private equity funds. Unrealized carried interest allocation revenues include the reversal of realized carried interest allocation revenues. Excluding the reversal of $130.0 million, unrealized carried interest allocation revenues increased $264.6 million, or 130%, to $468.7 million for the nine months ended December 31, 2025 as compared to the nine months ended December 31, 2024. The increase in unrealized carried interest allocations for the nine months ended December 31, 2025 primarily reflected a higher net increase in the cumulative allocation of gains associated with the underlying portfolios within our private equity funds.</w:t>
      </w:r>
    </w:p>
    <w:p>
      <w:pPr>
        <w:spacing w:after="0" w:line="154"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Legacy Greenspring carried interest allocation revenues increased $43.7 million, or 335%, to $56.7 million for the nine months ended December 31, 2025 as compared to the nine months ended December 31, 2024 as a result of higher net unrealized appreciation in the fair value of certain underlying fund investments in the current year period as compared to the prior year period. The nine months ended December 31, 2025 reflect gross realized carried interest allocations of $18.4 million and unrealized carried interest allocations, net of the reversal of realized carried interest allocations, of $38.3 million. The nine months ended December 31, 2024 reflect gross realized carried interest allocations of $56.8 million and unrealized carried interest allocations, net of the reversal of realized carried interest allocations, of $(43.8) million.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 Compared to Three Months Ended December 31, 2024</w:t>
      </w:r>
    </w:p>
    <w:p>
      <w:pPr>
        <w:spacing w:after="0" w:line="179" w:lineRule="exact"/>
        <w:rPr>
          <w:sz w:val="20"/>
          <w:szCs w:val="20"/>
          <w:color w:val="auto"/>
        </w:rPr>
      </w:pPr>
    </w:p>
    <w:p>
      <w:pPr>
        <w:jc w:val="both"/>
        <w:ind w:right="180" w:firstLine="509"/>
        <w:spacing w:after="0" w:line="254" w:lineRule="auto"/>
        <w:rPr>
          <w:sz w:val="20"/>
          <w:szCs w:val="20"/>
          <w:color w:val="auto"/>
        </w:rPr>
      </w:pPr>
      <w:r>
        <w:rPr>
          <w:rFonts w:ascii="Times New Roman" w:cs="Times New Roman" w:eastAsia="Times New Roman" w:hAnsi="Times New Roman"/>
          <w:sz w:val="16"/>
          <w:szCs w:val="16"/>
          <w:color w:val="auto"/>
        </w:rPr>
        <w:t>Total expenses increased $109.7 million, or 16%, to $807.8 million for the three months ended December 31, 2025 as compared to the three months ended December 31, 2024. The overall increase resulted from increases in performance fee-related compensation, cash-based compensation, and general, administrative and other expenses, partially offset by decreases in legacy Greenspring performance fee-related compensation and equity-based compensation, in each case, as described below.</w:t>
      </w:r>
    </w:p>
    <w:p>
      <w:pPr>
        <w:spacing w:after="0" w:line="14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6"/>
          <w:szCs w:val="16"/>
          <w:color w:val="auto"/>
        </w:rPr>
        <w:t>Cash-based compensation increased $21.9 million, or 26%, to $107.1 million for the three months ended December 31, 2025 as compared to the three months ended December 31, 2024, due to 18% higher average headcount, increased compensation levels from merit increases and higher income-based incentive fee compensation in the current year period as compared to the prior year period.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436" w:right="379" w:bottom="1440" w:gutter="0" w:footer="0" w:header="0"/>
        </w:sectPr>
      </w:pPr>
    </w:p>
    <w:bookmarkStart w:id="65" w:name="page66"/>
    <w:bookmarkEnd w:id="65"/>
    <w:p>
      <w:pPr>
        <w:ind w:right="60" w:firstLine="509"/>
        <w:spacing w:after="0" w:line="246" w:lineRule="auto"/>
        <w:rPr>
          <w:sz w:val="20"/>
          <w:szCs w:val="20"/>
          <w:color w:val="auto"/>
        </w:rPr>
      </w:pPr>
      <w:r>
        <w:rPr>
          <w:rFonts w:ascii="Times New Roman" w:cs="Times New Roman" w:eastAsia="Times New Roman" w:hAnsi="Times New Roman"/>
          <w:sz w:val="16"/>
          <w:szCs w:val="16"/>
          <w:color w:val="auto"/>
        </w:rPr>
        <w:t>Equity-based compensation decreased $17.6 million, or 4%, to $468.8 million for the three months ended December 31, 2025 as compared to the three months ended December 31, 2024. The decrease was primarily attributable to a $19.8 million decrease in expenses for liability classified awards related to the profits interest issued in SPW in the current year period as compared to the prior year period, partially offset by increases in expenses for restricted stock units (“RSUs”) and performance-based RSUs (“PRSUs”) granted in the current year period with no comparable expense for these grants in the prior year period. We expect that there may be additional significant increases in equity-based compensation in future periods due to further increases in the fair value of liability classified awards, which is driven by the performance of SPW. SPW generated profitability in fiscal 2025 and in fiscal 2026 to date, and we expect that there will be an increase in the profitability generated by SPW in the future which would increase the fair value of the associated liability for the profits interest issued in SPW. As of December 31, 2025 and March 31, 2025, we had recognized $2,165.6 million and $663.9 million, respectively, for liability classified awards within accrued compensation and benefits in the condensed consolidated balance sheets.</w:t>
      </w:r>
    </w:p>
    <w:p>
      <w:pPr>
        <w:spacing w:after="0" w:line="157"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6"/>
          <w:szCs w:val="16"/>
          <w:color w:val="auto"/>
        </w:rPr>
        <w:t>Total performance fee-related compensation expense increased $116.1 million, or 155%, to $191.3 million for the three months ended December 31, 2025 as compared to the three months ended December 31, 2024, primarily reflecting the increase in carried interest allocation and incentive fee revenues. Realized performance fee-related compensation increased $96.7 million, or 380%, to $122.2 million for the three months ended December 31, 2025 as compared to the three months ended December 31, 2024, primarily reflecting higher realization activity and higher incentive fees from SPRING.</w:t>
      </w:r>
    </w:p>
    <w:p>
      <w:pPr>
        <w:spacing w:after="0" w:line="140"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6"/>
          <w:szCs w:val="16"/>
          <w:color w:val="auto"/>
        </w:rPr>
        <w:t>Legacy Greenspring performance fee-related compensation expense decreased $18.3 million to $(10.1) million for the three months ended December 31, 2025 as compared to the three months ended December 31, 2024. The three months ended December 31, 2025 reflect gross realized performance fee-related compensation expense of $0.3 million and unrealized performance fee-related compensation expense, net of the reversal of realized performance fee-related compensation expense, of $(10.3) million. The three months ended December 31, 2024 reflect gross realized performance fee-related compensation expense of $38.3 million and unrealized performance fee-related compensation expense, net of the reversal of realized performance fee-related compensation expense, of $(30.1) million.</w:t>
      </w:r>
    </w:p>
    <w:p>
      <w:pPr>
        <w:spacing w:after="0" w:line="141"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6"/>
          <w:szCs w:val="16"/>
          <w:color w:val="auto"/>
        </w:rPr>
        <w:t>General, administrative and other expenses increased $7.5 million, or 17%, to $50.6 million for the three months ended December 31, 2025 as compared to the three months ended December 31, 2024. The overall increase primarily reflected $2.4 million in travel and associated costs for investment evaluation and client service, $2.0 million in marketing and conference expenses, $1.8 million in information and technology expense, $1.2 million in professional fees, $1.0 million in platform fees, $1.0 million in human resources and recruiting expenses and other general operating expenses, partially offset by a $2.4 million lower expense for change in fair value for contingent consideration obligation as compared to the prior period.</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 Compared to Nine Months Ended December 31, 2024</w:t>
      </w:r>
    </w:p>
    <w:p>
      <w:pPr>
        <w:spacing w:after="0" w:line="1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Total expenses increased $1,350.0 million, or 128%, to $2,408.1 million for the nine months ended December 31, 2025 as compared to the nine months ended December 31, 2024. The overall increase resulted from increases in equity-based compensation, performance fee-related compensation, cash-based compensation, legacy Greenspring performance fee-related compensation, and general, administrative and other expenses, in each case, as described below.</w:t>
      </w:r>
    </w:p>
    <w:p>
      <w:pPr>
        <w:spacing w:after="0" w:line="13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6"/>
          <w:szCs w:val="16"/>
          <w:color w:val="auto"/>
        </w:rPr>
        <w:t>Cash-based compensation increased $57.1 million, or 23%, to $303.4 million for the nine months ended December 31, 2025 as compared to the nine months ended December 31, 2024, due to 16% higher average headcount, increased compensation levels from merit increases and higher income-based incentive fee compensation in the current year period as compared to the prior year period.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66" w:name="page67"/>
    <w:bookmarkEnd w:id="66"/>
    <w:p>
      <w:pPr>
        <w:ind w:right="40" w:firstLine="509"/>
        <w:spacing w:after="0" w:line="252" w:lineRule="auto"/>
        <w:rPr>
          <w:sz w:val="20"/>
          <w:szCs w:val="20"/>
          <w:color w:val="auto"/>
        </w:rPr>
      </w:pPr>
      <w:r>
        <w:rPr>
          <w:rFonts w:ascii="Times New Roman" w:cs="Times New Roman" w:eastAsia="Times New Roman" w:hAnsi="Times New Roman"/>
          <w:sz w:val="16"/>
          <w:szCs w:val="16"/>
          <w:color w:val="auto"/>
        </w:rPr>
        <w:t>Equity-based compensation increased $999.1 million, or 184%, to $1,542.0 million for the nine months ended December 31, 2025 as compared to the nine months ended December 31, 2024. The increase was primarily attributable to a $998.4 million increase in expenses for liability classified awards related to the profits interest issued in SPW in the current year period as compared to the prior year period, and RSUs and PRSUs granted in the current year period with no comparable expense for these grants in the prior year period. These increases were partially offset by a decrease of $5.0 million in expense due to the final vesting of RSUs issued in connection with our IPO.</w:t>
      </w:r>
    </w:p>
    <w:p>
      <w:pPr>
        <w:spacing w:after="0" w:line="14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color w:val="auto"/>
        </w:rPr>
        <w:t>Total performance fee-related compensation expense increased $245.5 million, or 202%, to $367.0 million for the nine months ended December 31, 2025 as compared to the nine months ended December 31, 2024, primarily reflecting the increase in carried interest allocation and incentive fee revenues. Realized performance fee-related compensation increased $109.8 million, or 199%, to $164.9 million for the nine months ended December 31, 2025 as compared to the nine months ended December 31, 2024, primarily reflecting higher realization activity and higher incentive fees from SPRING.</w:t>
      </w:r>
    </w:p>
    <w:p>
      <w:pPr>
        <w:spacing w:after="0" w:line="150"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6"/>
          <w:szCs w:val="16"/>
          <w:color w:val="auto"/>
        </w:rPr>
        <w:t>Legacy Greenspring performance fee-related compensation expense increased $43.7 million, or 335%, to $56.7 million for the nine months ended December 31, 2025 as compared to the nine months ended December 31, 2024. The nine months ended December 31, 2025 reflect gross realized performance fee-related compensation expense of $18.4 million and unrealized performance fee-related compensation expense, net of the reversal of realized performance fee-related compensation expense, of $38.3 million. The nine months ended December 31, 2024 reflect gross realized performance fee-related compensation expense of $56.8 million and unrealized performance fee-related compensation expense, net of the reversal of realized performance fee-related compensation expense, of $(43.8) million.</w:t>
      </w:r>
    </w:p>
    <w:p>
      <w:pPr>
        <w:spacing w:after="0" w:line="153" w:lineRule="exact"/>
        <w:rPr>
          <w:sz w:val="20"/>
          <w:szCs w:val="20"/>
          <w:color w:val="auto"/>
        </w:rPr>
      </w:pPr>
    </w:p>
    <w:p>
      <w:pPr>
        <w:jc w:val="both"/>
        <w:ind w:right="100" w:firstLine="509"/>
        <w:spacing w:after="0" w:line="300" w:lineRule="auto"/>
        <w:rPr>
          <w:sz w:val="20"/>
          <w:szCs w:val="20"/>
          <w:color w:val="auto"/>
        </w:rPr>
      </w:pPr>
      <w:r>
        <w:rPr>
          <w:rFonts w:ascii="Times New Roman" w:cs="Times New Roman" w:eastAsia="Times New Roman" w:hAnsi="Times New Roman"/>
          <w:sz w:val="14"/>
          <w:szCs w:val="14"/>
          <w:color w:val="auto"/>
        </w:rPr>
        <w:t>General, administrative and other expenses increased $4.6 million, or 3%, to $138.8 million for the nine months ended December 31, 2025 as compared to the nine months ended December 31, 2024. The overall increase primarily reflected $4.2 million in professional fees, $4.0 million in travel and associated costs for investment evaluation and client service, $3.3 million in marketing and conference expenses, $2.6 million in information and technology expense, $2.1 million in platform fees, $1.3 million in occupancy costs and other general operating expenses, partially offset by a $16.1 million lower expense for change in fair value for contingent consideration obligation as compared to the prior period.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Other Income (Expense)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 Compared to Three Months Ended December 31, 2024</w:t>
      </w:r>
    </w:p>
    <w:p>
      <w:pPr>
        <w:spacing w:after="0" w:line="168" w:lineRule="exact"/>
        <w:rPr>
          <w:sz w:val="20"/>
          <w:szCs w:val="20"/>
          <w:color w:val="auto"/>
        </w:rPr>
      </w:pPr>
    </w:p>
    <w:p>
      <w:pPr>
        <w:ind w:right="200" w:firstLine="509"/>
        <w:spacing w:after="0" w:line="273" w:lineRule="auto"/>
        <w:rPr>
          <w:sz w:val="20"/>
          <w:szCs w:val="20"/>
          <w:color w:val="auto"/>
        </w:rPr>
      </w:pPr>
      <w:r>
        <w:rPr>
          <w:rFonts w:ascii="Times New Roman" w:cs="Times New Roman" w:eastAsia="Times New Roman" w:hAnsi="Times New Roman"/>
          <w:sz w:val="16"/>
          <w:szCs w:val="16"/>
          <w:color w:val="auto"/>
        </w:rPr>
        <w:t>Investment income increased $8.8 million, or 824%, to $9.8 million for the three months ended December 31, 2025 as compared to the three months ended December 31, 2024, primarily reflecting overall changes in the valuations of the underlying investments in StepStone Funds.</w:t>
      </w:r>
    </w:p>
    <w:p>
      <w:pPr>
        <w:spacing w:after="0" w:line="12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6"/>
          <w:szCs w:val="16"/>
          <w:color w:val="auto"/>
        </w:rPr>
        <w:t>Legacy Greenspring investment income decreased $1.7 million to loss of $0.5 million for the three months ended December 31, 2025 as compared to the three months ended December 31, 2024. The three months ended December 31, 2025 reflect gross realized investment income of $38 thousand and unrealized investment loss, net of the reversal of realized investment income, of $0.6 million. The three months ended December 31, 2024 reflect gross realized investment income of $3.9 million and unrealized investment loss, net of the reversal of realized investment income, of $2.8 million.</w:t>
      </w:r>
    </w:p>
    <w:p>
      <w:pPr>
        <w:spacing w:after="0" w:line="15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6"/>
          <w:szCs w:val="16"/>
          <w:color w:val="auto"/>
        </w:rPr>
        <w:t>Investment income of Consolidated Funds increased $6.2 million, or 42%, to $21.3 million for the three months ended December 31, 2025 as compared to the three months ended December 31, 2024, primarily reflecting overall changes in the valuations of the underlying investments of the Consolidated Funds.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67" w:name="page68"/>
    <w:bookmarkEnd w:id="67"/>
    <w:p>
      <w:pPr>
        <w:jc w:val="both"/>
        <w:ind w:right="80" w:firstLine="509"/>
        <w:spacing w:after="0" w:line="252" w:lineRule="auto"/>
        <w:rPr>
          <w:sz w:val="20"/>
          <w:szCs w:val="20"/>
          <w:color w:val="auto"/>
        </w:rPr>
      </w:pPr>
      <w:r>
        <w:rPr>
          <w:rFonts w:ascii="Times New Roman" w:cs="Times New Roman" w:eastAsia="Times New Roman" w:hAnsi="Times New Roman"/>
          <w:sz w:val="16"/>
          <w:szCs w:val="16"/>
          <w:color w:val="auto"/>
        </w:rPr>
        <w:t>Interest income decreased $0.1 million, or 4%, to $2.5 million for the three months ended December 31, 2025 as compared to the three months ended December 31, 2024, primarily due to the impact of deconsolidation of one of the Consolidated Funds during the current year period, partially offset by higher average cash and cash equivalent balances during the current year period as compared with the prior year period. Interest income attributable to Consolidated Funds was $4 thousand in the current year period as compared to $0.9 million in the prior year period.</w:t>
      </w:r>
    </w:p>
    <w:p>
      <w:pPr>
        <w:spacing w:after="0" w:line="14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6"/>
          <w:szCs w:val="16"/>
          <w:color w:val="auto"/>
        </w:rPr>
        <w:t>Interest expense increased $2.1 million, or 70%, to $5.1 million for the three months ended December 31, 2025 as compared to the three months ended December 31, 2024. The increase was due to higher average outstanding debt balances during the current year period as compared with the prior year period, partially offset by the lower interest rate on the Notes for the current year period.</w:t>
      </w:r>
    </w:p>
    <w:p>
      <w:pPr>
        <w:spacing w:after="0" w:line="132" w:lineRule="exact"/>
        <w:rPr>
          <w:sz w:val="20"/>
          <w:szCs w:val="20"/>
          <w:color w:val="auto"/>
        </w:rPr>
      </w:pPr>
    </w:p>
    <w:p>
      <w:pPr>
        <w:ind w:right="420" w:firstLine="509"/>
        <w:spacing w:after="0" w:line="273" w:lineRule="auto"/>
        <w:rPr>
          <w:sz w:val="20"/>
          <w:szCs w:val="20"/>
          <w:color w:val="auto"/>
        </w:rPr>
      </w:pPr>
      <w:r>
        <w:rPr>
          <w:rFonts w:ascii="Times New Roman" w:cs="Times New Roman" w:eastAsia="Times New Roman" w:hAnsi="Times New Roman"/>
          <w:sz w:val="16"/>
          <w:szCs w:val="16"/>
          <w:color w:val="auto"/>
        </w:rPr>
        <w:t>Other loss decreased $1.1 million, or 46%, to $1.3 million for the three months ended December 31, 2025 as compared to the three months ended December 31, 2024, primarily reflecting lower net foreign currency transaction losses in the current year period as compared with the prior year period.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 Compared to Nine Months Ended December 31, 2024</w:t>
      </w:r>
    </w:p>
    <w:p>
      <w:pPr>
        <w:spacing w:after="0" w:line="179"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6"/>
          <w:szCs w:val="16"/>
          <w:color w:val="auto"/>
        </w:rPr>
        <w:t>Investment income increased $13.4 million, or 235%, to $19.1 million for the nine months ended December 31, 2025 as compared to the nine months ended December 31, 2024, primarily reflecting overall changes in the valuations of the underlying investments in StepStone Funds.</w:t>
      </w:r>
    </w:p>
    <w:p>
      <w:pPr>
        <w:spacing w:after="0" w:line="123"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6"/>
          <w:szCs w:val="16"/>
          <w:color w:val="auto"/>
        </w:rPr>
        <w:t>Legacy Greenspring investment loss decreased $8.3 million to income of $4.2 million for the nine months ended December 31, 2025 as compared to the nine months ended December 31, 2024. The nine months ended December 31, 2025 reflect gross realized investment income of $2.6 million and unrealized investment income, net of the reversal of realized investment income, of $1.6 million. The nine months ended December 31, 2024 reflected gross realized investment income of $6.8 million and unrealized investment loss, net of the reversal of realized investment income, of $10.9 million.</w:t>
      </w:r>
    </w:p>
    <w:p>
      <w:pPr>
        <w:spacing w:after="0" w:line="15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Investment income of Consolidated Funds increased $58.1 million, or 188%, to $89.0 million for the nine months ended December 31, 2025 as compared to the nine months ended December 31, 2024, primarily reflecting overall changes in the valuations of the underlying investments of the Consolidated Funds.</w:t>
      </w:r>
    </w:p>
    <w:p>
      <w:pPr>
        <w:spacing w:after="0" w:line="144"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6"/>
          <w:szCs w:val="16"/>
          <w:color w:val="auto"/>
        </w:rPr>
        <w:t>Interest income increased $0.5 million, or 7%, to $8.2 million for the nine months ended December 31, 2025 as compared to the nine months ended December 31, 2024, primarily due to higher average cash and cash equivalent balances during the current year period as compared with the prior year period, partially offset by the impact of deconsolidation of one of the Consolidated Funds during the current year period. Interest income attributable to Consolidated Funds was $2.3 million in the current year period as compared to $3.2 million in the prior year period.</w:t>
      </w:r>
    </w:p>
    <w:p>
      <w:pPr>
        <w:spacing w:after="0" w:line="155"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6"/>
          <w:szCs w:val="16"/>
          <w:color w:val="auto"/>
        </w:rPr>
        <w:t>Interest expense increased $4.6 million, or 48%, to $14.1 million for the nine months ended December 31, 2025 as compared to the nine months ended December 31, 2024. The increase was due to higher average outstanding debt balances during the current year period as compared with the prior year period, partially offset by the lower interest rate on the Notes for the current year period.</w:t>
      </w:r>
    </w:p>
    <w:p>
      <w:pPr>
        <w:spacing w:after="0" w:line="148" w:lineRule="exact"/>
        <w:rPr>
          <w:sz w:val="20"/>
          <w:szCs w:val="20"/>
          <w:color w:val="auto"/>
        </w:rPr>
      </w:pPr>
    </w:p>
    <w:p>
      <w:pPr>
        <w:jc w:val="both"/>
        <w:ind w:right="160" w:firstLine="509"/>
        <w:spacing w:after="0" w:line="254" w:lineRule="auto"/>
        <w:rPr>
          <w:sz w:val="20"/>
          <w:szCs w:val="20"/>
          <w:color w:val="auto"/>
        </w:rPr>
      </w:pPr>
      <w:r>
        <w:rPr>
          <w:rFonts w:ascii="Times New Roman" w:cs="Times New Roman" w:eastAsia="Times New Roman" w:hAnsi="Times New Roman"/>
          <w:sz w:val="16"/>
          <w:szCs w:val="16"/>
          <w:color w:val="auto"/>
        </w:rPr>
        <w:t>Other income (loss) increased $7.4 million to income of $5.8 million for the nine months ended December 31, 2025 as compared to the nine months ended December 31, 2024, primarily reflecting net foreign currency transaction gains in the current year period as compared with net foreign currency transaction losses in the prior year period as well as the inclusion of gains of $1.3 million related to adjustments for the Tax Receivable Agreements during the current year period.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179"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6"/>
          <w:szCs w:val="16"/>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44"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Our effective income tax rate was 16.5% and 16.7% for the three months ended December 31, 2025 and 2024, respectively, and 15.8% and 19.8% for the nine months ended December 31, 2025 and 2024, respectively. The overall effective tax rate in each of the periods described above is less than the statutory rate. For the three and nine months ended December 31, 2025 and 2024, this is primarily due to a portion of net loss allocated to non-controlling interests and the related tax benefit being borne by the holders of non-controlling interests. The decrease in the effective tax rate for the nine months ended December 31, 2025 as compared to the prior year period was mainly driven by an increase in the tax expense associated with net loss allocated to non-controlling interests in a period of increased pre-tax net loss.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 Compared to Three Months Ended December 31, 2024</w:t>
      </w:r>
    </w:p>
    <w:p>
      <w:pPr>
        <w:spacing w:after="0" w:line="1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6"/>
          <w:szCs w:val="16"/>
          <w:color w:val="auto"/>
        </w:rPr>
        <w:t>Income tax benefit decreased $25.3 million, or 44%, to $32.2 million for the three months ended December 31, 2025 as compared to the three months ended December 31, 2024. The decrease in income tax benefit was primarily driven by the decrease in pre-tax net loss for the three months ended December 31, 2025 as compared to the three months ended December 31, 2024.</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 Compared to Nine Months Ended December 31, 2024</w:t>
      </w:r>
    </w:p>
    <w:p>
      <w:pPr>
        <w:spacing w:after="0" w:line="1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6"/>
          <w:szCs w:val="16"/>
          <w:color w:val="auto"/>
        </w:rPr>
        <w:t>Income tax benefit increased $94.9 million, or 206%, to $140.9 million for the nine months ended December 31, 2025 as compared to the nine months ended December 31, 2024. The increase in income tax benefit was primarily driven by the increase in pre-tax net loss for the nine months ended December 31, 2025 as compared to the nine months ended December 31, 2024.</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Net Income Attributable to Non-Controlling Interests in Subsidiaries</w:t>
      </w:r>
    </w:p>
    <w:p>
      <w:pPr>
        <w:spacing w:after="0" w:line="168" w:lineRule="exact"/>
        <w:rPr>
          <w:sz w:val="20"/>
          <w:szCs w:val="20"/>
          <w:color w:val="auto"/>
        </w:rPr>
      </w:pPr>
    </w:p>
    <w:p>
      <w:pPr>
        <w:ind w:right="260" w:firstLine="509"/>
        <w:spacing w:after="0" w:line="252" w:lineRule="auto"/>
        <w:rPr>
          <w:sz w:val="20"/>
          <w:szCs w:val="20"/>
          <w:color w:val="auto"/>
        </w:rPr>
      </w:pPr>
      <w:r>
        <w:rPr>
          <w:rFonts w:ascii="Times New Roman" w:cs="Times New Roman" w:eastAsia="Times New Roman" w:hAnsi="Times New Roman"/>
          <w:sz w:val="16"/>
          <w:szCs w:val="16"/>
          <w:color w:val="auto"/>
        </w:rPr>
        <w:t>Net income attributable to non-controlling interests in subsidiaries decreased $2.7 million, or 10%, to $24.6 million for the three months ended December 31, 2025 as compared to the three months ended December 31, 2024. The decrease was primarily attributable to a decrease in income generated by our consolidated subsidiaries not wholly-owned by us due to significant retroactive fees in the prior year period that did not reoccur in the current year period and an increase in our economic interests in the Asset Class Entities as a result of the Transaction Agreements resulting in a lower rate of allocation of net income to non-controlling interests in subsidiaries.</w:t>
      </w:r>
    </w:p>
    <w:p>
      <w:pPr>
        <w:spacing w:after="0" w:line="14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6"/>
          <w:szCs w:val="16"/>
          <w:color w:val="auto"/>
        </w:rPr>
        <w:t>Net income attributable to non-controlling interests in subsidiaries decreased $0.5 million, or 1%, to $62.4 million for the nine months ended December 31, 2025 as compared to the nine months ended December 31, 2024. The decrease was primarily attributable to an increase in our economic interests in the Asset Class Entities as a result of the Transaction Agreements resulting in a lower rate of allocation of net income to non-controlling interests in subsidiaries, partially offset by an increase in income generated by our consolidated subsidiaries not wholly-owned by us.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6"/>
          <w:szCs w:val="16"/>
          <w:b w:val="1"/>
          <w:bCs w:val="1"/>
          <w:color w:val="auto"/>
        </w:rPr>
        <w:t>Net Income (Loss) Attributable to Non-Controlling Interests in Legacy Greenspring Entities</w:t>
      </w:r>
    </w:p>
    <w:p>
      <w:pPr>
        <w:spacing w:after="0" w:line="179" w:lineRule="exact"/>
        <w:rPr>
          <w:sz w:val="20"/>
          <w:szCs w:val="20"/>
          <w:color w:val="auto"/>
        </w:rPr>
      </w:pPr>
    </w:p>
    <w:p>
      <w:pPr>
        <w:ind w:right="260" w:firstLine="509"/>
        <w:spacing w:after="0" w:line="248" w:lineRule="auto"/>
        <w:rPr>
          <w:sz w:val="20"/>
          <w:szCs w:val="20"/>
          <w:color w:val="auto"/>
        </w:rPr>
      </w:pPr>
      <w:r>
        <w:rPr>
          <w:rFonts w:ascii="Times New Roman" w:cs="Times New Roman" w:eastAsia="Times New Roman" w:hAnsi="Times New Roman"/>
          <w:sz w:val="16"/>
          <w:szCs w:val="16"/>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$(0.5) million and $1.2 million for the three months ended December 31, 2025 and 2024, respectively, and $4.2 million and $(4.1) million for the nine months ended December 31, 2025 and 2024, respectively.</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 in the Partnership</w:t>
      </w:r>
    </w:p>
    <w:p>
      <w:pPr>
        <w:spacing w:after="0" w:line="1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6"/>
          <w:szCs w:val="16"/>
          <w:color w:val="auto"/>
        </w:rPr>
        <w:t>Net loss attributable to non-controlling interests in the Partnership represents the portion of net income or loss attributable to the interests held by the Class B, Class C and Class D unitholders of the Partnership. Net loss attributable to non-controlling interests in the Partnership was $82.2 million and $134.8 million for the three months ended December 31, 2025 and 2024, respectively, and $369.3 million and $107.9 million for the nine months ended December 31, 2025 and 2024, respectively.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Net Income Attributable to Redeemable Non-Controlling Interests in Consolidated Funds</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Net income attributable to redeemable non-controlling interests in Consolidated Funds represents income of the Consolidated Funds attributable to third-party investors. Net income attributable to redeemable non-controlling interests in Consolidated Funds was $18.6 million and $10.9 million for the three months ended December 31, 2025 and 2024, respectively, and $79.2 million and $23.1 million for the nine months ended December 31, 2025 and 2024, respectively.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Net Income Attributable to Redeemable Non-Controlling Interests in Subsidiaries</w:t>
      </w:r>
    </w:p>
    <w:p>
      <w:pPr>
        <w:spacing w:after="0" w:line="179"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6"/>
          <w:szCs w:val="16"/>
          <w:color w:val="auto"/>
        </w:rPr>
        <w:t>Net income attributable to redeemable non-controlling interests in subsidiaries was $0.6 million and $0.3 million for the three months ended December 31, 2025 and 2024, respectively, and $1.6 million and $1.0 million for the nine months ended December 31, 2025 and 2024, respectively.</w:t>
      </w:r>
    </w:p>
    <w:p>
      <w:pPr>
        <w:spacing w:after="0" w:line="1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Assets Under Management</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AUM was $220 billion as of December 31, 2025, $189 billion as of March 31, 2025 and $179 billion as of December 31, 2024.</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Assets Under Advisement</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Assets related to our advisory accounts were $591 billion as of December 31, 2025, $520 billion as of March 31, 2025 and $519 billion as of December 31, 2024.</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Fee-Earning AUM</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w:t>
      </w:r>
    </w:p>
    <w:p>
      <w:pPr>
        <w:spacing w:after="0" w:line="168" w:lineRule="exact"/>
        <w:rPr>
          <w:sz w:val="20"/>
          <w:szCs w:val="20"/>
          <w:color w:val="auto"/>
        </w:rPr>
      </w:pPr>
    </w:p>
    <w:p>
      <w:pPr>
        <w:ind w:right="360" w:firstLine="509"/>
        <w:spacing w:after="0" w:line="273" w:lineRule="auto"/>
        <w:rPr>
          <w:sz w:val="20"/>
          <w:szCs w:val="20"/>
          <w:color w:val="auto"/>
        </w:rPr>
      </w:pPr>
      <w:r>
        <w:rPr>
          <w:rFonts w:ascii="Times New Roman" w:cs="Times New Roman" w:eastAsia="Times New Roman" w:hAnsi="Times New Roman"/>
          <w:sz w:val="16"/>
          <w:szCs w:val="16"/>
          <w:color w:val="auto"/>
        </w:rPr>
        <w:t>FEAUM increased approximately $5.8 billion to $138.6 billion as of December 31, 2025 as compared to September 30, 2025. During the period, FEAUM from SMAs increased approximately $2.1 billion and FEAUM from commingled funds increased approximately $3.6 billion.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w:t>
      </w:r>
    </w:p>
    <w:p>
      <w:pPr>
        <w:spacing w:after="0" w:line="179" w:lineRule="exact"/>
        <w:rPr>
          <w:sz w:val="20"/>
          <w:szCs w:val="20"/>
          <w:color w:val="auto"/>
        </w:rPr>
      </w:pPr>
    </w:p>
    <w:p>
      <w:pPr>
        <w:ind w:right="560" w:firstLine="509"/>
        <w:spacing w:after="0" w:line="259" w:lineRule="auto"/>
        <w:rPr>
          <w:sz w:val="20"/>
          <w:szCs w:val="20"/>
          <w:color w:val="auto"/>
        </w:rPr>
      </w:pPr>
      <w:r>
        <w:rPr>
          <w:rFonts w:ascii="Times New Roman" w:cs="Times New Roman" w:eastAsia="Times New Roman" w:hAnsi="Times New Roman"/>
          <w:sz w:val="16"/>
          <w:szCs w:val="16"/>
          <w:color w:val="auto"/>
        </w:rPr>
        <w:t>FEAUM increased approximately $17.2 billion to $138.6 billion as of December 31, 2025 as compared to March 31, 2025. During the period, FEAUM from SMAs increased approximately $7.2 billion and FEAUM from commingled funds increased approximately $10.0 billion.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Nine Months Ended December 31, 2025</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SMAs</w:t>
            </w:r>
          </w:p>
        </w:tc>
        <w:tc>
          <w:tcPr>
            <w:tcW w:w="24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Focused</w:t>
            </w:r>
          </w:p>
        </w:tc>
        <w:tc>
          <w:tcPr>
            <w:tcW w:w="28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SMAs</w:t>
            </w:r>
          </w:p>
        </w:tc>
        <w:tc>
          <w:tcPr>
            <w:tcW w:w="24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Focused</w:t>
            </w:r>
          </w:p>
        </w:tc>
        <w:tc>
          <w:tcPr>
            <w:tcW w:w="460" w:type="dxa"/>
            <w:vAlign w:val="bottom"/>
          </w:tcPr>
          <w:p>
            <w:pPr>
              <w:spacing w:after="0"/>
              <w:rPr>
                <w:sz w:val="11"/>
                <w:szCs w:val="11"/>
                <w:color w:val="auto"/>
              </w:rPr>
            </w:pPr>
          </w:p>
        </w:tc>
        <w:tc>
          <w:tcPr>
            <w:tcW w:w="8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1"/>
        </w:trPr>
        <w:tc>
          <w:tcPr>
            <w:tcW w:w="3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Commingled Funds</w:t>
            </w: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Commingled Funds</w:t>
            </w:r>
          </w:p>
        </w:tc>
        <w:tc>
          <w:tcPr>
            <w:tcW w:w="4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132,791</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73,174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0" w:type="dxa"/>
            <w:vAlign w:val="bottom"/>
          </w:tcPr>
          <w:p>
            <w:pPr>
              <w:spacing w:after="0"/>
              <w:rPr>
                <w:sz w:val="1"/>
                <w:szCs w:val="1"/>
                <w:color w:val="auto"/>
              </w:rPr>
            </w:pPr>
          </w:p>
        </w:tc>
      </w:tr>
      <w:tr>
        <w:trPr>
          <w:trHeight w:val="180"/>
        </w:trPr>
        <w:tc>
          <w:tcPr>
            <w:tcW w:w="308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Contributions</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Distributions</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CCEEFF"/>
            </w:tcBorders>
          </w:tcPr>
          <w:p>
            <w:pPr>
              <w:ind w:left="360"/>
              <w:spacing w:after="0" w:line="181" w:lineRule="exact"/>
              <w:rPr>
                <w:sz w:val="20"/>
                <w:szCs w:val="20"/>
                <w:color w:val="auto"/>
              </w:rPr>
            </w:pPr>
            <w:r>
              <w:rPr>
                <w:rFonts w:ascii="Times New Roman" w:cs="Times New Roman" w:eastAsia="Times New Roman" w:hAnsi="Times New Roman"/>
                <w:sz w:val="14"/>
                <w:szCs w:val="14"/>
                <w:color w:val="auto"/>
              </w:rPr>
              <w:t>Market value, FX and other</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4,519</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138,551</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138,551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5" w:lineRule="exact"/>
        <w:rPr>
          <w:sz w:val="20"/>
          <w:szCs w:val="20"/>
          <w:color w:val="auto"/>
        </w:rPr>
      </w:pPr>
    </w:p>
    <w:p>
      <w:pPr>
        <w:ind w:left="500" w:hanging="495"/>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consist of new capital commitments that earn fees on committed capital and capital contributions to funds and accounts that earn fees on net invested capital or NAV.</w:t>
      </w:r>
    </w:p>
    <w:p>
      <w:pPr>
        <w:spacing w:after="0" w:line="8" w:lineRule="exact"/>
        <w:rPr>
          <w:rFonts w:ascii="Times New Roman" w:cs="Times New Roman" w:eastAsia="Times New Roman" w:hAnsi="Times New Roman"/>
          <w:sz w:val="14"/>
          <w:szCs w:val="14"/>
          <w:color w:val="auto"/>
        </w:rPr>
      </w:pPr>
    </w:p>
    <w:p>
      <w:pPr>
        <w:ind w:left="520" w:right="60" w:hanging="515"/>
        <w:spacing w:after="0" w:line="253" w:lineRule="auto"/>
        <w:tabs>
          <w:tab w:leader="none" w:pos="51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520" w:right="120" w:hanging="515"/>
        <w:spacing w:after="0" w:line="266" w:lineRule="auto"/>
        <w:tabs>
          <w:tab w:leader="none" w:pos="51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FX and other primarily consist of changes in market value appreciation (depreciation) for funds that pay on NAV and the effect of foreign exchange rate changes on non-U.S. dollar denominated commitments.</w:t>
      </w:r>
    </w:p>
    <w:p>
      <w:pPr>
        <w:spacing w:after="0" w:line="13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following tables set forth FEAUM by asset class and selected weighted-average management fee rate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FEAUM</w:t>
            </w: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73,193</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65,007</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62,811</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Infrastructure</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23,411</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debt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17,882</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w:t>
            </w:r>
          </w:p>
        </w:tc>
      </w:tr>
      <w:tr>
        <w:trPr>
          <w:trHeight w:val="171"/>
        </w:trPr>
        <w:tc>
          <w:tcPr>
            <w:tcW w:w="6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138,551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114,166</w:t>
            </w: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720" w:type="dxa"/>
            <w:vAlign w:val="bottom"/>
            <w:tcBorders>
              <w:bottom w:val="single" w:sz="8" w:color="auto"/>
            </w:tcBorders>
          </w:tcPr>
          <w:p>
            <w:pPr>
              <w:spacing w:after="0"/>
              <w:rPr>
                <w:sz w:val="16"/>
                <w:szCs w:val="16"/>
                <w:color w:val="auto"/>
              </w:rPr>
            </w:pPr>
          </w:p>
        </w:tc>
      </w:tr>
      <w:tr>
        <w:trPr>
          <w:trHeight w:val="171"/>
        </w:trPr>
        <w:tc>
          <w:tcPr>
            <w:tcW w:w="5940" w:type="dxa"/>
            <w:vAlign w:val="bottom"/>
          </w:tcPr>
          <w:p>
            <w:pPr>
              <w:spacing w:after="0"/>
              <w:rPr>
                <w:sz w:val="14"/>
                <w:szCs w:val="14"/>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594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Weighted-average fee rate</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80"/>
        </w:trPr>
        <w:tc>
          <w:tcPr>
            <w:tcW w:w="59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Private equity</w:t>
            </w:r>
            <w:r>
              <w:rPr>
                <w:rFonts w:ascii="Times New Roman" w:cs="Times New Roman" w:eastAsia="Times New Roman" w:hAnsi="Times New Roman"/>
                <w:sz w:val="18"/>
                <w:szCs w:val="18"/>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0.72 %</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0.77 %</w:t>
            </w:r>
          </w:p>
        </w:tc>
      </w:tr>
      <w:tr>
        <w:trPr>
          <w:trHeight w:val="180"/>
        </w:trPr>
        <w:tc>
          <w:tcPr>
            <w:tcW w:w="59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Real estate, infrastructure and private debt asset classes</w:t>
            </w:r>
            <w:r>
              <w:rPr>
                <w:rFonts w:ascii="Times New Roman" w:cs="Times New Roman" w:eastAsia="Times New Roman" w:hAnsi="Times New Roman"/>
                <w:sz w:val="18"/>
                <w:szCs w:val="18"/>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8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0.51 %</w:t>
            </w:r>
          </w:p>
        </w:tc>
        <w:tc>
          <w:tcPr>
            <w:tcW w:w="100" w:type="dxa"/>
            <w:vAlign w:val="bottom"/>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0.47 %</w:t>
            </w:r>
          </w:p>
        </w:tc>
      </w:tr>
      <w:tr>
        <w:trPr>
          <w:trHeight w:val="171"/>
        </w:trPr>
        <w:tc>
          <w:tcPr>
            <w:tcW w:w="5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0.63 %</w:t>
            </w:r>
          </w:p>
        </w:tc>
        <w:tc>
          <w:tcPr>
            <w:tcW w:w="80" w:type="dxa"/>
            <w:vAlign w:val="bottom"/>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0.65 %</w:t>
            </w:r>
          </w:p>
        </w:tc>
        <w:tc>
          <w:tcPr>
            <w:tcW w:w="10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0.64 %</w:t>
            </w:r>
          </w:p>
        </w:tc>
      </w:tr>
      <w:tr>
        <w:trPr>
          <w:trHeight w:val="20"/>
        </w:trPr>
        <w:tc>
          <w:tcPr>
            <w:tcW w:w="59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5" w:lineRule="exact"/>
        <w:rPr>
          <w:sz w:val="20"/>
          <w:szCs w:val="20"/>
          <w:color w:val="auto"/>
        </w:rPr>
      </w:pPr>
    </w:p>
    <w:p>
      <w:pPr>
        <w:ind w:left="500" w:hanging="495"/>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fee rates reflect the applicable management fees for the last 12 months ended on each period presented, and is inclusive of any retroactive fees for such period.</w:t>
      </w:r>
    </w:p>
    <w:p>
      <w:pPr>
        <w:spacing w:after="0" w:line="8" w:lineRule="exact"/>
        <w:rPr>
          <w:rFonts w:ascii="Times New Roman" w:cs="Times New Roman" w:eastAsia="Times New Roman" w:hAnsi="Times New Roman"/>
          <w:sz w:val="14"/>
          <w:szCs w:val="14"/>
          <w:color w:val="auto"/>
        </w:rPr>
      </w:pPr>
    </w:p>
    <w:p>
      <w:pPr>
        <w:ind w:left="520" w:right="220" w:hanging="515"/>
        <w:spacing w:after="0" w:line="266" w:lineRule="auto"/>
        <w:tabs>
          <w:tab w:leader="none" w:pos="51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weighted-average fee rates primarily reflected the timing of new funds, shifts in mix between SMAs and focused commingled funds and growth in our private wealth funds which earn higher fee rates.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71" w:name="page72"/>
    <w:bookmarkEnd w:id="71"/>
    <w:p>
      <w:pPr>
        <w:spacing w:after="0" w:line="1" w:lineRule="exact"/>
        <w:rPr>
          <w:sz w:val="20"/>
          <w:szCs w:val="20"/>
          <w:color w:val="auto"/>
        </w:rPr>
      </w:pPr>
    </w:p>
    <w:p>
      <w:pPr>
        <w:ind w:left="520" w:right="20" w:hanging="515"/>
        <w:spacing w:after="0" w:line="287" w:lineRule="auto"/>
        <w:tabs>
          <w:tab w:leader="none" w:pos="51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weighted-average fee rates primarily reflected the timing of new funds, shifts in asset class mix, shifts in mix between SMAs and focused commingled funds and growth in our private wealth funds which earn higher fee rates.</w:t>
      </w:r>
    </w:p>
    <w:p>
      <w:pPr>
        <w:spacing w:after="0" w:line="11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Undeployed Fee-Earning Capital</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December 31, 2025, we had $32.7 billion of undeployed fee-earning capital, which will generate management fee revenue once invested or activated.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Adjusted Net Income</w:t>
      </w:r>
    </w:p>
    <w:p>
      <w:pPr>
        <w:spacing w:after="0" w:line="17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6"/>
          <w:szCs w:val="16"/>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 (e) 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Adjusted Revenues</w:t>
      </w:r>
    </w:p>
    <w:p>
      <w:pPr>
        <w:spacing w:after="0" w:line="168"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6"/>
          <w:szCs w:val="16"/>
          <w:color w:val="auto"/>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Fee-Related Earnings</w:t>
      </w:r>
    </w:p>
    <w:p>
      <w:pPr>
        <w:spacing w:after="0" w:line="17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6"/>
          <w:szCs w:val="16"/>
          <w:color w:val="auto"/>
        </w:rPr>
        <w:t>Fee-related earnings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6"/>
          <w:szCs w:val="16"/>
          <w:b w:val="1"/>
          <w:bCs w:val="1"/>
          <w:color w:val="auto"/>
        </w:rPr>
        <w:t>Fee Revenues</w:t>
      </w:r>
    </w:p>
    <w:p>
      <w:pPr>
        <w:spacing w:after="0" w:line="179"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6"/>
          <w:szCs w:val="16"/>
          <w:color w:val="auto"/>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Adjusted Weighted-Average Shares and Adjusted Net Income Per Share</w:t>
      </w:r>
    </w:p>
    <w:p>
      <w:pPr>
        <w:spacing w:after="0" w:line="168"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6"/>
          <w:szCs w:val="16"/>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Fee-Related Earnings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 Compared to Three Months Ended December 31, 2024</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FRE increased $15.1 million, or 20%, to $89.2 million for the three months ended December 31, 2025 as compared to the three months ended December 31, 2024, primarily reflecting higher fee revenues, partially offset by higher adjusted cash-based compensation, adjusted general, administrative and other expenses, and adjusted equity-based compensation.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 Compared to Nine Months Ended December 31, 2024</w:t>
      </w:r>
    </w:p>
    <w:p>
      <w:pPr>
        <w:spacing w:after="0" w:line="1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6"/>
          <w:szCs w:val="16"/>
          <w:color w:val="auto"/>
        </w:rPr>
        <w:t>FRE increased $31.0 million, or 14%, to $249.1 million for the nine months ended December 31, 2025 as compared to the nine months ended December 31, 2024, primarily reflecting higher fee revenues, partially offset by higher adjusted cash-based compensation, adjusted general, administrative and other expenses, and adjusted equity-based compensation.</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Adjusted Revenues and Adjusted Net Income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Three Months Ended December 31, 2025 Compared to Three Months Ended December 31, 2024</w:t>
      </w:r>
    </w:p>
    <w:p>
      <w:pPr>
        <w:spacing w:after="0" w:line="168"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6"/>
          <w:szCs w:val="16"/>
          <w:color w:val="auto"/>
        </w:rPr>
        <w:t>Adjusted revenues increased $250.6 million, or 103%, to $494.5 million for the three months ended December 31, 2025 as compared to the three months ended December 31, 2024, primarily reflecting increases in adjusted incentive fees, fee revenues and realized carried interest allocation revenues.</w:t>
      </w:r>
    </w:p>
    <w:p>
      <w:pPr>
        <w:spacing w:after="0" w:line="12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6"/>
          <w:szCs w:val="16"/>
          <w:color w:val="auto"/>
        </w:rPr>
        <w:t>ANI increased $27.2 million, or 52%, to $79.9 million for the three months ended December 31, 2025 as compared to the three months ended December 31, 2024, primarily due to the increase in FRE as discussed above, higher performance fee-related earnings (adjusted incentive fees, plus realized carried interest allocation revenues, less realized performance fee-related compensation) and higher interest income. The overall increase was partially offset by a higher allocation of income to non-controlling interests and higher interest expense.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Nine Months Ended December 31, 2025 Compared to Nine Months Ended December 31, 2024</w:t>
      </w:r>
    </w:p>
    <w:p>
      <w:pPr>
        <w:spacing w:after="0" w:line="168" w:lineRule="exact"/>
        <w:rPr>
          <w:sz w:val="20"/>
          <w:szCs w:val="20"/>
          <w:color w:val="auto"/>
        </w:rPr>
      </w:pPr>
    </w:p>
    <w:p>
      <w:pPr>
        <w:ind w:right="180" w:firstLine="509"/>
        <w:spacing w:after="0" w:line="273" w:lineRule="auto"/>
        <w:rPr>
          <w:sz w:val="20"/>
          <w:szCs w:val="20"/>
          <w:color w:val="auto"/>
        </w:rPr>
      </w:pPr>
      <w:r>
        <w:rPr>
          <w:rFonts w:ascii="Times New Roman" w:cs="Times New Roman" w:eastAsia="Times New Roman" w:hAnsi="Times New Roman"/>
          <w:sz w:val="16"/>
          <w:szCs w:val="16"/>
          <w:color w:val="auto"/>
        </w:rPr>
        <w:t>Adjusted revenues increased $340.5 million, or 51%, to $1,014.3 million for the nine months ended December 31, 2025 as compared to the nine months ended December 31, 2024, primarily reflecting increases in adjusted incentive fees, fee revenues and realized carried interest allocations.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73" w:name="page74"/>
    <w:bookmarkEnd w:id="73"/>
    <w:p>
      <w:pPr>
        <w:ind w:right="40" w:firstLine="509"/>
        <w:spacing w:after="0" w:line="254" w:lineRule="auto"/>
        <w:rPr>
          <w:sz w:val="20"/>
          <w:szCs w:val="20"/>
          <w:color w:val="auto"/>
        </w:rPr>
      </w:pPr>
      <w:r>
        <w:rPr>
          <w:rFonts w:ascii="Times New Roman" w:cs="Times New Roman" w:eastAsia="Times New Roman" w:hAnsi="Times New Roman"/>
          <w:sz w:val="16"/>
          <w:szCs w:val="16"/>
          <w:color w:val="auto"/>
        </w:rPr>
        <w:t>ANI increased $31.6 million, or 19%, to $195.1 million for the nine months ended December 31, 2025 as compared to the nine months ended December 31, 2024, primarily due to the increase in FRE as discussed above, higher performance fee-related earnings, higher interest income and higher realized investment income. The overall increase was partially offset by a higher allocation of income to non-controlling interests and higher interest expense.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Adjusted Weighted-Average Shares and Adjusted Net Income Per Share</w:t>
      </w:r>
    </w:p>
    <w:p>
      <w:pPr>
        <w:spacing w:after="0" w:line="168"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6"/>
          <w:szCs w:val="16"/>
          <w:color w:val="auto"/>
        </w:rPr>
        <w:t>The following table shows a reconciliation of diluted weighted-average shares of Class A common stock outstanding to adjusted weighted-average shares outstanding used in the computation of ANI per share for the three and nine months ended December 31,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0" w:type="dxa"/>
            <w:vAlign w:val="bottom"/>
          </w:tcPr>
          <w:p>
            <w:pPr>
              <w:spacing w:after="0"/>
              <w:rPr>
                <w:sz w:val="16"/>
                <w:szCs w:val="16"/>
                <w:color w:val="auto"/>
              </w:rPr>
            </w:pPr>
          </w:p>
        </w:tc>
        <w:tc>
          <w:tcPr>
            <w:tcW w:w="320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0"/>
        </w:trPr>
        <w:tc>
          <w:tcPr>
            <w:tcW w:w="4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i w:val="1"/>
                <w:iCs w:val="1"/>
                <w:color w:val="auto"/>
              </w:rPr>
              <w:t>(in thousands, except share and per share amounts)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ANI</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79,858</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52,659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195,101</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163,469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Weighted-average shares of Class A common stock outstanding –</w:t>
            </w: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79,465,039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73,687,289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78,627,273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69,561,254</w:t>
            </w: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Assumed vesting of RSUs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590,042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491,014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482,776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695,423</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Assumed vesting and exchange of Class B2 units</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573,185</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Assumed purchase under ESPP</w:t>
            </w:r>
          </w:p>
        </w:tc>
        <w:tc>
          <w:tcPr>
            <w:tcW w:w="4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Exchange of Class B units in the Partnership</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39,094,629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41,729,937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39,400,266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44,251,143</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Exchange of Class C units in the Partnership</w:t>
            </w:r>
            <w:r>
              <w:rPr>
                <w:rFonts w:ascii="Times New Roman" w:cs="Times New Roman" w:eastAsia="Times New Roman" w:hAnsi="Times New Roman"/>
                <w:sz w:val="18"/>
                <w:szCs w:val="18"/>
                <w:color w:val="auto"/>
                <w:vertAlign w:val="superscript"/>
              </w:rPr>
              <w:t>(2)</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931,103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1,016,737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946,186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1,496,518</w:t>
            </w:r>
          </w:p>
        </w:tc>
        <w:tc>
          <w:tcPr>
            <w:tcW w:w="0" w:type="dxa"/>
            <w:vAlign w:val="bottom"/>
          </w:tcPr>
          <w:p>
            <w:pPr>
              <w:spacing w:after="0"/>
              <w:rPr>
                <w:sz w:val="1"/>
                <w:szCs w:val="1"/>
                <w:color w:val="auto"/>
              </w:rPr>
            </w:pPr>
          </w:p>
        </w:tc>
      </w:tr>
      <w:tr>
        <w:trPr>
          <w:trHeight w:val="212"/>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Exchange of Class D units in the Partnership</w:t>
            </w:r>
            <w:r>
              <w:rPr>
                <w:rFonts w:ascii="Times New Roman" w:cs="Times New Roman" w:eastAsia="Times New Roman" w:hAnsi="Times New Roman"/>
                <w:sz w:val="18"/>
                <w:szCs w:val="18"/>
                <w:color w:val="auto"/>
                <w:vertAlign w:val="superscript"/>
              </w:rPr>
              <w:t>(2)</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2,509,417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2,010,202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2,992,654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2,162,580</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weighted-average shares</w:t>
            </w: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122,590,230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118,935,179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122,449,155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118,740,805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ANI per share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5"/>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B2 units fully vested in June 2024.</w:t>
      </w:r>
    </w:p>
    <w:p>
      <w:pPr>
        <w:spacing w:after="0" w:line="8" w:lineRule="exact"/>
        <w:rPr>
          <w:rFonts w:ascii="Times New Roman" w:cs="Times New Roman" w:eastAsia="Times New Roman" w:hAnsi="Times New Roman"/>
          <w:sz w:val="14"/>
          <w:szCs w:val="14"/>
          <w:color w:val="auto"/>
        </w:rPr>
      </w:pPr>
    </w:p>
    <w:p>
      <w:pPr>
        <w:ind w:left="520" w:right="420" w:hanging="515"/>
        <w:spacing w:after="0" w:line="266" w:lineRule="auto"/>
        <w:tabs>
          <w:tab w:leader="none" w:pos="51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6"/>
          <w:szCs w:val="16"/>
          <w:b w:val="1"/>
          <w:bCs w:val="1"/>
          <w:color w:val="auto"/>
        </w:rPr>
        <w:t>Reconciliation of GAAP to Non-GAAP Financial Measures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table below shows a reconciliation of revenues to adjusted revenues.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586,511</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339,023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1,405,023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797,101</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carried interest allocations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(101,985)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(338,681)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(120,370)</w:t>
            </w:r>
          </w:p>
        </w:tc>
      </w:tr>
      <w:tr>
        <w:trPr>
          <w:trHeight w:val="180"/>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incentive fees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Legacy Greenspring carried interest allocations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(13,035)</w:t>
            </w:r>
          </w:p>
        </w:tc>
      </w:tr>
      <w:tr>
        <w:trPr>
          <w:trHeight w:val="142"/>
        </w:trPr>
        <w:tc>
          <w:tcPr>
            <w:tcW w:w="412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Management and advisory fee revenues for the Consolidated</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7"/>
        </w:trPr>
        <w:tc>
          <w:tcPr>
            <w:tcW w:w="4120" w:type="dxa"/>
            <w:vAlign w:val="bottom"/>
            <w:shd w:val="clear" w:color="auto" w:fill="CCEEFF"/>
          </w:tcPr>
          <w:p>
            <w:pPr>
              <w:ind w:left="520"/>
              <w:spacing w:after="0" w:line="188" w:lineRule="exact"/>
              <w:rPr>
                <w:sz w:val="20"/>
                <w:szCs w:val="20"/>
                <w:color w:val="auto"/>
              </w:rPr>
            </w:pPr>
            <w:r>
              <w:rPr>
                <w:rFonts w:ascii="Times New Roman" w:cs="Times New Roman" w:eastAsia="Times New Roman" w:hAnsi="Times New Roman"/>
                <w:sz w:val="14"/>
                <w:szCs w:val="14"/>
                <w:color w:val="auto"/>
              </w:rPr>
              <w:t>Funds</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r>
      <w:tr>
        <w:trPr>
          <w:trHeight w:val="180"/>
        </w:trPr>
        <w:tc>
          <w:tcPr>
            <w:tcW w:w="4120" w:type="dxa"/>
            <w:vAlign w:val="bottom"/>
            <w:tcBorders>
              <w:bottom w:val="single" w:sz="8" w:color="CCEEFF"/>
            </w:tcBorders>
          </w:tcPr>
          <w:p>
            <w:pPr>
              <w:ind w:left="360"/>
              <w:spacing w:after="0" w:line="181" w:lineRule="exact"/>
              <w:rPr>
                <w:sz w:val="20"/>
                <w:szCs w:val="20"/>
                <w:color w:val="auto"/>
              </w:rPr>
            </w:pPr>
            <w:r>
              <w:rPr>
                <w:rFonts w:ascii="Times New Roman" w:cs="Times New Roman" w:eastAsia="Times New Roman" w:hAnsi="Times New Roman"/>
                <w:sz w:val="14"/>
                <w:szCs w:val="14"/>
                <w:color w:val="auto"/>
              </w:rPr>
              <w:t>Incentive fees for the Consolidated Funds</w:t>
            </w:r>
            <w:r>
              <w:rPr>
                <w:rFonts w:ascii="Times New Roman" w:cs="Times New Roman" w:eastAsia="Times New Roman" w:hAnsi="Times New Roman"/>
                <w:sz w:val="18"/>
                <w:szCs w:val="18"/>
                <w:color w:val="auto"/>
                <w:vertAlign w:val="superscript"/>
              </w:rPr>
              <w:t>(2)</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5,497</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revenues</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494,500</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243,905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1,014,309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673,858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25" w:lineRule="exact"/>
        <w:rPr>
          <w:sz w:val="20"/>
          <w:szCs w:val="20"/>
          <w:color w:val="auto"/>
        </w:rPr>
      </w:pPr>
    </w:p>
    <w:p>
      <w:pPr>
        <w:ind w:left="500" w:hanging="495"/>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 back of management and advisory fee revenues for the Consolidated Funds, which have been eliminated in consolidation.</w:t>
      </w:r>
    </w:p>
    <w:p>
      <w:pPr>
        <w:spacing w:after="0" w:line="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 back of incentive fee revenues for the Consolidated Funds, which have been eliminated in consolidation.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75" w:name="page76"/>
    <w:bookmarkEnd w:id="75"/>
    <w:p>
      <w:pPr>
        <w:ind w:firstLine="509"/>
        <w:spacing w:after="0" w:line="248" w:lineRule="auto"/>
        <w:rPr>
          <w:sz w:val="20"/>
          <w:szCs w:val="20"/>
          <w:color w:val="auto"/>
        </w:rPr>
      </w:pPr>
      <w:r>
        <w:rPr>
          <w:rFonts w:ascii="Times New Roman" w:cs="Times New Roman" w:eastAsia="Times New Roman" w:hAnsi="Times New Roman"/>
          <w:sz w:val="16"/>
          <w:szCs w:val="16"/>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0" w:type="dxa"/>
            <w:vAlign w:val="bottom"/>
          </w:tcPr>
          <w:p>
            <w:pPr>
              <w:spacing w:after="0"/>
              <w:rPr>
                <w:sz w:val="16"/>
                <w:szCs w:val="16"/>
                <w:color w:val="auto"/>
              </w:rPr>
            </w:pPr>
          </w:p>
        </w:tc>
        <w:tc>
          <w:tcPr>
            <w:tcW w:w="314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management and advisory fees, net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239,932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190,840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553,613</w:t>
            </w:r>
          </w:p>
        </w:tc>
      </w:tr>
      <w:tr>
        <w:trPr>
          <w:trHeight w:val="138"/>
        </w:trPr>
        <w:tc>
          <w:tcPr>
            <w:tcW w:w="4120" w:type="dxa"/>
            <w:vAlign w:val="bottom"/>
          </w:tcPr>
          <w:p>
            <w:pPr>
              <w:ind w:left="360"/>
              <w:spacing w:after="0" w:line="138" w:lineRule="exact"/>
              <w:rPr>
                <w:sz w:val="20"/>
                <w:szCs w:val="20"/>
                <w:color w:val="auto"/>
              </w:rPr>
            </w:pPr>
            <w:r>
              <w:rPr>
                <w:rFonts w:ascii="Times New Roman" w:cs="Times New Roman" w:eastAsia="Times New Roman" w:hAnsi="Times New Roman"/>
                <w:sz w:val="14"/>
                <w:szCs w:val="14"/>
                <w:color w:val="auto"/>
              </w:rPr>
              <w:t>Management and advisory fee revenues for the Consolidated</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4120" w:type="dxa"/>
            <w:vAlign w:val="bottom"/>
            <w:tcBorders>
              <w:bottom w:val="single" w:sz="8" w:color="CCEEFF"/>
            </w:tcBorders>
          </w:tcPr>
          <w:p>
            <w:pPr>
              <w:ind w:left="520"/>
              <w:spacing w:after="0" w:line="191" w:lineRule="exact"/>
              <w:rPr>
                <w:sz w:val="20"/>
                <w:szCs w:val="20"/>
                <w:color w:val="auto"/>
              </w:rPr>
            </w:pPr>
            <w:r>
              <w:rPr>
                <w:rFonts w:ascii="Times New Roman" w:cs="Times New Roman" w:eastAsia="Times New Roman" w:hAnsi="Times New Roman"/>
                <w:sz w:val="14"/>
                <w:szCs w:val="14"/>
                <w:color w:val="auto"/>
              </w:rPr>
              <w:t>Funds</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241,133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191,832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671,334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555,827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incentive fees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207,954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26,365</w:t>
            </w:r>
          </w:p>
        </w:tc>
      </w:tr>
      <w:tr>
        <w:trPr>
          <w:trHeight w:val="212"/>
        </w:trPr>
        <w:tc>
          <w:tcPr>
            <w:tcW w:w="4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8"/>
                <w:szCs w:val="18"/>
                <w:color w:val="auto"/>
                <w:vertAlign w:val="superscript"/>
              </w:rPr>
              <w:t>(2)</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7,948</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incentive fees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206,664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212,990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interest income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w:t>
            </w:r>
          </w:p>
        </w:tc>
      </w:tr>
      <w:tr>
        <w:trPr>
          <w:trHeight w:val="212"/>
        </w:trPr>
        <w:tc>
          <w:tcPr>
            <w:tcW w:w="4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 earned by the Consolidated Funds</w:t>
            </w:r>
            <w:r>
              <w:rPr>
                <w:rFonts w:ascii="Times New Roman" w:cs="Times New Roman" w:eastAsia="Times New Roman" w:hAnsi="Times New Roman"/>
                <w:sz w:val="18"/>
                <w:szCs w:val="18"/>
                <w:color w:val="auto"/>
                <w:vertAlign w:val="superscript"/>
              </w:rPr>
              <w:t>(3)</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(3,157)</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interest income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other income (loss)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r>
      <w:tr>
        <w:trPr>
          <w:trHeight w:val="180"/>
        </w:trPr>
        <w:tc>
          <w:tcPr>
            <w:tcW w:w="4120" w:type="dxa"/>
            <w:vAlign w:val="bottom"/>
            <w:tcBorders>
              <w:bottom w:val="single" w:sz="8" w:color="CCEEFF"/>
            </w:tcBorders>
          </w:tcPr>
          <w:p>
            <w:pPr>
              <w:ind w:left="360"/>
              <w:spacing w:after="0" w:line="181" w:lineRule="exact"/>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8"/>
                <w:szCs w:val="18"/>
                <w:color w:val="auto"/>
                <w:vertAlign w:val="superscript"/>
              </w:rPr>
              <w:t>(4)</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other income (loss)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w:t>
      </w:r>
    </w:p>
    <w:p>
      <w:pPr>
        <w:spacing w:after="0" w:line="25" w:lineRule="exact"/>
        <w:rPr>
          <w:sz w:val="20"/>
          <w:szCs w:val="20"/>
          <w:color w:val="auto"/>
        </w:rPr>
      </w:pPr>
    </w:p>
    <w:p>
      <w:pPr>
        <w:ind w:left="500" w:hanging="49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add-back of management and advisory fee revenues for the Consolidated Funds, which have been eliminated in consolidation.</w:t>
      </w:r>
    </w:p>
    <w:p>
      <w:pPr>
        <w:spacing w:after="0" w:line="8" w:lineRule="exact"/>
        <w:rPr>
          <w:rFonts w:ascii="Times New Roman" w:cs="Times New Roman" w:eastAsia="Times New Roman" w:hAnsi="Times New Roman"/>
          <w:sz w:val="14"/>
          <w:szCs w:val="14"/>
          <w:color w:val="auto"/>
        </w:rPr>
      </w:pPr>
    </w:p>
    <w:p>
      <w:pPr>
        <w:ind w:left="520" w:right="560" w:hanging="515"/>
        <w:spacing w:after="0" w:line="253" w:lineRule="auto"/>
        <w:tabs>
          <w:tab w:leader="none" w:pos="5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add-back of incentive fee revenues for the Consolidated Funds, which have been eliminated in consolidation, and deferred incentive fees that are not included in GAAP revenues.</w:t>
      </w:r>
    </w:p>
    <w:p>
      <w:pPr>
        <w:ind w:left="500" w:hanging="49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removal of interest income earned by the Consolidated Funds.</w:t>
      </w:r>
    </w:p>
    <w:p>
      <w:pPr>
        <w:spacing w:after="0" w:line="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removal of amounts for Tax Receivable Agreements adjustments recognized as other income (loss) and the impact of consolidation of the Consolidated Funds.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6"/>
          <w:szCs w:val="16"/>
          <w:color w:val="auto"/>
        </w:rPr>
        <w:t>The table below shows a reconciliation of loss before income tax to ANI and FRE.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(194,649)</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(344,715)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(231,985)</w:t>
            </w:r>
          </w:p>
        </w:tc>
      </w:tr>
      <w:tr>
        <w:trPr>
          <w:trHeight w:val="138"/>
        </w:trPr>
        <w:tc>
          <w:tcPr>
            <w:tcW w:w="4120" w:type="dxa"/>
            <w:vAlign w:val="bottom"/>
          </w:tcPr>
          <w:p>
            <w:pPr>
              <w:ind w:left="360"/>
              <w:spacing w:after="0" w:line="138" w:lineRule="exact"/>
              <w:rPr>
                <w:sz w:val="20"/>
                <w:szCs w:val="20"/>
                <w:color w:val="auto"/>
              </w:rPr>
            </w:pPr>
            <w:r>
              <w:rPr>
                <w:rFonts w:ascii="Times New Roman" w:cs="Times New Roman" w:eastAsia="Times New Roman" w:hAnsi="Times New Roman"/>
                <w:sz w:val="14"/>
                <w:szCs w:val="14"/>
                <w:color w:val="auto"/>
              </w:rPr>
              <w:t>Net income attributable to non-controlling interests in</w:t>
            </w: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4120" w:type="dxa"/>
            <w:vAlign w:val="bottom"/>
          </w:tcPr>
          <w:p>
            <w:pPr>
              <w:ind w:left="520"/>
              <w:spacing w:after="0" w:line="191" w:lineRule="exact"/>
              <w:rPr>
                <w:sz w:val="20"/>
                <w:szCs w:val="20"/>
                <w:color w:val="auto"/>
              </w:rPr>
            </w:pPr>
            <w:r>
              <w:rPr>
                <w:rFonts w:ascii="Times New Roman" w:cs="Times New Roman" w:eastAsia="Times New Roman" w:hAnsi="Times New Roman"/>
                <w:sz w:val="14"/>
                <w:szCs w:val="14"/>
                <w:color w:val="auto"/>
              </w:rPr>
              <w:t>subsidiaries</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(115,887)</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(69,528)</w:t>
            </w:r>
          </w:p>
        </w:tc>
      </w:tr>
      <w:tr>
        <w:trPr>
          <w:trHeight w:val="138"/>
        </w:trPr>
        <w:tc>
          <w:tcPr>
            <w:tcW w:w="412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Net (income) loss attributable to non-controlling interests in</w:t>
            </w:r>
          </w:p>
        </w:tc>
        <w:tc>
          <w:tcPr>
            <w:tcW w:w="10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91"/>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legacy Greenspring entities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carried interest allocations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(101,985)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(338,681)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(120,370)</w:t>
            </w:r>
          </w:p>
        </w:tc>
      </w:tr>
      <w:tr>
        <w:trPr>
          <w:trHeight w:val="180"/>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performance fee-related compensation</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202,134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66,495</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investment (income) loss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180"/>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Impact of Consolidated Funds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(23,890)</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incentive fees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r>
      <w:tr>
        <w:trPr>
          <w:trHeight w:val="180"/>
        </w:trPr>
        <w:tc>
          <w:tcPr>
            <w:tcW w:w="41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Equity-based compensation</w:t>
            </w:r>
            <w:r>
              <w:rPr>
                <w:rFonts w:ascii="Times New Roman" w:cs="Times New Roman" w:eastAsia="Times New Roman" w:hAnsi="Times New Roman"/>
                <w:sz w:val="18"/>
                <w:szCs w:val="18"/>
                <w:color w:val="auto"/>
                <w:vertAlign w:val="superscript"/>
              </w:rPr>
              <w:t>(2)</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464,124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483,958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1,528,787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535,690</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30,750</w:t>
            </w:r>
          </w:p>
        </w:tc>
      </w:tr>
      <w:tr>
        <w:trPr>
          <w:trHeight w:val="180"/>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 Receivable Agreements adjustments through earnings</w:t>
            </w:r>
          </w:p>
        </w:tc>
        <w:tc>
          <w:tcPr>
            <w:tcW w:w="10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20" w:type="dxa"/>
            <w:vAlign w:val="bottom"/>
            <w:tcBorders>
              <w:bottom w:val="single" w:sz="8" w:color="CCEEFF"/>
            </w:tcBorders>
          </w:tcPr>
          <w:p>
            <w:pPr>
              <w:ind w:left="360"/>
              <w:spacing w:after="0" w:line="181" w:lineRule="exact"/>
              <w:rPr>
                <w:sz w:val="20"/>
                <w:szCs w:val="20"/>
                <w:color w:val="auto"/>
              </w:rPr>
            </w:pPr>
            <w:r>
              <w:rPr>
                <w:rFonts w:ascii="Times New Roman" w:cs="Times New Roman" w:eastAsia="Times New Roman" w:hAnsi="Times New Roman"/>
                <w:sz w:val="14"/>
                <w:szCs w:val="14"/>
                <w:color w:val="auto"/>
              </w:rPr>
              <w:t>Non-core items</w:t>
            </w:r>
            <w:r>
              <w:rPr>
                <w:rFonts w:ascii="Times New Roman" w:cs="Times New Roman" w:eastAsia="Times New Roman" w:hAnsi="Times New Roman"/>
                <w:sz w:val="18"/>
                <w:szCs w:val="18"/>
                <w:color w:val="auto"/>
                <w:vertAlign w:val="superscript"/>
              </w:rPr>
              <w:t>(3)</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17,580</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Pre-tax ANI</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102,737</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210,358</w:t>
            </w:r>
          </w:p>
        </w:tc>
      </w:tr>
      <w:tr>
        <w:trPr>
          <w:trHeight w:val="180"/>
        </w:trPr>
        <w:tc>
          <w:tcPr>
            <w:tcW w:w="4120" w:type="dxa"/>
            <w:vAlign w:val="bottom"/>
            <w:tcBorders>
              <w:bottom w:val="single" w:sz="8" w:color="CCEEFF"/>
            </w:tcBorders>
          </w:tcPr>
          <w:p>
            <w:pPr>
              <w:ind w:left="360"/>
              <w:spacing w:after="0" w:line="181" w:lineRule="exact"/>
              <w:rPr>
                <w:sz w:val="20"/>
                <w:szCs w:val="20"/>
                <w:color w:val="auto"/>
              </w:rPr>
            </w:pPr>
            <w:r>
              <w:rPr>
                <w:rFonts w:ascii="Times New Roman" w:cs="Times New Roman" w:eastAsia="Times New Roman" w:hAnsi="Times New Roman"/>
                <w:sz w:val="14"/>
                <w:szCs w:val="14"/>
                <w:color w:val="auto"/>
              </w:rPr>
              <w:t>Income taxes</w:t>
            </w:r>
            <w:r>
              <w:rPr>
                <w:rFonts w:ascii="Times New Roman" w:cs="Times New Roman" w:eastAsia="Times New Roman" w:hAnsi="Times New Roman"/>
                <w:sz w:val="18"/>
                <w:szCs w:val="18"/>
                <w:color w:val="auto"/>
                <w:vertAlign w:val="superscript"/>
              </w:rPr>
              <w:t>(4)</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(22,879)</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(55,897)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(46,889)</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ANI</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79,858</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195,101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163,469</w:t>
            </w:r>
          </w:p>
        </w:tc>
      </w:tr>
      <w:tr>
        <w:trPr>
          <w:trHeight w:val="180"/>
        </w:trPr>
        <w:tc>
          <w:tcPr>
            <w:tcW w:w="412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Income taxes</w:t>
            </w:r>
            <w:r>
              <w:rPr>
                <w:rFonts w:ascii="Times New Roman" w:cs="Times New Roman" w:eastAsia="Times New Roman" w:hAnsi="Times New Roman"/>
                <w:sz w:val="18"/>
                <w:szCs w:val="18"/>
                <w:color w:val="auto"/>
                <w:vertAlign w:val="superscript"/>
              </w:rPr>
              <w:t>(4)</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46,889</w:t>
            </w:r>
          </w:p>
        </w:tc>
      </w:tr>
      <w:tr>
        <w:trPr>
          <w:trHeight w:val="180"/>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Realized carried interest allocations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(83,718)</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Realized performance fee-related compensation</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122,215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55,092</w:t>
            </w:r>
          </w:p>
        </w:tc>
      </w:tr>
      <w:tr>
        <w:trPr>
          <w:trHeight w:val="180"/>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Realized investment income</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w:t>
            </w:r>
          </w:p>
        </w:tc>
      </w:tr>
      <w:tr>
        <w:trPr>
          <w:trHeight w:val="212"/>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Adjusted incentive fees</w:t>
            </w:r>
            <w:r>
              <w:rPr>
                <w:rFonts w:ascii="Times New Roman" w:cs="Times New Roman" w:eastAsia="Times New Roman" w:hAnsi="Times New Roman"/>
                <w:sz w:val="18"/>
                <w:szCs w:val="18"/>
                <w:color w:val="auto"/>
                <w:vertAlign w:val="superscript"/>
              </w:rPr>
              <w:t>(5)</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(206,664)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(34,313)</w:t>
            </w:r>
          </w:p>
        </w:tc>
      </w:tr>
      <w:tr>
        <w:trPr>
          <w:trHeight w:val="180"/>
        </w:trPr>
        <w:tc>
          <w:tcPr>
            <w:tcW w:w="41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Adjusted interest income</w:t>
            </w:r>
            <w:r>
              <w:rPr>
                <w:rFonts w:ascii="Times New Roman" w:cs="Times New Roman" w:eastAsia="Times New Roman" w:hAnsi="Times New Roman"/>
                <w:sz w:val="18"/>
                <w:szCs w:val="18"/>
                <w:color w:val="auto"/>
                <w:vertAlign w:val="superscript"/>
              </w:rPr>
              <w:t>(6)</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r>
      <w:tr>
        <w:trPr>
          <w:trHeight w:val="180"/>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9,510</w:t>
            </w:r>
          </w:p>
        </w:tc>
      </w:tr>
      <w:tr>
        <w:trPr>
          <w:trHeight w:val="180"/>
        </w:trPr>
        <w:tc>
          <w:tcPr>
            <w:tcW w:w="41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Adjusted other (income) loss</w:t>
            </w:r>
            <w:r>
              <w:rPr>
                <w:rFonts w:ascii="Times New Roman" w:cs="Times New Roman" w:eastAsia="Times New Roman" w:hAnsi="Times New Roman"/>
                <w:sz w:val="18"/>
                <w:szCs w:val="18"/>
                <w:color w:val="auto"/>
                <w:vertAlign w:val="superscript"/>
              </w:rPr>
              <w:t>(7)</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r>
      <w:tr>
        <w:trPr>
          <w:trHeight w:val="138"/>
        </w:trPr>
        <w:tc>
          <w:tcPr>
            <w:tcW w:w="4120" w:type="dxa"/>
            <w:vAlign w:val="bottom"/>
          </w:tcPr>
          <w:p>
            <w:pPr>
              <w:ind w:left="360"/>
              <w:spacing w:after="0" w:line="138" w:lineRule="exact"/>
              <w:rPr>
                <w:sz w:val="20"/>
                <w:szCs w:val="20"/>
                <w:color w:val="auto"/>
              </w:rPr>
            </w:pPr>
            <w:r>
              <w:rPr>
                <w:rFonts w:ascii="Times New Roman" w:cs="Times New Roman" w:eastAsia="Times New Roman" w:hAnsi="Times New Roman"/>
                <w:sz w:val="14"/>
                <w:szCs w:val="14"/>
                <w:color w:val="auto"/>
              </w:rPr>
              <w:t>Net income attributable to non-controlling interests in</w:t>
            </w: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4120" w:type="dxa"/>
            <w:vAlign w:val="bottom"/>
            <w:tcBorders>
              <w:bottom w:val="single" w:sz="8" w:color="CCEEFF"/>
            </w:tcBorders>
          </w:tcPr>
          <w:p>
            <w:pPr>
              <w:ind w:left="520"/>
              <w:spacing w:after="0" w:line="191" w:lineRule="exact"/>
              <w:rPr>
                <w:sz w:val="20"/>
                <w:szCs w:val="20"/>
                <w:color w:val="auto"/>
              </w:rPr>
            </w:pPr>
            <w:r>
              <w:rPr>
                <w:rFonts w:ascii="Times New Roman" w:cs="Times New Roman" w:eastAsia="Times New Roman" w:hAnsi="Times New Roman"/>
                <w:sz w:val="14"/>
                <w:szCs w:val="14"/>
                <w:color w:val="auto"/>
              </w:rPr>
              <w:t>subsidiaries</w:t>
            </w:r>
            <w:r>
              <w:rPr>
                <w:rFonts w:ascii="Times New Roman" w:cs="Times New Roman" w:eastAsia="Times New Roman" w:hAnsi="Times New Roman"/>
                <w:sz w:val="18"/>
                <w:szCs w:val="18"/>
                <w:color w:val="auto"/>
                <w:vertAlign w:val="superscript"/>
              </w:rPr>
              <w:t>(1)</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115,887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174,257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69,528</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89,236</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74,118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249,115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218,123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5" w:lineRule="exact"/>
        <w:rPr>
          <w:sz w:val="20"/>
          <w:szCs w:val="20"/>
          <w:color w:val="auto"/>
        </w:rPr>
      </w:pPr>
    </w:p>
    <w:p>
      <w:pPr>
        <w:ind w:left="520" w:right="180" w:hanging="515"/>
        <w:spacing w:after="0" w:line="253" w:lineRule="auto"/>
        <w:tabs>
          <w:tab w:leader="none" w:pos="51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$97.5 million and $14.1 million for the three months ended December 31, 2025 and 2024, respectively, and $116.1 million and $17.0 million for the nine months ended December 31, 2025 and 2024, respectively. Amounts specifically attributable to non-controlling interests in subsidiaries not attributable to the private wealth subsidiary were $18.4 million and $18.7 million for the three months ended December 31, 2025 and 2024, respectively, and $58.1 million and $52.6 million for the nine months ended December 31, 2025 and 2024, respectively.</w:t>
      </w:r>
    </w:p>
    <w:p>
      <w:pPr>
        <w:ind w:left="520" w:right="20" w:hanging="515"/>
        <w:spacing w:after="0" w:line="253" w:lineRule="auto"/>
        <w:tabs>
          <w:tab w:leader="none" w:pos="51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500" w:hanging="495"/>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expense related to transaction costs ($47 thousand and $12 thousand for the three months ended</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77" w:name="page78"/>
    <w:bookmarkEnd w:id="77"/>
    <w:p>
      <w:pPr>
        <w:spacing w:after="0" w:line="1" w:lineRule="exact"/>
        <w:rPr>
          <w:sz w:val="20"/>
          <w:szCs w:val="20"/>
          <w:color w:val="auto"/>
        </w:rPr>
      </w:pPr>
    </w:p>
    <w:p>
      <w:pPr>
        <w:ind w:left="520" w:right="100"/>
        <w:spacing w:after="0" w:line="257" w:lineRule="auto"/>
        <w:rPr>
          <w:sz w:val="20"/>
          <w:szCs w:val="20"/>
          <w:color w:val="auto"/>
        </w:rPr>
      </w:pPr>
      <w:r>
        <w:rPr>
          <w:rFonts w:ascii="Times New Roman" w:cs="Times New Roman" w:eastAsia="Times New Roman" w:hAnsi="Times New Roman"/>
          <w:sz w:val="14"/>
          <w:szCs w:val="14"/>
          <w:color w:val="auto"/>
        </w:rPr>
        <w:t>December 31, 2025 and 2024, respectively, and $0.7 million and $0.8 million for the nine months ended December 31, 2025 and 2024, respectively), unrealized amounts associated with cash-based incentive awards tracked to investment funds ($34 thousand for the nine months ended December 31, 2025), loss on change in fair value for contingent consideration obligation ($0.1 million and $2.5 million for the three months ended December 31, 2025 and 2024, respectively, and $0.2 million and $16.3 million for the nine months ended December 31, 2025 and 2024, respectively), compensation paid to certain employees as part of an acquisition earn-out ($(0.4) million and $0.4 million for the three and nine months ended December 31, 2024, respectively) and other non-core operating income and expenses.</w:t>
      </w:r>
    </w:p>
    <w:p>
      <w:pPr>
        <w:spacing w:after="0" w:line="1" w:lineRule="exact"/>
        <w:rPr>
          <w:sz w:val="20"/>
          <w:szCs w:val="20"/>
          <w:color w:val="auto"/>
        </w:rPr>
      </w:pPr>
    </w:p>
    <w:p>
      <w:pPr>
        <w:ind w:left="520" w:right="40" w:hanging="515"/>
        <w:spacing w:after="0" w:line="253"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 blended statutory rate of 22.3% applied to pre-tax ANI for the three and nine months ended December 31, 2025 and 2024, which is based on a federal statutory rate of 21.0% and a combined state, local and foreign rate net of federal benefits of 1.3%.</w:t>
      </w:r>
    </w:p>
    <w:p>
      <w:pPr>
        <w:ind w:left="520" w:right="540" w:hanging="515"/>
        <w:spacing w:after="0" w:line="253"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add-back of incentive fee revenues for the Consolidated Funds, which have been eliminated in consolidation, and deferred incentive fees that are not included in GAAP revenues.</w:t>
      </w:r>
    </w:p>
    <w:p>
      <w:pPr>
        <w:ind w:left="500" w:hanging="495"/>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removal of interest income earned by the Consolidated Funds.</w:t>
      </w:r>
    </w:p>
    <w:p>
      <w:pPr>
        <w:spacing w:after="0" w:line="8" w:lineRule="exact"/>
        <w:rPr>
          <w:rFonts w:ascii="Times New Roman" w:cs="Times New Roman" w:eastAsia="Times New Roman" w:hAnsi="Times New Roman"/>
          <w:sz w:val="14"/>
          <w:szCs w:val="14"/>
          <w:color w:val="auto"/>
        </w:rPr>
      </w:pPr>
    </w:p>
    <w:p>
      <w:pPr>
        <w:ind w:left="520" w:right="120" w:hanging="515"/>
        <w:spacing w:after="0" w:line="266"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removal of the impact of consolidation of the Consolidated Funds and amounts for Tax Receivable Agreements adjustments recognized as other income (loss) ($1.3 million for the nine months ended December 31, 2025).</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Investment Performance</w:t>
      </w:r>
    </w:p>
    <w:p>
      <w:pPr>
        <w:spacing w:after="0" w:line="179" w:lineRule="exact"/>
        <w:rPr>
          <w:sz w:val="20"/>
          <w:szCs w:val="20"/>
          <w:color w:val="auto"/>
        </w:rPr>
      </w:pPr>
    </w:p>
    <w:p>
      <w:pPr>
        <w:jc w:val="both"/>
        <w:ind w:right="140" w:firstLine="509"/>
        <w:spacing w:after="0" w:line="254" w:lineRule="auto"/>
        <w:rPr>
          <w:sz w:val="20"/>
          <w:szCs w:val="20"/>
          <w:color w:val="auto"/>
        </w:rPr>
      </w:pPr>
      <w:r>
        <w:rPr>
          <w:rFonts w:ascii="Times New Roman" w:cs="Times New Roman" w:eastAsia="Times New Roman" w:hAnsi="Times New Roman"/>
          <w:sz w:val="16"/>
          <w:szCs w:val="16"/>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September 30, 2025 and have not been adjusted to reflect acquisitions or disposals of investments subsequent to that date.</w:t>
      </w:r>
    </w:p>
    <w:p>
      <w:pPr>
        <w:spacing w:after="0" w:line="137" w:lineRule="exact"/>
        <w:rPr>
          <w:sz w:val="20"/>
          <w:szCs w:val="20"/>
          <w:color w:val="auto"/>
        </w:rPr>
      </w:pPr>
    </w:p>
    <w:p>
      <w:pPr>
        <w:ind w:right="180" w:firstLine="509"/>
        <w:spacing w:after="0" w:line="273" w:lineRule="auto"/>
        <w:rPr>
          <w:sz w:val="20"/>
          <w:szCs w:val="20"/>
          <w:color w:val="auto"/>
        </w:rPr>
      </w:pPr>
      <w:r>
        <w:rPr>
          <w:rFonts w:ascii="Times New Roman" w:cs="Times New Roman" w:eastAsia="Times New Roman" w:hAnsi="Times New Roman"/>
          <w:sz w:val="16"/>
          <w:szCs w:val="16"/>
          <w:color w:val="auto"/>
        </w:rPr>
        <w:t>The historical results of our investments are not indicative of future results to be expected of existing or new investment funds, and are not a proxy for the performance of our Class A common stock, including because:</w:t>
      </w:r>
    </w:p>
    <w:p>
      <w:pPr>
        <w:spacing w:after="0" w:line="133" w:lineRule="exact"/>
        <w:rPr>
          <w:sz w:val="20"/>
          <w:szCs w:val="20"/>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and investment opportunities may differ from those in the past;</w:t>
      </w:r>
    </w:p>
    <w:p>
      <w:pPr>
        <w:spacing w:after="0" w:line="16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funds is largely based on the NAV (as defined below) of the funds’ investments, including unrealized gains, which may never be realized;</w:t>
      </w:r>
    </w:p>
    <w:p>
      <w:pPr>
        <w:spacing w:after="0" w:line="17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newly-established funds may generate lower investment returns during the period that they initially deploy their capital;</w:t>
      </w:r>
    </w:p>
    <w:p>
      <w:pPr>
        <w:spacing w:after="0" w:line="166" w:lineRule="exact"/>
        <w:rPr>
          <w:rFonts w:ascii="Times New Roman" w:cs="Times New Roman" w:eastAsia="Times New Roman" w:hAnsi="Times New Roman"/>
          <w:sz w:val="16"/>
          <w:szCs w:val="16"/>
          <w:color w:val="auto"/>
        </w:rPr>
      </w:pPr>
    </w:p>
    <w:p>
      <w:pPr>
        <w:ind w:left="520" w:hanging="260"/>
        <w:spacing w:after="0" w:line="261" w:lineRule="auto"/>
        <w:tabs>
          <w:tab w:leader="none" w:pos="5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31" w:lineRule="exact"/>
        <w:rPr>
          <w:rFonts w:ascii="Times New Roman" w:cs="Times New Roman" w:eastAsia="Times New Roman" w:hAnsi="Times New Roman"/>
          <w:sz w:val="16"/>
          <w:szCs w:val="16"/>
          <w:color w:val="auto"/>
        </w:rPr>
      </w:pPr>
    </w:p>
    <w:p>
      <w:pPr>
        <w:ind w:left="520" w:right="380" w:hanging="260"/>
        <w:spacing w:after="0" w:line="273" w:lineRule="auto"/>
        <w:tabs>
          <w:tab w:leader="none" w:pos="5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industries and businesses in which particular funds invest will vary.</w:t>
      </w:r>
    </w:p>
    <w:p>
      <w:pPr>
        <w:spacing w:after="0" w:line="17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and future returns of investments included in our track record are not directly correlated to potential returns on our Class A common stock.</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6"/>
          <w:szCs w:val="16"/>
          <w:color w:val="auto"/>
        </w:rPr>
        <w:t>For the purposes of the following table:</w:t>
      </w:r>
    </w:p>
    <w:p>
      <w:pPr>
        <w:spacing w:after="0" w:line="177"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“Invested capital” refers to the total amount of all investments made by a fund, including commitment-reducing and non-commitment-reducing capital calls;</w:t>
      </w:r>
    </w:p>
    <w:p>
      <w:pPr>
        <w:spacing w:after="0" w:line="16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 refers to the estimated fair value of unrealized investments plus any net assets or liabilities associated with the investment as of September 30, 2025;</w:t>
      </w:r>
    </w:p>
    <w:p>
      <w:pPr>
        <w:spacing w:after="0" w:line="176" w:lineRule="exact"/>
        <w:rPr>
          <w:rFonts w:ascii="Times New Roman" w:cs="Times New Roman" w:eastAsia="Times New Roman" w:hAnsi="Times New Roman"/>
          <w:sz w:val="16"/>
          <w:szCs w:val="16"/>
          <w:color w:val="auto"/>
        </w:rPr>
      </w:pPr>
    </w:p>
    <w:p>
      <w:pPr>
        <w:ind w:left="520" w:right="420" w:hanging="260"/>
        <w:spacing w:after="0" w:line="259" w:lineRule="auto"/>
        <w:tabs>
          <w:tab w:leader="none" w:pos="51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 refers to the annualized internal rate of return for all investments within the relevant investment strategy on an inception-to-date basis as of September 30, 2025 (except as noted otherwise below), based on contributions, distributions and unrealized value;</w:t>
      </w:r>
    </w:p>
    <w:p>
      <w:pPr>
        <w:spacing w:after="0" w:line="14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IRR” refers to IRR net of fees and expenses charged by both the underlying fund managers and StepStone; and</w:t>
      </w:r>
    </w:p>
    <w:p>
      <w:pPr>
        <w:spacing w:after="0" w:line="176" w:lineRule="exact"/>
        <w:rPr>
          <w:rFonts w:ascii="Times New Roman" w:cs="Times New Roman" w:eastAsia="Times New Roman" w:hAnsi="Times New Roman"/>
          <w:sz w:val="16"/>
          <w:szCs w:val="16"/>
          <w:color w:val="auto"/>
        </w:rPr>
      </w:pPr>
    </w:p>
    <w:p>
      <w:pPr>
        <w:ind w:left="520" w:right="340" w:hanging="260"/>
        <w:spacing w:after="0" w:line="259" w:lineRule="auto"/>
        <w:tabs>
          <w:tab w:leader="none" w:pos="51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StepStone Performance Summary by Asset Class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1"/>
                <w:szCs w:val="11"/>
                <w:b w:val="1"/>
                <w:bCs w:val="1"/>
                <w:color w:val="auto"/>
              </w:rPr>
              <w:t>PRIVATE EQUITY</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6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INFRASTRUCTURE</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PRIVATE DEBT</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STRATEGY</w:t>
            </w:r>
            <w:r>
              <w:rPr>
                <w:rFonts w:ascii="Times New Roman" w:cs="Times New Roman" w:eastAsia="Times New Roman" w:hAnsi="Times New Roman"/>
                <w:sz w:val="7"/>
                <w:szCs w:val="7"/>
                <w:b w:val="1"/>
                <w:bCs w:val="1"/>
                <w:color w:val="auto"/>
              </w:rPr>
              <w:t>(1,2,4)</w:t>
            </w:r>
          </w:p>
        </w:tc>
        <w:tc>
          <w:tcPr>
            <w:tcW w:w="680" w:type="dxa"/>
            <w:vAlign w:val="bottom"/>
            <w:tcBorders>
              <w:bottom w:val="single" w:sz="8" w:color="auto"/>
            </w:tcBorders>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NET IRR</w:t>
            </w:r>
            <w:r>
              <w:rPr>
                <w:rFonts w:ascii="Times New Roman" w:cs="Times New Roman" w:eastAsia="Times New Roman" w:hAnsi="Times New Roman"/>
                <w:sz w:val="7"/>
                <w:szCs w:val="7"/>
                <w:b w:val="1"/>
                <w:bCs w:val="1"/>
                <w:color w:val="auto"/>
              </w:rPr>
              <w:t>(3)</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NET TVM</w:t>
            </w:r>
            <w:r>
              <w:rPr>
                <w:rFonts w:ascii="Times New Roman" w:cs="Times New Roman" w:eastAsia="Times New Roman" w:hAnsi="Times New Roman"/>
                <w:sz w:val="7"/>
                <w:szCs w:val="7"/>
                <w:b w:val="1"/>
                <w:bCs w:val="1"/>
                <w:color w:val="auto"/>
              </w:rPr>
              <w:t>(3)</w:t>
            </w:r>
          </w:p>
        </w:tc>
        <w:tc>
          <w:tcPr>
            <w:tcW w:w="8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STRATEGY</w:t>
            </w:r>
            <w:r>
              <w:rPr>
                <w:rFonts w:ascii="Times New Roman" w:cs="Times New Roman" w:eastAsia="Times New Roman" w:hAnsi="Times New Roman"/>
                <w:sz w:val="7"/>
                <w:szCs w:val="7"/>
                <w:b w:val="1"/>
                <w:bCs w:val="1"/>
                <w:color w:val="auto"/>
              </w:rPr>
              <w:t>(1,4,5)</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NET IRR</w:t>
            </w:r>
            <w:r>
              <w:rPr>
                <w:rFonts w:ascii="Times New Roman" w:cs="Times New Roman" w:eastAsia="Times New Roman" w:hAnsi="Times New Roman"/>
                <w:sz w:val="7"/>
                <w:szCs w:val="7"/>
                <w:b w:val="1"/>
                <w:bCs w:val="1"/>
                <w:color w:val="auto"/>
              </w:rPr>
              <w:t>(3)</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NET TVM</w:t>
            </w:r>
            <w:r>
              <w:rPr>
                <w:rFonts w:ascii="Times New Roman" w:cs="Times New Roman" w:eastAsia="Times New Roman" w:hAnsi="Times New Roman"/>
                <w:sz w:val="7"/>
                <w:szCs w:val="7"/>
                <w:b w:val="1"/>
                <w:bCs w:val="1"/>
                <w:color w:val="auto"/>
              </w:rPr>
              <w:t>(3)</w:t>
            </w:r>
          </w:p>
        </w:tc>
        <w:tc>
          <w:tcPr>
            <w:tcW w:w="80" w:type="dxa"/>
            <w:vAlign w:val="bottom"/>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STRATEGY</w:t>
            </w:r>
            <w:r>
              <w:rPr>
                <w:rFonts w:ascii="Times New Roman" w:cs="Times New Roman" w:eastAsia="Times New Roman" w:hAnsi="Times New Roman"/>
                <w:sz w:val="7"/>
                <w:szCs w:val="7"/>
                <w:b w:val="1"/>
                <w:bCs w:val="1"/>
                <w:color w:val="auto"/>
              </w:rPr>
              <w:t>(1,4,6)</w:t>
            </w:r>
          </w:p>
        </w:tc>
        <w:tc>
          <w:tcPr>
            <w:tcW w:w="6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NET IRR</w:t>
            </w:r>
            <w:r>
              <w:rPr>
                <w:rFonts w:ascii="Times New Roman" w:cs="Times New Roman" w:eastAsia="Times New Roman" w:hAnsi="Times New Roman"/>
                <w:sz w:val="7"/>
                <w:szCs w:val="7"/>
                <w:b w:val="1"/>
                <w:bCs w:val="1"/>
                <w:color w:val="auto"/>
              </w:rPr>
              <w:t>(3)</w:t>
            </w:r>
          </w:p>
        </w:tc>
        <w:tc>
          <w:tcPr>
            <w:tcW w:w="8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STRATEGY</w:t>
            </w:r>
            <w:r>
              <w:rPr>
                <w:rFonts w:ascii="Times New Roman" w:cs="Times New Roman" w:eastAsia="Times New Roman" w:hAnsi="Times New Roman"/>
                <w:sz w:val="7"/>
                <w:szCs w:val="7"/>
                <w:b w:val="1"/>
                <w:bCs w:val="1"/>
                <w:color w:val="auto"/>
              </w:rPr>
              <w:t>(1,4,8)</w:t>
            </w:r>
          </w:p>
        </w:tc>
        <w:tc>
          <w:tcPr>
            <w:tcW w:w="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NET IRR</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145"/>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Primaries</w:t>
            </w:r>
          </w:p>
        </w:tc>
        <w:tc>
          <w:tcPr>
            <w:tcW w:w="68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color w:val="auto"/>
              </w:rPr>
              <w:t>13.8%</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1.5x</w:t>
            </w:r>
          </w:p>
        </w:tc>
        <w:tc>
          <w:tcPr>
            <w:tcW w:w="8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Core/Core+ fund investments</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6.9%</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1.4x</w:t>
            </w:r>
          </w:p>
        </w:tc>
        <w:tc>
          <w:tcPr>
            <w:tcW w:w="8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Core/debt - all strategies</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7.0%</w:t>
            </w:r>
          </w:p>
        </w:tc>
        <w:tc>
          <w:tcPr>
            <w:tcW w:w="8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Primaries</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7.7%</w:t>
            </w:r>
          </w:p>
        </w:tc>
        <w:tc>
          <w:tcPr>
            <w:tcW w:w="0" w:type="dxa"/>
            <w:vAlign w:val="bottom"/>
          </w:tcPr>
          <w:p>
            <w:pPr>
              <w:spacing w:after="0"/>
              <w:rPr>
                <w:sz w:val="1"/>
                <w:szCs w:val="1"/>
                <w:color w:val="auto"/>
              </w:rPr>
            </w:pPr>
          </w:p>
        </w:tc>
      </w:tr>
      <w:tr>
        <w:trPr>
          <w:trHeight w:val="106"/>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Secondaries</w:t>
            </w:r>
          </w:p>
        </w:tc>
        <w:tc>
          <w:tcPr>
            <w:tcW w:w="680" w:type="dxa"/>
            <w:vAlign w:val="bottom"/>
            <w:vMerge w:val="restart"/>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14.4%</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1.4x</w:t>
            </w:r>
          </w:p>
        </w:tc>
        <w:tc>
          <w:tcPr>
            <w:tcW w:w="80" w:type="dxa"/>
            <w:vAlign w:val="bottom"/>
            <w:vMerge w:val="restart"/>
            <w:shd w:val="clear" w:color="auto" w:fill="CCEEFF"/>
          </w:tcPr>
          <w:p>
            <w:pPr>
              <w:spacing w:after="0"/>
              <w:rPr>
                <w:sz w:val="9"/>
                <w:szCs w:val="9"/>
                <w:color w:val="auto"/>
              </w:rPr>
            </w:pPr>
          </w:p>
        </w:tc>
        <w:tc>
          <w:tcPr>
            <w:tcW w:w="182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Value-add/opportunistic fund</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8.0%</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1.3x</w:t>
            </w:r>
          </w:p>
        </w:tc>
        <w:tc>
          <w:tcPr>
            <w:tcW w:w="80" w:type="dxa"/>
            <w:vAlign w:val="bottom"/>
            <w:vMerge w:val="restart"/>
            <w:shd w:val="clear" w:color="auto" w:fill="CCEEFF"/>
          </w:tcPr>
          <w:p>
            <w:pPr>
              <w:spacing w:after="0"/>
              <w:rPr>
                <w:sz w:val="9"/>
                <w:szCs w:val="9"/>
                <w:color w:val="auto"/>
              </w:rPr>
            </w:pPr>
          </w:p>
        </w:tc>
        <w:tc>
          <w:tcPr>
            <w:tcW w:w="17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Core+/value-add - primary fund</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Direct lending</w:t>
            </w:r>
          </w:p>
        </w:tc>
        <w:tc>
          <w:tcPr>
            <w:tcW w:w="700" w:type="dxa"/>
            <w:vAlign w:val="bottom"/>
            <w:vMerge w:val="restart"/>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51"/>
        </w:trPr>
        <w:tc>
          <w:tcPr>
            <w:tcW w:w="170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Co-investments</w:t>
            </w:r>
            <w:r>
              <w:rPr>
                <w:rFonts w:ascii="Times New Roman" w:cs="Times New Roman" w:eastAsia="Times New Roman" w:hAnsi="Times New Roman"/>
                <w:sz w:val="7"/>
                <w:szCs w:val="7"/>
                <w:color w:val="auto"/>
              </w:rPr>
              <w:t>(7)</w:t>
            </w:r>
          </w:p>
        </w:tc>
        <w:tc>
          <w:tcPr>
            <w:tcW w:w="6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auto"/>
              </w:rPr>
              <w:t>15.0%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1.5x</w:t>
            </w:r>
          </w:p>
        </w:tc>
        <w:tc>
          <w:tcPr>
            <w:tcW w:w="80" w:type="dxa"/>
            <w:vAlign w:val="bottom"/>
            <w:vMerge w:val="restart"/>
          </w:tcPr>
          <w:p>
            <w:pPr>
              <w:spacing w:after="0"/>
              <w:rPr>
                <w:sz w:val="9"/>
                <w:szCs w:val="9"/>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Real estate debt fund investments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5.1%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1.1x</w:t>
            </w:r>
          </w:p>
        </w:tc>
        <w:tc>
          <w:tcPr>
            <w:tcW w:w="80" w:type="dxa"/>
            <w:vAlign w:val="bottom"/>
            <w:vMerge w:val="restart"/>
          </w:tcPr>
          <w:p>
            <w:pPr>
              <w:spacing w:after="0"/>
              <w:rPr>
                <w:sz w:val="9"/>
                <w:szCs w:val="9"/>
                <w:color w:val="auto"/>
              </w:rPr>
            </w:pPr>
          </w:p>
        </w:tc>
        <w:tc>
          <w:tcPr>
            <w:tcW w:w="1780" w:type="dxa"/>
            <w:vAlign w:val="bottom"/>
          </w:tcPr>
          <w:p>
            <w:pPr>
              <w:ind w:left="20"/>
              <w:spacing w:after="0" w:line="105" w:lineRule="exact"/>
              <w:rPr>
                <w:sz w:val="20"/>
                <w:szCs w:val="20"/>
                <w:color w:val="auto"/>
              </w:rPr>
            </w:pPr>
            <w:r>
              <w:rPr>
                <w:rFonts w:ascii="Times New Roman" w:cs="Times New Roman" w:eastAsia="Times New Roman" w:hAnsi="Times New Roman"/>
                <w:sz w:val="11"/>
                <w:szCs w:val="11"/>
                <w:color w:val="auto"/>
              </w:rPr>
              <w:t>Core+/value-add - secondary fund</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8.2%</w:t>
            </w:r>
          </w:p>
        </w:tc>
        <w:tc>
          <w:tcPr>
            <w:tcW w:w="80" w:type="dxa"/>
            <w:vAlign w:val="bottom"/>
          </w:tcPr>
          <w:p>
            <w:pPr>
              <w:spacing w:after="0"/>
              <w:rPr>
                <w:sz w:val="9"/>
                <w:szCs w:val="9"/>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Opportunistic</w:t>
            </w:r>
          </w:p>
        </w:tc>
        <w:tc>
          <w:tcPr>
            <w:tcW w:w="7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51"/>
        </w:trPr>
        <w:tc>
          <w:tcPr>
            <w:tcW w:w="170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7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Value-add/opportunistic secondaries &amp;</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8.6%</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1.2x</w:t>
            </w:r>
          </w:p>
        </w:tc>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Core+/value-add - co-investments</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Co-investments/secondaries</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9.5%</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co-investments</w:t>
            </w:r>
          </w:p>
        </w:tc>
        <w:tc>
          <w:tcPr>
            <w:tcW w:w="64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Direct lending</w:t>
            </w:r>
          </w:p>
        </w:tc>
        <w:tc>
          <w:tcPr>
            <w:tcW w:w="700" w:type="dxa"/>
            <w:vAlign w:val="bottom"/>
            <w:tcBorders>
              <w:top w:val="single" w:sz="8" w:color="auto"/>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color w:val="auto"/>
              </w:rPr>
              <w:t>8.1%</w:t>
            </w: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Opportunistic</w:t>
            </w:r>
          </w:p>
        </w:tc>
        <w:tc>
          <w:tcPr>
            <w:tcW w:w="700" w:type="dxa"/>
            <w:vAlign w:val="bottom"/>
            <w:tcBorders>
              <w:bottom w:val="single" w:sz="8" w:color="auto"/>
            </w:tcBorders>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w w:val="98"/>
              </w:rPr>
              <w:t>11.5%</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Customized Managed Accounts</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5" w:lineRule="exact"/>
        <w:rPr>
          <w:sz w:val="20"/>
          <w:szCs w:val="20"/>
          <w:color w:val="auto"/>
        </w:rPr>
      </w:pPr>
    </w:p>
    <w:p>
      <w:pPr>
        <w:ind w:left="520" w:right="180" w:hanging="515"/>
        <w:spacing w:after="0" w:line="253" w:lineRule="auto"/>
        <w:tabs>
          <w:tab w:leader="none" w:pos="515" w:val="left"/>
        </w:tabs>
        <w:numPr>
          <w:ilvl w:val="0"/>
          <w:numId w:val="3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 xml:space="preserve">Investment returns reflect NAV data for underlying investments as of September 30, 2025, as reported by underlying managers up to </w:t>
      </w:r>
      <w:r>
        <w:rPr>
          <w:rFonts w:ascii="Times New Roman" w:cs="Times New Roman" w:eastAsia="Times New Roman" w:hAnsi="Times New Roman"/>
          <w:sz w:val="14"/>
          <w:szCs w:val="14"/>
          <w:color w:val="231F20"/>
        </w:rPr>
        <w:t>the business day occurring on or after 100</w:t>
      </w:r>
      <w:r>
        <w:rPr>
          <w:rFonts w:ascii="Times New Roman" w:cs="Times New Roman" w:eastAsia="Times New Roman" w:hAnsi="Times New Roman"/>
          <w:sz w:val="14"/>
          <w:szCs w:val="14"/>
          <w:color w:val="auto"/>
        </w:rPr>
        <w:t xml:space="preserve"> days following September 30, 2025. For investment returns where NAV data is not available by </w:t>
      </w:r>
      <w:r>
        <w:rPr>
          <w:rFonts w:ascii="Times New Roman" w:cs="Times New Roman" w:eastAsia="Times New Roman" w:hAnsi="Times New Roman"/>
          <w:sz w:val="14"/>
          <w:szCs w:val="14"/>
          <w:color w:val="231F20"/>
        </w:rPr>
        <w:t>the business day occurring on or after 100</w:t>
      </w:r>
      <w:r>
        <w:rPr>
          <w:rFonts w:ascii="Times New Roman" w:cs="Times New Roman" w:eastAsia="Times New Roman" w:hAnsi="Times New Roman"/>
          <w:sz w:val="14"/>
          <w:szCs w:val="14"/>
          <w:color w:val="auto"/>
        </w:rPr>
        <w:t xml:space="preserve"> days following September 30, 2025,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ind w:left="520" w:right="160" w:hanging="515"/>
        <w:spacing w:after="0" w:line="256" w:lineRule="auto"/>
        <w:tabs>
          <w:tab w:leader="none" w:pos="5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equity includes 3,216 investments totaling $228.0 billion of capital commitments and excludes (i) two advisory co-investments, totaling $100.0 million of capital commitments, (ii) 240 client-directed private equity investments, totaling $33.3 billion of capital commitments, and (iii) investments that do not have client data monitored in SPI Reporting.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accounts (“StepStone PE Accounts”).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79" w:name="page80"/>
    <w:bookmarkEnd w:id="79"/>
    <w:p>
      <w:pPr>
        <w:spacing w:after="0" w:line="1" w:lineRule="exact"/>
        <w:rPr>
          <w:sz w:val="20"/>
          <w:szCs w:val="20"/>
          <w:color w:val="auto"/>
        </w:rPr>
      </w:pPr>
    </w:p>
    <w:p>
      <w:pPr>
        <w:ind w:left="515" w:right="60" w:hanging="515"/>
        <w:spacing w:after="0" w:line="258" w:lineRule="auto"/>
        <w:tabs>
          <w:tab w:leader="none" w:pos="51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1" w:lineRule="exact"/>
        <w:rPr>
          <w:rFonts w:ascii="Times New Roman" w:cs="Times New Roman" w:eastAsia="Times New Roman" w:hAnsi="Times New Roman"/>
          <w:sz w:val="14"/>
          <w:szCs w:val="14"/>
          <w:color w:val="auto"/>
        </w:rPr>
      </w:pPr>
    </w:p>
    <w:p>
      <w:pPr>
        <w:ind w:left="1015" w:right="100" w:hanging="506"/>
        <w:spacing w:after="0" w:line="253" w:lineRule="auto"/>
        <w:tabs>
          <w:tab w:leader="none" w:pos="100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Primaries management fee: 25 basis points of net invested capital for private equity, real estate and infrastructure; 25 basis points of net asset value for private debt; 75 basis points of committed capital for the StepStone VC Platform.</w:t>
      </w:r>
    </w:p>
    <w:p>
      <w:pPr>
        <w:ind w:left="1015" w:right="80" w:hanging="506"/>
        <w:spacing w:after="0" w:line="253" w:lineRule="auto"/>
        <w:tabs>
          <w:tab w:leader="none" w:pos="101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w:t>
      </w:r>
    </w:p>
    <w:p>
      <w:pPr>
        <w:ind w:left="1015" w:right="80" w:hanging="506"/>
        <w:spacing w:after="0" w:line="253" w:lineRule="auto"/>
        <w:tabs>
          <w:tab w:leader="none" w:pos="1009"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Co-investments management fee: 100 basis points of net committed capital for private equity and real estate; 90 and 50 basis points of net committed capital for infrastructure co-investments and direct asset management investments, respectively; 65 basis points of net asset value for private debt; 200 basis points of net invested capital for the StepStone VC Platform.</w:t>
      </w:r>
    </w:p>
    <w:p>
      <w:pPr>
        <w:ind w:left="1015" w:right="380" w:hanging="506"/>
        <w:spacing w:after="0" w:line="253" w:lineRule="auto"/>
        <w:tabs>
          <w:tab w:leader="none" w:pos="1003"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assess 5 basis points of capital commitments for fund expenses, charged quarterly, and 1 basis point of capital commitments drawn down in the first cash flow quarter for organizational costs.</w:t>
      </w:r>
    </w:p>
    <w:p>
      <w:pPr>
        <w:ind w:left="1015" w:right="40" w:hanging="506"/>
        <w:spacing w:after="0" w:line="253" w:lineRule="auto"/>
        <w:tabs>
          <w:tab w:leader="none" w:pos="1006"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ind w:left="515"/>
        <w:spacing w:after="0"/>
        <w:rPr>
          <w:sz w:val="20"/>
          <w:szCs w:val="20"/>
          <w:color w:val="auto"/>
        </w:rPr>
      </w:pPr>
      <w:r>
        <w:rPr>
          <w:rFonts w:ascii="Times New Roman" w:cs="Times New Roman" w:eastAsia="Times New Roman" w:hAnsi="Times New Roman"/>
          <w:sz w:val="14"/>
          <w:szCs w:val="14"/>
          <w:color w:val="auto"/>
        </w:rPr>
        <w:t>Net IRR and Net TVM for certain investments may have been impacted by StepStone’s, or the underlying fund manager’s, use of subscription backed credit facilities by such vehicles.</w:t>
      </w:r>
    </w:p>
    <w:p>
      <w:pPr>
        <w:spacing w:after="0" w:line="9"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4"/>
          <w:szCs w:val="14"/>
          <w:color w:val="auto"/>
        </w:rPr>
        <w:t>Reinvested/recycled amounts increase contributed capital.</w:t>
      </w:r>
    </w:p>
    <w:p>
      <w:pPr>
        <w:spacing w:after="0" w:line="9" w:lineRule="exact"/>
        <w:rPr>
          <w:sz w:val="20"/>
          <w:szCs w:val="20"/>
          <w:color w:val="auto"/>
        </w:rPr>
      </w:pPr>
    </w:p>
    <w:p>
      <w:pPr>
        <w:jc w:val="both"/>
        <w:ind w:left="515" w:right="20" w:hanging="515"/>
        <w:spacing w:after="0" w:line="253" w:lineRule="auto"/>
        <w:tabs>
          <w:tab w:leader="none" w:pos="5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ind w:left="515" w:right="60" w:hanging="515"/>
        <w:spacing w:after="0" w:line="253" w:lineRule="auto"/>
        <w:tabs>
          <w:tab w:leader="none" w:pos="5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includes 509 investments totaling $91.2 billion of capital commitments and excludes (i) 100 client-directed real estate investments, totaling $16.8 billion of capital commitments, (ii) 19 secondary/co-investment core/core+ or credit investments, totaling $1.1 billion of capital commitments, (iii) four advisory fund investments totaling $463.6 million of capital commitments, and (iv) investments that do not have client data monitored in SPI Reporting.</w:t>
      </w:r>
    </w:p>
    <w:p>
      <w:pPr>
        <w:ind w:left="515" w:right="140" w:hanging="515"/>
        <w:spacing w:after="0" w:line="253" w:lineRule="auto"/>
        <w:tabs>
          <w:tab w:leader="none" w:pos="5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includes 332 investments totaling $69.9 billion of capital commitments and excludes (i) eight infrastructure investments made by the Partnership prior to the formation of the infrastructure subsidiary in 2013 or made prior to StepStone’s acquisition of Courtland Partners, Ltd. on April 1, 2018 (the “Courtland acquisition”), totaling $501.9 million of capital commitments, (ii) 46 client-directed infrastructure investments, totaling $11.0 billion of capital commitments, and (iii) investments that do not have client data monitored in SPI Reporting.</w:t>
      </w:r>
    </w:p>
    <w:p>
      <w:pPr>
        <w:ind w:left="495" w:hanging="495"/>
        <w:spacing w:after="0"/>
        <w:tabs>
          <w:tab w:leader="none" w:pos="49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Co-investments include venture capital and growth equity direct investments for private equity.</w:t>
      </w:r>
    </w:p>
    <w:p>
      <w:pPr>
        <w:spacing w:after="0" w:line="8" w:lineRule="exact"/>
        <w:rPr>
          <w:rFonts w:ascii="Times New Roman" w:cs="Times New Roman" w:eastAsia="Times New Roman" w:hAnsi="Times New Roman"/>
          <w:sz w:val="14"/>
          <w:szCs w:val="14"/>
          <w:color w:val="auto"/>
        </w:rPr>
      </w:pPr>
    </w:p>
    <w:p>
      <w:pPr>
        <w:ind w:left="495" w:hanging="495"/>
        <w:spacing w:after="0"/>
        <w:tabs>
          <w:tab w:leader="none" w:pos="49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debt includes 1,764 investments totaling $66.8 billion of capital commitments and excludes (i) 48 client-directed debt investments, totaling $4.3 billion of capital commitments, (ii)</w:t>
      </w:r>
    </w:p>
    <w:p>
      <w:pPr>
        <w:spacing w:after="0" w:line="8" w:lineRule="exact"/>
        <w:rPr>
          <w:rFonts w:ascii="Times New Roman" w:cs="Times New Roman" w:eastAsia="Times New Roman" w:hAnsi="Times New Roman"/>
          <w:sz w:val="14"/>
          <w:szCs w:val="14"/>
          <w:color w:val="auto"/>
        </w:rPr>
      </w:pPr>
    </w:p>
    <w:p>
      <w:pPr>
        <w:ind w:left="515"/>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real estate credit investments that were recommended by Courtland Partners, Ltd. prior to the Courtland acquisition, totaling $5.1 billion of capital commitments, and (iii) investments that do not have client data monitored in SPI Reporting. *Net IRRs are not aggregated and shown for customized managed accounts (which include capacity-negotiated GP co-investment accounts and GP primary managed accounts) totaling $35.1 billion of committed capital, as the investment objective of those investments are customized to the respective client’s investment target on multiple-on-committed-capital (“MOCC”) and can differ significantly.</w:t>
      </w:r>
    </w:p>
    <w:p>
      <w:pPr>
        <w:spacing w:after="0" w:line="200" w:lineRule="exact"/>
        <w:rPr>
          <w:sz w:val="20"/>
          <w:szCs w:val="20"/>
          <w:color w:val="auto"/>
        </w:rPr>
      </w:pPr>
    </w:p>
    <w:p>
      <w:pPr>
        <w:spacing w:after="0" w:line="21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55"/>
          </w:cols>
          <w:pgMar w:left="305" w:top="144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Sources and Uses of Liquidity</w:t>
      </w:r>
    </w:p>
    <w:p>
      <w:pPr>
        <w:spacing w:after="0" w:line="168" w:lineRule="exact"/>
        <w:rPr>
          <w:sz w:val="20"/>
          <w:szCs w:val="20"/>
          <w:color w:val="auto"/>
        </w:rPr>
      </w:pPr>
    </w:p>
    <w:p>
      <w:pPr>
        <w:ind w:right="220" w:firstLine="509"/>
        <w:spacing w:after="0" w:line="252" w:lineRule="auto"/>
        <w:rPr>
          <w:sz w:val="20"/>
          <w:szCs w:val="20"/>
          <w:color w:val="auto"/>
        </w:rPr>
      </w:pPr>
      <w:r>
        <w:rPr>
          <w:rFonts w:ascii="Times New Roman" w:cs="Times New Roman" w:eastAsia="Times New Roman" w:hAnsi="Times New Roman"/>
          <w:sz w:val="16"/>
          <w:szCs w:val="16"/>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senior note issuances and other borrowing arrangements, (d) funding capital commitments to our funds, and (e) funding our growth initiatives, including capital expenditures for property, equipment, and acquisitions to expand into new businesses.</w:t>
      </w:r>
    </w:p>
    <w:p>
      <w:pPr>
        <w:spacing w:after="0" w:line="150" w:lineRule="exact"/>
        <w:rPr>
          <w:sz w:val="20"/>
          <w:szCs w:val="20"/>
          <w:color w:val="auto"/>
        </w:rPr>
      </w:pPr>
    </w:p>
    <w:p>
      <w:pPr>
        <w:ind w:right="440" w:firstLine="509"/>
        <w:spacing w:after="0" w:line="254" w:lineRule="auto"/>
        <w:rPr>
          <w:sz w:val="20"/>
          <w:szCs w:val="20"/>
          <w:color w:val="auto"/>
        </w:rPr>
      </w:pPr>
      <w:r>
        <w:rPr>
          <w:rFonts w:ascii="Times New Roman" w:cs="Times New Roman" w:eastAsia="Times New Roman" w:hAnsi="Times New Roman"/>
          <w:sz w:val="16"/>
          <w:szCs w:val="16"/>
          <w:color w:val="auto"/>
        </w:rPr>
        <w:t>As of December 31, 2025, we had $266.6 million of cash, cash equivalents and restricted cash ($378.0 million including Consolidated Funds) and $2,128.9 million of investments in StepStone Funds, including $1,835.9 million of accrued carried interest allocations, against $270.2 million in debt obligations, net of debt issuance costs, and $960.5 million in accrued carried interest-related compensation payable.</w:t>
      </w:r>
    </w:p>
    <w:p>
      <w:pPr>
        <w:spacing w:after="0" w:line="137" w:lineRule="exact"/>
        <w:rPr>
          <w:sz w:val="20"/>
          <w:szCs w:val="20"/>
          <w:color w:val="auto"/>
        </w:rPr>
      </w:pPr>
    </w:p>
    <w:p>
      <w:pPr>
        <w:ind w:right="60" w:firstLine="509"/>
        <w:spacing w:after="0" w:line="296" w:lineRule="auto"/>
        <w:rPr>
          <w:sz w:val="20"/>
          <w:szCs w:val="20"/>
          <w:color w:val="auto"/>
        </w:rPr>
      </w:pPr>
      <w:r>
        <w:rPr>
          <w:rFonts w:ascii="Times New Roman" w:cs="Times New Roman" w:eastAsia="Times New Roman" w:hAnsi="Times New Roman"/>
          <w:sz w:val="14"/>
          <w:szCs w:val="14"/>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ability to meet our liquidity and capital resources requirements for the next 12 months through cash flows from operating activities, existing cash and cash equivalents, and our ability to obtain future financing.</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79" w:lineRule="exact"/>
        <w:rPr>
          <w:sz w:val="20"/>
          <w:szCs w:val="20"/>
          <w:color w:val="auto"/>
        </w:rPr>
      </w:pPr>
    </w:p>
    <w:p>
      <w:pPr>
        <w:ind w:right="220" w:firstLine="509"/>
        <w:spacing w:after="0" w:line="252" w:lineRule="auto"/>
        <w:rPr>
          <w:sz w:val="20"/>
          <w:szCs w:val="20"/>
          <w:color w:val="auto"/>
        </w:rPr>
      </w:pPr>
      <w:r>
        <w:rPr>
          <w:rFonts w:ascii="Times New Roman" w:cs="Times New Roman" w:eastAsia="Times New Roman" w:hAnsi="Times New Roman"/>
          <w:sz w:val="16"/>
          <w:szCs w:val="16"/>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our cash flows attributable to operating, investing and financing activities: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7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131,451</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(36,671)</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6"/>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88,212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Operating activities provided $89.7 million and $131.5 million of cash for the nine months ended December 31, 2025 and 2024, respectively. For the nine months ended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2024, respectively, these amounts primarily consisted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81" w:name="page82"/>
    <w:bookmarkEnd w:id="81"/>
    <w:p>
      <w:pPr>
        <w:ind w:left="760" w:hanging="246"/>
        <w:spacing w:after="0" w:line="254" w:lineRule="auto"/>
        <w:tabs>
          <w:tab w:leader="none" w:pos="75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after adjustments for non-cash items (including unrealized mark-to-market changes in the fair value of the profits interests issued in the private wealth subsidiary, unrealized carried interest allocations, unrealized performance fee-related compensation, unrealized investment (income) loss and fair value adjustment for acquisition-related contingent consideration), of $388.1 million and $293.0 million;</w:t>
      </w:r>
    </w:p>
    <w:p>
      <w:pPr>
        <w:spacing w:after="0" w:line="147"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change in operating assets and liabilities of $9.8 million and $27.3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unrealized investment income from Consolidated Funds of $87.5 million and $28.1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purchases of investments of Consolidated Funds of $225.9 million and $160.5 million; and</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change in operating assets and liabilities of Consolidated Funds of $5.2 million and $(0.2) million.</w:t>
      </w:r>
    </w:p>
    <w:p>
      <w:pPr>
        <w:spacing w:after="0" w:line="200" w:lineRule="exact"/>
        <w:rPr>
          <w:sz w:val="20"/>
          <w:szCs w:val="20"/>
          <w:color w:val="auto"/>
        </w:rPr>
      </w:pPr>
    </w:p>
    <w:p>
      <w:pPr>
        <w:spacing w:after="0" w:line="327" w:lineRule="exact"/>
        <w:rPr>
          <w:sz w:val="20"/>
          <w:szCs w:val="20"/>
          <w:color w:val="auto"/>
        </w:rPr>
      </w:pPr>
    </w:p>
    <w:p>
      <w:pPr>
        <w:ind w:right="320" w:firstLine="509"/>
        <w:spacing w:after="0" w:line="259" w:lineRule="auto"/>
        <w:rPr>
          <w:sz w:val="20"/>
          <w:szCs w:val="20"/>
          <w:color w:val="auto"/>
        </w:rPr>
      </w:pPr>
      <w:r>
        <w:rPr>
          <w:rFonts w:ascii="Times New Roman" w:cs="Times New Roman" w:eastAsia="Times New Roman" w:hAnsi="Times New Roman"/>
          <w:sz w:val="16"/>
          <w:szCs w:val="16"/>
          <w:color w:val="auto"/>
        </w:rPr>
        <w:t>Investing activities used $88.8 million and $36.7 million of cash for the nine months ended December 31, 2025 and 2024, respectively, and primarily consisted of the following amounts:</w:t>
      </w:r>
    </w:p>
    <w:p>
      <w:pPr>
        <w:spacing w:after="0" w:line="144" w:lineRule="exact"/>
        <w:rPr>
          <w:sz w:val="20"/>
          <w:szCs w:val="20"/>
          <w:color w:val="auto"/>
        </w:rPr>
      </w:pPr>
    </w:p>
    <w:p>
      <w:pPr>
        <w:ind w:left="760" w:hanging="246"/>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contributions to investments of $35.5 million and $37.8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distributions from investments in legacy Greenspring entities of $0.9 million and $3.6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derecognized from deconsolidation of fund of $52.4 million and $0 million; and</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fixed assets of $1.9 million and $2.4 million.</w:t>
      </w:r>
    </w:p>
    <w:p>
      <w:pPr>
        <w:spacing w:after="0" w:line="200" w:lineRule="exact"/>
        <w:rPr>
          <w:sz w:val="20"/>
          <w:szCs w:val="20"/>
          <w:color w:val="auto"/>
        </w:rPr>
      </w:pPr>
    </w:p>
    <w:p>
      <w:pPr>
        <w:spacing w:after="0" w:line="327"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6"/>
          <w:szCs w:val="16"/>
          <w:color w:val="auto"/>
        </w:rPr>
        <w:t>Financing activities provided $95.2 million and $2.6 million of cash for the nine months ended December 31, 2025 and 2024, respectively, and primarily consisted of the following:</w:t>
      </w:r>
    </w:p>
    <w:p>
      <w:pPr>
        <w:spacing w:after="0" w:line="123" w:lineRule="exact"/>
        <w:rPr>
          <w:sz w:val="20"/>
          <w:szCs w:val="20"/>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repayments on revolving credit facility of $0 million and $150.0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from issuance of notes payable of $0 million and $175.0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financing costs of $0 million and $5.4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from capital contributions from non-controlling interests of $2.2 million and $7.1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non-controlling interests of $125.4 million and $96.9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of non-controlling interests of $10.3 million and $5.4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redemption of redeemable non-controlling interests of $0 million and $13.0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from capital contributions to legacy Greenspring entities of $1.1 million and $19.2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non-controlling interests in legacy Greenspring entities of $4.7 million and $29.6 million;</w:t>
      </w: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436" w:right="479" w:bottom="1440" w:gutter="0" w:footer="0" w:header="0"/>
        </w:sectPr>
      </w:pPr>
    </w:p>
    <w:bookmarkStart w:id="82" w:name="page83"/>
    <w:bookmarkEnd w:id="82"/>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paid to common stockholders of $94.4 million and $57.6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for taxes related to the net settlement of RSUs of $0 million and $1.1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from issuance of Class A common stock under ESPP of $1.7 million and $1.1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to related parties under the Tax Receivable Agreements of $12.6 million and $9.8 million;</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borrowings on fund credit facility of $0 million and $7.9 million;</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contributions from redeemable non-controlling interests in Consolidated Funds of $391.3 million and $169.9 million; and</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redemptions of redeemable non-controlling interests in Consolidated Funds of $53.8 million and $8.8 million.</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Debt Obligations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168" w:lineRule="exact"/>
        <w:rPr>
          <w:sz w:val="20"/>
          <w:szCs w:val="20"/>
          <w:color w:val="auto"/>
        </w:rPr>
      </w:pPr>
    </w:p>
    <w:p>
      <w:pPr>
        <w:ind w:firstLine="509"/>
        <w:spacing w:after="0" w:line="315" w:lineRule="auto"/>
        <w:rPr>
          <w:sz w:val="20"/>
          <w:szCs w:val="20"/>
          <w:color w:val="auto"/>
        </w:rPr>
      </w:pPr>
      <w:r>
        <w:rPr>
          <w:rFonts w:ascii="Times New Roman" w:cs="Times New Roman" w:eastAsia="Times New Roman" w:hAnsi="Times New Roman"/>
          <w:sz w:val="14"/>
          <w:szCs w:val="14"/>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w:t>
      </w:r>
    </w:p>
    <w:p>
      <w:pPr>
        <w:spacing w:after="0" w:line="9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December 31, 2025 was 6.02%.</w:t>
      </w:r>
    </w:p>
    <w:p>
      <w:pPr>
        <w:spacing w:after="0" w:line="12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6"/>
          <w:szCs w:val="16"/>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32"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6"/>
          <w:szCs w:val="16"/>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36" w:right="359" w:bottom="1440" w:gutter="0" w:footer="0" w:header="0"/>
        </w:sectPr>
      </w:pPr>
    </w:p>
    <w:bookmarkStart w:id="83" w:name="page84"/>
    <w:bookmarkEnd w:id="83"/>
    <w:p>
      <w:pPr>
        <w:ind w:right="120" w:firstLine="509"/>
        <w:spacing w:after="0" w:line="273" w:lineRule="auto"/>
        <w:rPr>
          <w:sz w:val="20"/>
          <w:szCs w:val="20"/>
          <w:color w:val="auto"/>
        </w:rPr>
      </w:pPr>
      <w:r>
        <w:rPr>
          <w:rFonts w:ascii="Times New Roman" w:cs="Times New Roman" w:eastAsia="Times New Roman" w:hAnsi="Times New Roman"/>
          <w:sz w:val="16"/>
          <w:szCs w:val="16"/>
          <w:color w:val="auto"/>
        </w:rPr>
        <w:t>We can use available funding capacity under the Revolver to satisfy letters of credit in amounts up to $10.0 million. Amounts used to satisfy the letters of credit reduce the available capacity under the Revolver. As of December 31, 2025, we had outstanding letters of credit totaling $10.1 million.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Senior Notes</w:t>
      </w:r>
    </w:p>
    <w:p>
      <w:pPr>
        <w:spacing w:after="0" w:line="179" w:lineRule="exact"/>
        <w:rPr>
          <w:sz w:val="20"/>
          <w:szCs w:val="20"/>
          <w:color w:val="auto"/>
        </w:rPr>
      </w:pPr>
    </w:p>
    <w:p>
      <w:pPr>
        <w:ind w:right="520" w:firstLine="509"/>
        <w:spacing w:after="0" w:line="259" w:lineRule="auto"/>
        <w:rPr>
          <w:sz w:val="20"/>
          <w:szCs w:val="20"/>
          <w:color w:val="auto"/>
        </w:rPr>
      </w:pPr>
      <w:r>
        <w:rPr>
          <w:rFonts w:ascii="Times New Roman" w:cs="Times New Roman" w:eastAsia="Times New Roman" w:hAnsi="Times New Roman"/>
          <w:sz w:val="16"/>
          <w:szCs w:val="16"/>
          <w:color w:val="auto"/>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spacing w:after="0" w:line="144"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Debt Obligations of Consolidated Funds</w:t>
      </w:r>
    </w:p>
    <w:p>
      <w:pPr>
        <w:spacing w:after="0" w:line="179"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6"/>
          <w:szCs w:val="16"/>
          <w:color w:val="auto"/>
        </w:rPr>
        <w:t>Certain Consolidated Funds may maintain revolving credit facilities that are secured by fund assets to fund investments on a short-term basis. The debt obligations of the Consolidated Funds are non-recourse to us.</w:t>
      </w:r>
    </w:p>
    <w:p>
      <w:pPr>
        <w:spacing w:after="0" w:line="14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December 31, 2025, there were no outstanding borrowings under the Fund Credit Facility.</w:t>
      </w:r>
    </w:p>
    <w:p>
      <w:pPr>
        <w:spacing w:after="0" w:line="14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6"/>
          <w:szCs w:val="16"/>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Debt Covenants</w:t>
      </w:r>
    </w:p>
    <w:p>
      <w:pPr>
        <w:spacing w:after="0" w:line="179"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6"/>
          <w:szCs w:val="16"/>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w:t>
      </w:r>
    </w:p>
    <w:p>
      <w:pPr>
        <w:spacing w:after="0" w:line="140"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6"/>
          <w:szCs w:val="16"/>
          <w:color w:val="auto"/>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6" w:right="339" w:bottom="1440" w:gutter="0" w:footer="0" w:header="0"/>
        </w:sectPr>
      </w:pPr>
    </w:p>
    <w:bookmarkStart w:id="84" w:name="page85"/>
    <w:bookmarkEnd w:id="84"/>
    <w:p>
      <w:pPr>
        <w:ind w:firstLine="509"/>
        <w:spacing w:after="0" w:line="252" w:lineRule="auto"/>
        <w:rPr>
          <w:sz w:val="20"/>
          <w:szCs w:val="20"/>
          <w:color w:val="auto"/>
        </w:rPr>
      </w:pPr>
      <w:r>
        <w:rPr>
          <w:rFonts w:ascii="Times New Roman" w:cs="Times New Roman" w:eastAsia="Times New Roman" w:hAnsi="Times New Roman"/>
          <w:sz w:val="16"/>
          <w:szCs w:val="16"/>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December 31, 2025, we were in compliance with the covenants under our various debt agreements.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Equity Transactions</w:t>
      </w:r>
    </w:p>
    <w:p>
      <w:pPr>
        <w:spacing w:after="0" w:line="17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In June 2025, we issued 152,768 shares of Class A common stock to certain limited partners of the Partnership in exchange for 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15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6"/>
          <w:szCs w:val="16"/>
          <w:color w:val="auto"/>
        </w:rPr>
        <w:t>In September 2025, we issued 370,470 shares of Class A common stock to certain limited partners of the Partnership in exchange for 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us. We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us.</w:t>
      </w:r>
    </w:p>
    <w:p>
      <w:pPr>
        <w:spacing w:after="0" w:line="155" w:lineRule="exact"/>
        <w:rPr>
          <w:sz w:val="20"/>
          <w:szCs w:val="20"/>
          <w:color w:val="auto"/>
        </w:rPr>
      </w:pPr>
    </w:p>
    <w:p>
      <w:pPr>
        <w:ind w:firstLine="509"/>
        <w:spacing w:after="0" w:line="292" w:lineRule="auto"/>
        <w:rPr>
          <w:sz w:val="20"/>
          <w:szCs w:val="20"/>
          <w:color w:val="auto"/>
        </w:rPr>
      </w:pPr>
      <w:r>
        <w:rPr>
          <w:rFonts w:ascii="Times New Roman" w:cs="Times New Roman" w:eastAsia="Times New Roman" w:hAnsi="Times New Roman"/>
          <w:sz w:val="14"/>
          <w:szCs w:val="14"/>
          <w:color w:val="auto"/>
        </w:rPr>
        <w:t>In December 2025, we issued 116,000 shares of Class A common stock to certain limited partners of the Partnership in exchange for 116,000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892,169 shares of Class A common stock to certain limited partners of the Partnership in exchange for 892,169 Class D units of the Partnership in accordance with the elective exchange notices submitted pursuant to the Class D Exchange Agreement, and a corresponding number of Class A units of the Partnership were issued to us.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Future Sources and Uses of Liquidity</w:t>
      </w:r>
    </w:p>
    <w:p>
      <w:pPr>
        <w:spacing w:after="0" w:line="168" w:lineRule="exact"/>
        <w:rPr>
          <w:sz w:val="20"/>
          <w:szCs w:val="20"/>
          <w:color w:val="auto"/>
        </w:rPr>
      </w:pPr>
    </w:p>
    <w:p>
      <w:pPr>
        <w:ind w:right="220" w:firstLine="509"/>
        <w:spacing w:after="0" w:line="346" w:lineRule="auto"/>
        <w:rPr>
          <w:sz w:val="20"/>
          <w:szCs w:val="20"/>
          <w:color w:val="auto"/>
        </w:rPr>
      </w:pPr>
      <w:r>
        <w:rPr>
          <w:rFonts w:ascii="Times New Roman" w:cs="Times New Roman" w:eastAsia="Times New Roman" w:hAnsi="Times New Roman"/>
          <w:sz w:val="14"/>
          <w:szCs w:val="14"/>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6" w:right="339" w:bottom="1440" w:gutter="0" w:footer="0" w:header="0"/>
        </w:sectPr>
      </w:pPr>
    </w:p>
    <w:bookmarkStart w:id="85" w:name="page86"/>
    <w:bookmarkEnd w:id="85"/>
    <w:p>
      <w:pPr>
        <w:ind w:left="520"/>
        <w:spacing w:after="0"/>
        <w:rPr>
          <w:sz w:val="20"/>
          <w:szCs w:val="20"/>
          <w:color w:val="auto"/>
        </w:rPr>
      </w:pPr>
      <w:r>
        <w:rPr>
          <w:rFonts w:ascii="Times New Roman" w:cs="Times New Roman" w:eastAsia="Times New Roman" w:hAnsi="Times New Roman"/>
          <w:sz w:val="16"/>
          <w:szCs w:val="16"/>
          <w:i w:val="1"/>
          <w:iCs w:val="1"/>
          <w:color w:val="auto"/>
        </w:rPr>
        <w:t>Dividend and Distribution Policy</w:t>
      </w:r>
    </w:p>
    <w:p>
      <w:pPr>
        <w:spacing w:after="0" w:line="179" w:lineRule="exact"/>
        <w:rPr>
          <w:sz w:val="20"/>
          <w:szCs w:val="20"/>
          <w:color w:val="auto"/>
        </w:rPr>
      </w:pPr>
    </w:p>
    <w:p>
      <w:pPr>
        <w:ind w:right="280" w:firstLine="509"/>
        <w:spacing w:after="0" w:line="259" w:lineRule="auto"/>
        <w:rPr>
          <w:sz w:val="20"/>
          <w:szCs w:val="20"/>
          <w:color w:val="auto"/>
        </w:rPr>
      </w:pPr>
      <w:r>
        <w:rPr>
          <w:rFonts w:ascii="Times New Roman" w:cs="Times New Roman" w:eastAsia="Times New Roman" w:hAnsi="Times New Roman"/>
          <w:sz w:val="16"/>
          <w:szCs w:val="16"/>
          <w:color w:val="auto"/>
        </w:rPr>
        <w:t>On February 5, 2026, we announced a dividend of $0.28 per share of Class A common stock, payable on March 13, 2026 to holders of record at the close of business on February 27, 2026.</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information regarding cash quarterly dividends on Class A common shares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Quarterly Fiscal Period</w:t>
            </w:r>
            <w:r>
              <w:rPr>
                <w:rFonts w:ascii="Times New Roman" w:cs="Times New Roman" w:eastAsia="Times New Roman" w:hAnsi="Times New Roman"/>
                <w:sz w:val="18"/>
                <w:szCs w:val="18"/>
                <w:b w:val="1"/>
                <w:bCs w:val="1"/>
                <w:color w:val="auto"/>
                <w:vertAlign w:val="superscript"/>
              </w:rPr>
              <w:t>1</w:t>
            </w:r>
          </w:p>
        </w:tc>
        <w:tc>
          <w:tcPr>
            <w:tcW w:w="3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Dividend Payment Date</w:t>
            </w:r>
          </w:p>
        </w:tc>
        <w:tc>
          <w:tcPr>
            <w:tcW w:w="260" w:type="dxa"/>
            <w:vAlign w:val="bottom"/>
          </w:tcPr>
          <w:p>
            <w:pPr>
              <w:spacing w:after="0"/>
              <w:rPr>
                <w:sz w:val="17"/>
                <w:szCs w:val="17"/>
                <w:color w:val="auto"/>
              </w:rPr>
            </w:pPr>
          </w:p>
        </w:tc>
        <w:tc>
          <w:tcPr>
            <w:tcW w:w="34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Dividend Per Share of Class A Common Stock</w:t>
            </w:r>
          </w:p>
        </w:tc>
      </w:tr>
      <w:tr>
        <w:trPr>
          <w:trHeight w:val="171"/>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First quarter</w:t>
            </w:r>
          </w:p>
        </w:tc>
        <w:tc>
          <w:tcPr>
            <w:tcW w:w="140" w:type="dxa"/>
            <w:vAlign w:val="bottom"/>
            <w:tcBorders>
              <w:top w:val="single" w:sz="8" w:color="CCEEFF"/>
            </w:tcBorders>
            <w:shd w:val="clear" w:color="auto" w:fill="CCEEFF"/>
          </w:tcPr>
          <w:p>
            <w:pPr>
              <w:spacing w:after="0"/>
              <w:rPr>
                <w:sz w:val="14"/>
                <w:szCs w:val="14"/>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28, 2024</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180"/>
        </w:trPr>
        <w:tc>
          <w:tcPr>
            <w:tcW w:w="380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4"/>
                <w:szCs w:val="14"/>
                <w:color w:val="auto"/>
                <w:w w:val="98"/>
              </w:rPr>
              <w:t>Supplemental</w:t>
            </w:r>
            <w:r>
              <w:rPr>
                <w:rFonts w:ascii="Times New Roman" w:cs="Times New Roman" w:eastAsia="Times New Roman" w:hAnsi="Times New Roman"/>
                <w:sz w:val="18"/>
                <w:szCs w:val="18"/>
                <w:color w:val="auto"/>
                <w:w w:val="98"/>
                <w:vertAlign w:val="superscript"/>
              </w:rPr>
              <w:t>2</w:t>
            </w:r>
          </w:p>
        </w:tc>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June 28, 2024</w:t>
            </w:r>
          </w:p>
        </w:tc>
        <w:tc>
          <w:tcPr>
            <w:tcW w:w="260" w:type="dxa"/>
            <w:vAlign w:val="bottom"/>
          </w:tcPr>
          <w:p>
            <w:pPr>
              <w:spacing w:after="0"/>
              <w:rPr>
                <w:sz w:val="15"/>
                <w:szCs w:val="15"/>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r>
      <w:tr>
        <w:trPr>
          <w:trHeight w:val="180"/>
        </w:trPr>
        <w:tc>
          <w:tcPr>
            <w:tcW w:w="3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Second quarter</w:t>
            </w:r>
          </w:p>
        </w:tc>
        <w:tc>
          <w:tcPr>
            <w:tcW w:w="3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September 13, 2024</w:t>
            </w:r>
          </w:p>
        </w:tc>
        <w:tc>
          <w:tcPr>
            <w:tcW w:w="260" w:type="dxa"/>
            <w:vAlign w:val="bottom"/>
            <w:shd w:val="clear" w:color="auto" w:fill="CCEEFF"/>
          </w:tcPr>
          <w:p>
            <w:pPr>
              <w:spacing w:after="0"/>
              <w:rPr>
                <w:sz w:val="15"/>
                <w:szCs w:val="15"/>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80"/>
        </w:trPr>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Third quarter</w:t>
            </w:r>
          </w:p>
        </w:tc>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December 13, 2024</w:t>
            </w:r>
          </w:p>
        </w:tc>
        <w:tc>
          <w:tcPr>
            <w:tcW w:w="260" w:type="dxa"/>
            <w:vAlign w:val="bottom"/>
          </w:tcPr>
          <w:p>
            <w:pPr>
              <w:spacing w:after="0"/>
              <w:rPr>
                <w:sz w:val="15"/>
                <w:szCs w:val="15"/>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80"/>
        </w:trPr>
        <w:tc>
          <w:tcPr>
            <w:tcW w:w="3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Fourth quarter</w:t>
            </w:r>
          </w:p>
        </w:tc>
        <w:tc>
          <w:tcPr>
            <w:tcW w:w="3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March 15, 2025</w:t>
            </w:r>
          </w:p>
        </w:tc>
        <w:tc>
          <w:tcPr>
            <w:tcW w:w="260" w:type="dxa"/>
            <w:vAlign w:val="bottom"/>
            <w:tcBorders>
              <w:bottom w:val="single" w:sz="8" w:color="auto"/>
            </w:tcBorders>
            <w:shd w:val="clear" w:color="auto" w:fill="CCEEFF"/>
          </w:tcPr>
          <w:p>
            <w:pPr>
              <w:spacing w:after="0"/>
              <w:rPr>
                <w:sz w:val="15"/>
                <w:szCs w:val="15"/>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71"/>
        </w:trPr>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Total dividends paid in FY2025</w:t>
            </w: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r>
        <w:trPr>
          <w:trHeight w:val="173"/>
        </w:trPr>
        <w:tc>
          <w:tcPr>
            <w:tcW w:w="3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r>
      <w:tr>
        <w:trPr>
          <w:trHeight w:val="180"/>
        </w:trPr>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First quarter</w:t>
            </w:r>
          </w:p>
        </w:tc>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June 30, 2025</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80"/>
        </w:trPr>
        <w:tc>
          <w:tcPr>
            <w:tcW w:w="3800" w:type="dxa"/>
            <w:vAlign w:val="bottom"/>
            <w:gridSpan w:val="2"/>
            <w:shd w:val="clear" w:color="auto" w:fill="CCEEFF"/>
          </w:tcPr>
          <w:p>
            <w:pPr>
              <w:jc w:val="center"/>
              <w:ind w:right="140"/>
              <w:spacing w:after="0" w:line="181" w:lineRule="exact"/>
              <w:rPr>
                <w:sz w:val="20"/>
                <w:szCs w:val="20"/>
                <w:color w:val="auto"/>
              </w:rPr>
            </w:pPr>
            <w:r>
              <w:rPr>
                <w:rFonts w:ascii="Times New Roman" w:cs="Times New Roman" w:eastAsia="Times New Roman" w:hAnsi="Times New Roman"/>
                <w:sz w:val="14"/>
                <w:szCs w:val="14"/>
                <w:color w:val="auto"/>
                <w:w w:val="98"/>
              </w:rPr>
              <w:t>Supplemental</w:t>
            </w:r>
            <w:r>
              <w:rPr>
                <w:rFonts w:ascii="Times New Roman" w:cs="Times New Roman" w:eastAsia="Times New Roman" w:hAnsi="Times New Roman"/>
                <w:sz w:val="18"/>
                <w:szCs w:val="18"/>
                <w:color w:val="auto"/>
                <w:w w:val="98"/>
                <w:vertAlign w:val="superscript"/>
              </w:rPr>
              <w:t>2</w:t>
            </w:r>
          </w:p>
        </w:tc>
        <w:tc>
          <w:tcPr>
            <w:tcW w:w="3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June 30, 2025</w:t>
            </w:r>
          </w:p>
        </w:tc>
        <w:tc>
          <w:tcPr>
            <w:tcW w:w="260" w:type="dxa"/>
            <w:vAlign w:val="bottom"/>
            <w:shd w:val="clear" w:color="auto" w:fill="CCEEFF"/>
          </w:tcPr>
          <w:p>
            <w:pPr>
              <w:spacing w:after="0"/>
              <w:rPr>
                <w:sz w:val="15"/>
                <w:szCs w:val="15"/>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r>
      <w:tr>
        <w:trPr>
          <w:trHeight w:val="180"/>
        </w:trPr>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Second quarter</w:t>
            </w:r>
          </w:p>
        </w:tc>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September 15, 2025</w:t>
            </w:r>
          </w:p>
        </w:tc>
        <w:tc>
          <w:tcPr>
            <w:tcW w:w="260" w:type="dxa"/>
            <w:vAlign w:val="bottom"/>
          </w:tcPr>
          <w:p>
            <w:pPr>
              <w:spacing w:after="0"/>
              <w:rPr>
                <w:sz w:val="15"/>
                <w:szCs w:val="15"/>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180"/>
        </w:trPr>
        <w:tc>
          <w:tcPr>
            <w:tcW w:w="3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Third quarter</w:t>
            </w:r>
          </w:p>
        </w:tc>
        <w:tc>
          <w:tcPr>
            <w:tcW w:w="3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December 15, 2025</w:t>
            </w:r>
          </w:p>
        </w:tc>
        <w:tc>
          <w:tcPr>
            <w:tcW w:w="260" w:type="dxa"/>
            <w:vAlign w:val="bottom"/>
            <w:tcBorders>
              <w:bottom w:val="single" w:sz="8" w:color="auto"/>
            </w:tcBorders>
            <w:shd w:val="clear" w:color="auto" w:fill="CCEEFF"/>
          </w:tcPr>
          <w:p>
            <w:pPr>
              <w:spacing w:after="0"/>
              <w:rPr>
                <w:sz w:val="15"/>
                <w:szCs w:val="15"/>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171"/>
        </w:trPr>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Total dividends paid in FY2026</w:t>
            </w: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5" w:lineRule="exact"/>
        <w:rPr>
          <w:sz w:val="20"/>
          <w:szCs w:val="20"/>
          <w:color w:val="auto"/>
        </w:rPr>
      </w:pPr>
    </w:p>
    <w:p>
      <w:pPr>
        <w:ind w:left="500" w:hanging="495"/>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paid, as reported in this table, relate to the preceding quarterly period in which they were earned.</w:t>
      </w:r>
    </w:p>
    <w:p>
      <w:pPr>
        <w:spacing w:after="0" w:line="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supplemental cash dividend relates to earnings in respect of our full fiscal years 2024 and 2025, respectively.</w:t>
      </w:r>
    </w:p>
    <w:p>
      <w:pPr>
        <w:spacing w:after="0" w:line="160"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6"/>
          <w:szCs w:val="16"/>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Tax Receivable Agreements</w:t>
      </w:r>
    </w:p>
    <w:p>
      <w:pPr>
        <w:spacing w:after="0" w:line="179"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4" w:right="31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6"/>
          <w:szCs w:val="16"/>
          <w:i w:val="1"/>
          <w:iCs w:val="1"/>
          <w:color w:val="auto"/>
        </w:rPr>
        <w:t>Option Agreement Payment</w:t>
      </w:r>
    </w:p>
    <w:p>
      <w:pPr>
        <w:spacing w:after="0" w:line="179" w:lineRule="exact"/>
        <w:rPr>
          <w:sz w:val="20"/>
          <w:szCs w:val="20"/>
          <w:color w:val="auto"/>
        </w:rPr>
      </w:pPr>
    </w:p>
    <w:p>
      <w:pPr>
        <w:ind w:firstLine="509"/>
        <w:spacing w:after="0" w:line="285" w:lineRule="auto"/>
        <w:rPr>
          <w:sz w:val="20"/>
          <w:szCs w:val="20"/>
          <w:color w:val="auto"/>
        </w:rPr>
      </w:pPr>
      <w:r>
        <w:rPr>
          <w:rFonts w:ascii="Times New Roman" w:cs="Times New Roman" w:eastAsia="Times New Roman" w:hAnsi="Times New Roman"/>
          <w:sz w:val="14"/>
          <w:szCs w:val="14"/>
          <w:color w:val="auto"/>
        </w:rPr>
        <w:t>In November 2022, we entered into arrangements with the SPW management team (the “Private Wealth Transaction”) under which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December 31, 2025, based on the fair value of the liability classified awards, the estimated minimum and maximum amount of cash that would be potentially payable to settle the liability under the Private Wealth Transaction was $521.0 million and $2,084.1 million, respectively. We believe that we will be able to meet the cash requirements for settlement of the liability through our ability to obtain future financing. See note 9 to our condensed consolidated financial statements included elsewhere in this quarterly report for more information. Certain assumptions used in determining the fair value are inherently subjective; therefore, the ultimate settlement amount for the liability classified awards may differ materially from the current estimate.</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6"/>
          <w:szCs w:val="16"/>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79"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4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6"/>
          <w:szCs w:val="16"/>
          <w:color w:val="auto"/>
        </w:rPr>
        <w:t>See note 2 to our condensed consolidated financial statements included elsewhere in this quarterly report, and note 2 to our audited consolidated financial statements in our Form 10-K for the year ended March 31, 2025 for a summary of our significant accounting policies.</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Recent Accounting Developments</w:t>
      </w:r>
    </w:p>
    <w:p>
      <w:pPr>
        <w:spacing w:after="0" w:line="168"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6"/>
          <w:szCs w:val="16"/>
          <w:color w:val="auto"/>
        </w:rPr>
        <w:t>Information regarding recent accounting developments and their effects to us can be found in note 2 to our condensed consolidated financial statements included elsewhere in this quarterly report.</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434" w:right="37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7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6"/>
          <w:szCs w:val="16"/>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179"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6"/>
          <w:szCs w:val="16"/>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44"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Our management fee and advisory fee revenues have historically been only marginally affected by changes in investment values because our management fees are generally based on commitments or net invested capital and our advisory fees are fixed. For the last twelve months ended December 31, 2025 and March 31, 2025, NAV-based management fees represented approximately 21% and 14%, respectively, of total net management and advisory fees. The increase in the proportion of NAV-based management fees relative to total net management and advisory fees is due, in large part, to growth of our private wealth funds, which have higher average contractual fee rates that are based on NAV. We estimate that a 10% decline in market values of the investments held in our funds as of December 31, 2025 and March 31, 2025, would result in an approximate decrease to annual management fees of $18.0 million and $11.2 million, respectively.</w:t>
      </w:r>
    </w:p>
    <w:p>
      <w:pPr>
        <w:spacing w:after="0" w:line="143"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33" w:lineRule="exact"/>
        <w:rPr>
          <w:sz w:val="20"/>
          <w:szCs w:val="20"/>
          <w:color w:val="auto"/>
        </w:rPr>
      </w:pPr>
    </w:p>
    <w:p>
      <w:pPr>
        <w:jc w:val="both"/>
        <w:ind w:left="520" w:right="400" w:hanging="260"/>
        <w:spacing w:after="0" w:line="247" w:lineRule="auto"/>
        <w:tabs>
          <w:tab w:leader="none" w:pos="51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December 31, 2025 and March 31, 2025, we had $21.4 million and $22.3 million of deferred incentive fee revenue recorded in accounts payable, accrued expenses and other liabilities in the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88" w:name="page89"/>
    <w:bookmarkEnd w:id="88"/>
    <w:p>
      <w:pPr>
        <w:ind w:left="520" w:hanging="260"/>
        <w:spacing w:after="0" w:line="246" w:lineRule="auto"/>
        <w:tabs>
          <w:tab w:leader="none" w:pos="51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is paid to employees as carried interest-related compensation, the overall net impact to our income would be mitigated by lower compensation payments. As of December 31, 2025, and March 31, 2025, the maximum amount of carried interest allocations (excluding legacy Greenspring carried interest allocations) subject to contingent repayment, net of tax, was an estimated $419.6 million and $355.0 million, respectively, assuming the fair value of all investments was zero, a possibility that we view as remote. The primary driver for the change in the contingent repayment between periods is due to additional carried interest allocation realizations in fiscal 2026 that are potentially subject to clawback.</w:t>
      </w:r>
    </w:p>
    <w:p>
      <w:pPr>
        <w:spacing w:after="0" w:line="145" w:lineRule="exact"/>
        <w:rPr>
          <w:rFonts w:ascii="Times New Roman" w:cs="Times New Roman" w:eastAsia="Times New Roman" w:hAnsi="Times New Roman"/>
          <w:sz w:val="16"/>
          <w:szCs w:val="16"/>
          <w:color w:val="auto"/>
        </w:rPr>
      </w:pPr>
    </w:p>
    <w:p>
      <w:pPr>
        <w:ind w:left="520" w:hanging="260"/>
        <w:spacing w:after="0" w:line="252" w:lineRule="auto"/>
        <w:tabs>
          <w:tab w:leader="none" w:pos="51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December 31, 2025 and March 31, 2025, we estimate that a 10% decline in fair value of the investments in funds would result in a decrease in investment income of $29.3 million and $18.4 million, respectively.</w:t>
      </w:r>
    </w:p>
    <w:p>
      <w:pPr>
        <w:spacing w:after="0" w:line="148"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Exchange Rate Risk</w:t>
      </w:r>
    </w:p>
    <w:p>
      <w:pPr>
        <w:spacing w:after="0" w:line="168" w:lineRule="exact"/>
        <w:rPr>
          <w:sz w:val="20"/>
          <w:szCs w:val="20"/>
          <w:color w:val="auto"/>
        </w:rPr>
      </w:pPr>
    </w:p>
    <w:p>
      <w:pPr>
        <w:ind w:right="220" w:firstLine="509"/>
        <w:spacing w:after="0" w:line="252" w:lineRule="auto"/>
        <w:rPr>
          <w:sz w:val="20"/>
          <w:szCs w:val="20"/>
          <w:color w:val="auto"/>
        </w:rPr>
      </w:pPr>
      <w:r>
        <w:rPr>
          <w:rFonts w:ascii="Times New Roman" w:cs="Times New Roman" w:eastAsia="Times New Roman" w:hAnsi="Times New Roman"/>
          <w:sz w:val="16"/>
          <w:szCs w:val="16"/>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4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6"/>
          <w:szCs w:val="16"/>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68" w:lineRule="exact"/>
        <w:rPr>
          <w:sz w:val="20"/>
          <w:szCs w:val="20"/>
          <w:color w:val="auto"/>
        </w:rPr>
      </w:pPr>
    </w:p>
    <w:p>
      <w:pPr>
        <w:ind w:right="140" w:firstLine="509"/>
        <w:spacing w:after="0" w:line="251" w:lineRule="auto"/>
        <w:rPr>
          <w:sz w:val="20"/>
          <w:szCs w:val="20"/>
          <w:color w:val="auto"/>
        </w:rPr>
      </w:pPr>
      <w:r>
        <w:rPr>
          <w:rFonts w:ascii="Times New Roman" w:cs="Times New Roman" w:eastAsia="Times New Roman" w:hAnsi="Times New Roman"/>
          <w:sz w:val="16"/>
          <w:szCs w:val="16"/>
          <w:color w:val="auto"/>
        </w:rPr>
        <w:t>As of December 31, 2025 and March 31, 2025, we had $175.0 million outstanding under our Notes and $100.0 million in borrowings outstanding under our Revolver. The Revolver accrues interest at a variable rate and the Notes accrue interest at a fixed rate of 5.52%. As of December 31, 2025 and March 31, 2025, we estimate that interest expense would increase by $2.8 million on an annualized basis as a result of a 100 basis point increase in interest rates. Based on the $266.6 million and $245.3 million of cash, cash equivalents and restricted cash (excluding Consolidated Funds) as of December 31, 2025 and March 31, 2025, we estimate that interest income would increase by $2.7 million and $2.5 million, respectively, on an annualized basis as a result of a 100 basis point increase in interest rates.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6" w:right="31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7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6"/>
          <w:szCs w:val="16"/>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Disclosure Controls and Procedures</w:t>
      </w:r>
    </w:p>
    <w:p>
      <w:pPr>
        <w:spacing w:after="0" w:line="16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6"/>
          <w:szCs w:val="16"/>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57" w:lineRule="exact"/>
        <w:rPr>
          <w:sz w:val="20"/>
          <w:szCs w:val="20"/>
          <w:color w:val="auto"/>
        </w:rPr>
      </w:pPr>
    </w:p>
    <w:p>
      <w:pPr>
        <w:ind w:right="100" w:firstLine="509"/>
        <w:spacing w:after="0" w:line="290" w:lineRule="auto"/>
        <w:rPr>
          <w:sz w:val="20"/>
          <w:szCs w:val="20"/>
          <w:color w:val="auto"/>
        </w:rPr>
      </w:pPr>
      <w:r>
        <w:rPr>
          <w:rFonts w:ascii="Times New Roman" w:cs="Times New Roman" w:eastAsia="Times New Roman" w:hAnsi="Times New Roman"/>
          <w:sz w:val="14"/>
          <w:szCs w:val="14"/>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79" w:lineRule="exact"/>
        <w:rPr>
          <w:sz w:val="20"/>
          <w:szCs w:val="20"/>
          <w:color w:val="auto"/>
        </w:rPr>
      </w:pPr>
    </w:p>
    <w:p>
      <w:pPr>
        <w:ind w:right="200" w:firstLine="509"/>
        <w:spacing w:after="0" w:line="346"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such term is defined in Rules 13a-15(f) and 15d-15(f) under the Exchange Act) during our most recent quarter ended December 31, 2025, that have materially affected, or are reasonably likely to materially affect, our internal control over financial reporting.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68"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6"/>
          <w:szCs w:val="16"/>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34" w:right="339" w:bottom="1440" w:gutter="0" w:footer="0" w:header="0"/>
        </w:sectPr>
      </w:pPr>
    </w:p>
    <w:bookmarkStart w:id="90" w:name="page91"/>
    <w:bookmarkEnd w:id="90"/>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previously disclosed in Part I, Item 1A of our annual report on Form 10-K for the fiscal year ended March 31,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 Trading Arrangements.</w:t>
      </w:r>
    </w:p>
    <w:p>
      <w:pPr>
        <w:spacing w:after="0" w:line="166"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During the quarter ended December 31, 2025, none of our directors or officers (as defined in Exchange Act Rule 16a-1(f))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434" w:right="59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Pr>
          <w:p>
            <w:pPr>
              <w:spacing w:after="0"/>
              <w:rPr>
                <w:sz w:val="11"/>
                <w:szCs w:val="11"/>
                <w:color w:val="auto"/>
              </w:rPr>
            </w:pPr>
          </w:p>
        </w:tc>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line="139" w:lineRule="exact"/>
              <w:rPr>
                <w:rFonts w:ascii="Times New Roman" w:cs="Times New Roman" w:eastAsia="Times New Roman" w:hAnsi="Times New Roman"/>
                <w:sz w:val="14"/>
                <w:szCs w:val="14"/>
                <w:color w:val="0000FF"/>
                <w:w w:val="79"/>
              </w:rPr>
            </w:pPr>
            <w:hyperlink r:id="rId106">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60" w:type="dxa"/>
            <w:vAlign w:val="bottom"/>
            <w:gridSpan w:val="10"/>
          </w:tcPr>
          <w:p>
            <w:pPr>
              <w:spacing w:after="0" w:line="139"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Restated Certificate of Incorporation of StepStone Group Inc.</w:t>
              </w:r>
            </w:hyperlink>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400"/>
              <w:spacing w:after="0" w:line="139" w:lineRule="exact"/>
              <w:rPr>
                <w:sz w:val="20"/>
                <w:szCs w:val="20"/>
                <w:color w:val="auto"/>
              </w:rPr>
            </w:pPr>
            <w:r>
              <w:rPr>
                <w:rFonts w:ascii="Times New Roman" w:cs="Times New Roman" w:eastAsia="Times New Roman" w:hAnsi="Times New Roman"/>
                <w:sz w:val="14"/>
                <w:szCs w:val="14"/>
                <w:color w:val="auto"/>
              </w:rPr>
              <w:t>3.2</w:t>
            </w:r>
          </w:p>
        </w:tc>
        <w:tc>
          <w:tcPr>
            <w:tcW w:w="1280" w:type="dxa"/>
            <w:vAlign w:val="bottom"/>
          </w:tcPr>
          <w:p>
            <w:pPr>
              <w:jc w:val="center"/>
              <w:ind w:right="49"/>
              <w:spacing w:after="0" w:line="139" w:lineRule="exact"/>
              <w:rPr>
                <w:sz w:val="20"/>
                <w:szCs w:val="20"/>
                <w:color w:val="auto"/>
              </w:rPr>
            </w:pPr>
            <w:r>
              <w:rPr>
                <w:rFonts w:ascii="Times New Roman" w:cs="Times New Roman" w:eastAsia="Times New Roman" w:hAnsi="Times New Roman"/>
                <w:sz w:val="14"/>
                <w:szCs w:val="14"/>
                <w:color w:val="auto"/>
                <w:w w:val="98"/>
              </w:rPr>
              <w:t>9/19/2025</w:t>
            </w:r>
          </w:p>
        </w:tc>
        <w:tc>
          <w:tcPr>
            <w:tcW w:w="1120" w:type="dxa"/>
            <w:vAlign w:val="bottom"/>
          </w:tcPr>
          <w:p>
            <w:pPr>
              <w:jc w:val="center"/>
              <w:ind w:right="29"/>
              <w:spacing w:after="0" w:line="139" w:lineRule="exact"/>
              <w:rPr>
                <w:sz w:val="20"/>
                <w:szCs w:val="20"/>
                <w:color w:val="auto"/>
              </w:rPr>
            </w:pPr>
            <w:r>
              <w:rPr>
                <w:rFonts w:ascii="Times New Roman" w:cs="Times New Roman" w:eastAsia="Times New Roman" w:hAnsi="Times New Roman"/>
                <w:sz w:val="14"/>
                <w:szCs w:val="14"/>
                <w:color w:val="auto"/>
              </w:rPr>
              <w:t>001-39510</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0" w:type="dxa"/>
            <w:vAlign w:val="bottom"/>
          </w:tcPr>
          <w:p>
            <w:pPr>
              <w:spacing w:after="0"/>
              <w:rPr>
                <w:rFonts w:ascii="Times New Roman" w:cs="Times New Roman" w:eastAsia="Times New Roman" w:hAnsi="Times New Roman"/>
                <w:sz w:val="14"/>
                <w:szCs w:val="14"/>
                <w:color w:val="0000FF"/>
                <w:w w:val="79"/>
              </w:rPr>
            </w:pPr>
            <w:hyperlink r:id="rId107">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Amended and Restated Bylaws of StepStone Group Inc.</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3.2</w:t>
            </w:r>
          </w:p>
        </w:tc>
        <w:tc>
          <w:tcPr>
            <w:tcW w:w="12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2/09/2023</w:t>
            </w:r>
          </w:p>
        </w:tc>
        <w:tc>
          <w:tcPr>
            <w:tcW w:w="11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001-39510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46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StepStone Group Inc. Deferred Compensation Plan</w:t>
            </w: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1</w:t>
            </w:r>
          </w:p>
        </w:tc>
        <w:tc>
          <w:tcPr>
            <w:tcW w:w="960" w:type="dxa"/>
            <w:vAlign w:val="bottom"/>
          </w:tcPr>
          <w:p>
            <w:pPr>
              <w:spacing w:after="0"/>
              <w:rPr>
                <w:sz w:val="13"/>
                <w:szCs w:val="13"/>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and Rule 15d-</w:t>
            </w: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464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14(a) of the Securities Exchange Act, as amended</w:t>
            </w: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2</w:t>
            </w:r>
          </w:p>
        </w:tc>
        <w:tc>
          <w:tcPr>
            <w:tcW w:w="960" w:type="dxa"/>
            <w:vAlign w:val="bottom"/>
          </w:tcPr>
          <w:p>
            <w:pPr>
              <w:spacing w:after="0"/>
              <w:rPr>
                <w:sz w:val="14"/>
                <w:szCs w:val="14"/>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and Rule 15d-</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460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14(a) of the Securities Exchange Act, as amended</w:t>
            </w:r>
          </w:p>
        </w:tc>
        <w:tc>
          <w:tcPr>
            <w:tcW w:w="6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1</w:t>
            </w:r>
          </w:p>
        </w:tc>
        <w:tc>
          <w:tcPr>
            <w:tcW w:w="960" w:type="dxa"/>
            <w:vAlign w:val="bottom"/>
          </w:tcPr>
          <w:p>
            <w:pPr>
              <w:spacing w:after="0"/>
              <w:rPr>
                <w:sz w:val="14"/>
                <w:szCs w:val="14"/>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4580" w:type="dxa"/>
            <w:vAlign w:val="bottom"/>
            <w:tcBorders>
              <w:top w:val="single" w:sz="8" w:color="0000FF"/>
            </w:tcBorders>
            <w:gridSpan w:val="7"/>
          </w:tcPr>
          <w:p>
            <w:pPr>
              <w:spacing w:after="0" w:line="107" w:lineRule="exact"/>
              <w:rPr>
                <w:sz w:val="20"/>
                <w:szCs w:val="20"/>
                <w:color w:val="auto"/>
              </w:rPr>
            </w:pPr>
            <w:r>
              <w:rPr>
                <w:rFonts w:ascii="Times New Roman" w:cs="Times New Roman" w:eastAsia="Times New Roman" w:hAnsi="Times New Roman"/>
                <w:sz w:val="12"/>
                <w:szCs w:val="12"/>
                <w:color w:val="0000FF"/>
              </w:rPr>
              <w:t>Oxley Act of 2002</w:t>
            </w:r>
          </w:p>
        </w:tc>
        <w:tc>
          <w:tcPr>
            <w:tcW w:w="80" w:type="dxa"/>
            <w:vAlign w:val="bottom"/>
            <w:gridSpan w:val="3"/>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2</w:t>
            </w:r>
          </w:p>
        </w:tc>
        <w:tc>
          <w:tcPr>
            <w:tcW w:w="960" w:type="dxa"/>
            <w:vAlign w:val="bottom"/>
          </w:tcPr>
          <w:p>
            <w:pPr>
              <w:spacing w:after="0"/>
              <w:rPr>
                <w:sz w:val="14"/>
                <w:szCs w:val="14"/>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0" w:type="dxa"/>
            <w:vAlign w:val="bottom"/>
          </w:tcPr>
          <w:p>
            <w:pPr>
              <w:spacing w:after="0"/>
              <w:rPr>
                <w:sz w:val="10"/>
                <w:szCs w:val="10"/>
                <w:color w:val="auto"/>
              </w:rPr>
            </w:pPr>
          </w:p>
        </w:tc>
        <w:tc>
          <w:tcPr>
            <w:tcW w:w="454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Oxley Act of 2002</w:t>
            </w:r>
          </w:p>
        </w:tc>
        <w:tc>
          <w:tcPr>
            <w:tcW w:w="120" w:type="dxa"/>
            <w:vAlign w:val="bottom"/>
            <w:gridSpan w:val="4"/>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sectPr>
          <w:pgSz w:w="11900" w:h="16838" w:orient="portrait"/>
          <w:cols w:equalWidth="0" w:num="1">
            <w:col w:w="11260"/>
          </w:cols>
          <w:pgMar w:left="320" w:top="1434" w:right="319" w:bottom="1440" w:gutter="0" w:footer="0" w:header="0"/>
        </w:sectPr>
      </w:pPr>
    </w:p>
    <w:p>
      <w:pPr>
        <w:ind w:left="1200" w:right="4180" w:hanging="1190"/>
        <w:spacing w:after="0" w:line="218" w:lineRule="auto"/>
        <w:tabs>
          <w:tab w:leader="none" w:pos="1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our quarterly report on Form 10-Q for the quarter ended December 31, 2025 formatted in Inline XBRL (Extensible Business Reporting Language): (i) the Condensed Consolidated Balance Sheets; (ii) the Condensed Consolidated Statements of Loss; (iii) the Condensed Consolidated Statements of Comprehensive Loss; (iv) the Condensed Consolidated Statements of Stockholders’ Equity; (v) the Condensed Consolidated Statements of Cash Flows; (vi) Notes to Condensed Consolidated Financial Statements; and (vii) Part II, Item 5(c).</w:t>
      </w:r>
    </w:p>
    <w:p>
      <w:pPr>
        <w:spacing w:after="0" w:line="8" w:lineRule="exact"/>
        <w:rPr>
          <w:sz w:val="20"/>
          <w:szCs w:val="20"/>
          <w:color w:val="auto"/>
        </w:rPr>
      </w:pPr>
    </w:p>
    <w:p>
      <w:pPr>
        <w:ind w:left="1200" w:right="4320" w:hanging="1190"/>
        <w:spacing w:after="0" w:line="239" w:lineRule="auto"/>
        <w:tabs>
          <w:tab w:leader="none" w:pos="1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8" w:lineRule="exact"/>
        <w:rPr>
          <w:sz w:val="20"/>
          <w:szCs w:val="20"/>
          <w:color w:val="auto"/>
        </w:rPr>
      </w:pPr>
    </w:p>
    <w:p>
      <w:pPr>
        <w:ind w:left="1200" w:hanging="1190"/>
        <w:spacing w:after="0"/>
        <w:tabs>
          <w:tab w:leader="none" w:pos="1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91" w:lineRule="exact"/>
        <w:rPr>
          <w:sz w:val="20"/>
          <w:szCs w:val="20"/>
          <w:color w:val="auto"/>
        </w:rPr>
      </w:pPr>
    </w:p>
    <w:p>
      <w:pPr>
        <w:sectPr>
          <w:pgSz w:w="11900" w:h="16838" w:orient="portrait"/>
          <w:cols w:equalWidth="0" w:num="2">
            <w:col w:w="9920" w:space="720"/>
            <w:col w:w="620"/>
          </w:cols>
          <w:pgMar w:left="320" w:top="143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158750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434" w:right="319" w:bottom="1440" w:gutter="0" w:footer="0" w:header="0"/>
          <w:type w:val="continuous"/>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 on February 5, 2026</w:t>
      </w:r>
      <w:r>
        <w:rPr>
          <w:rFonts w:ascii="Times New Roman" w:cs="Times New Roman" w:eastAsia="Times New Roman" w:hAnsi="Times New Roman"/>
          <w:sz w:val="16"/>
          <w:szCs w:val="16"/>
          <w:b w:val="1"/>
          <w:bCs w:val="1"/>
          <w:color w:val="auto"/>
        </w:rPr>
        <w:t>.</w:t>
      </w:r>
    </w:p>
    <w:p>
      <w:pPr>
        <w:spacing w:after="0" w:line="1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STEPSTONE GROUP INC.</w:t>
      </w: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16510</wp:posOffset>
            </wp:positionV>
            <wp:extent cx="367157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671570" cy="698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David Y. Park</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1220"/>
          </w:cols>
          <w:pgMar w:left="300" w:top="1434" w:right="379" w:bottom="1440"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ind w:left="103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Scott W. Hart, certify that:</w:t>
      </w:r>
    </w:p>
    <w:p>
      <w:pPr>
        <w:spacing w:after="0" w:line="177"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StepStone Group Inc.;</w:t>
      </w:r>
    </w:p>
    <w:p>
      <w:pPr>
        <w:spacing w:after="0" w:line="166" w:lineRule="exact"/>
        <w:rPr>
          <w:rFonts w:ascii="Times New Roman" w:cs="Times New Roman" w:eastAsia="Times New Roman" w:hAnsi="Times New Roman"/>
          <w:sz w:val="16"/>
          <w:szCs w:val="16"/>
          <w:color w:val="auto"/>
        </w:rPr>
      </w:pPr>
    </w:p>
    <w:p>
      <w:pPr>
        <w:ind w:left="520" w:right="120" w:hanging="260"/>
        <w:spacing w:after="0" w:line="273" w:lineRule="auto"/>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520" w:right="440" w:hanging="260"/>
        <w:spacing w:after="0" w:line="273" w:lineRule="auto"/>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6"/>
          <w:szCs w:val="16"/>
          <w:color w:val="auto"/>
        </w:rPr>
      </w:pPr>
    </w:p>
    <w:p>
      <w:pPr>
        <w:ind w:left="520" w:right="100" w:hanging="260"/>
        <w:spacing w:after="0" w:line="259" w:lineRule="auto"/>
        <w:tabs>
          <w:tab w:leader="none" w:pos="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left="1020" w:right="180" w:hanging="251"/>
        <w:spacing w:after="0" w:line="254" w:lineRule="auto"/>
        <w:tabs>
          <w:tab w:leader="none" w:pos="1011"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6"/>
          <w:szCs w:val="16"/>
          <w:color w:val="auto"/>
        </w:rPr>
      </w:pPr>
    </w:p>
    <w:p>
      <w:pPr>
        <w:ind w:left="1020" w:right="220" w:hanging="251"/>
        <w:spacing w:after="0" w:line="254" w:lineRule="auto"/>
        <w:tabs>
          <w:tab w:leader="none" w:pos="10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6"/>
          <w:szCs w:val="16"/>
          <w:color w:val="auto"/>
        </w:rPr>
      </w:pPr>
    </w:p>
    <w:p>
      <w:pPr>
        <w:ind w:left="1020" w:right="640" w:hanging="251"/>
        <w:spacing w:after="0" w:line="273" w:lineRule="auto"/>
        <w:tabs>
          <w:tab w:leader="none" w:pos="1011"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6"/>
          <w:szCs w:val="16"/>
          <w:color w:val="auto"/>
        </w:rPr>
      </w:pPr>
    </w:p>
    <w:p>
      <w:pPr>
        <w:ind w:left="1020" w:right="300" w:hanging="251"/>
        <w:spacing w:after="0" w:line="259" w:lineRule="auto"/>
        <w:tabs>
          <w:tab w:leader="none" w:pos="10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80"/>
          </w:cols>
          <w:pgMar w:left="300" w:top="120" w:right="319" w:bottom="1440" w:gutter="0" w:footer="0" w:header="0"/>
        </w:sectPr>
      </w:pPr>
    </w:p>
    <w:bookmarkStart w:id="118" w:name="page119"/>
    <w:bookmarkEnd w:id="118"/>
    <w:p>
      <w:pPr>
        <w:ind w:left="1000"/>
        <w:spacing w:after="0"/>
        <w:rPr>
          <w:sz w:val="20"/>
          <w:szCs w:val="20"/>
          <w:color w:val="auto"/>
        </w:rPr>
      </w:pPr>
      <w:r>
        <w:rPr>
          <w:rFonts w:ascii="Times New Roman" w:cs="Times New Roman" w:eastAsia="Times New Roman" w:hAnsi="Times New Roman"/>
          <w:sz w:val="14"/>
          <w:szCs w:val="14"/>
          <w:color w:val="auto"/>
        </w:rPr>
        <w:t>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ind w:left="500" w:right="180" w:hanging="260"/>
        <w:spacing w:after="0" w:line="259" w:lineRule="auto"/>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1000" w:right="180" w:hanging="251"/>
        <w:spacing w:after="0" w:line="259" w:lineRule="auto"/>
        <w:tabs>
          <w:tab w:leader="none" w:pos="99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1000" w:right="420" w:hanging="251"/>
        <w:spacing w:after="0" w:line="273" w:lineRule="auto"/>
        <w:tabs>
          <w:tab w:leader="none" w:pos="100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5, 2026</w:t>
            </w:r>
          </w:p>
        </w:tc>
        <w:tc>
          <w:tcPr>
            <w:tcW w:w="7920" w:type="dxa"/>
            <w:vAlign w:val="bottom"/>
            <w:gridSpan w:val="2"/>
          </w:tcPr>
          <w:p>
            <w:pPr>
              <w:ind w:left="1900"/>
              <w:spacing w:after="0"/>
              <w:rPr>
                <w:sz w:val="20"/>
                <w:szCs w:val="20"/>
                <w:color w:val="auto"/>
              </w:rPr>
            </w:pPr>
            <w:r>
              <w:rPr>
                <w:rFonts w:ascii="Times New Roman" w:cs="Times New Roman" w:eastAsia="Times New Roman" w:hAnsi="Times New Roman"/>
                <w:sz w:val="16"/>
                <w:szCs w:val="16"/>
                <w:color w:val="auto"/>
              </w:rPr>
              <w:t>By: /s/ Scott W. Hart</w:t>
            </w:r>
          </w:p>
        </w:tc>
      </w:tr>
      <w:tr>
        <w:trPr>
          <w:trHeight w:val="188"/>
        </w:trPr>
        <w:tc>
          <w:tcPr>
            <w:tcW w:w="33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Scott W. Hart</w:t>
            </w:r>
          </w:p>
        </w:tc>
      </w:tr>
      <w:tr>
        <w:trPr>
          <w:trHeight w:val="200"/>
        </w:trPr>
        <w:tc>
          <w:tcPr>
            <w:tcW w:w="3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5"/>
        </w:trPr>
        <w:tc>
          <w:tcPr>
            <w:tcW w:w="3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bl>
    <w:p>
      <w:pPr>
        <w:sectPr>
          <w:pgSz w:w="11900" w:h="16838" w:orient="portrait"/>
          <w:cols w:equalWidth="0" w:num="1">
            <w:col w:w="11260"/>
          </w:cols>
          <w:pgMar w:left="320" w:top="1267"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Y. Park, certify that:</w:t>
      </w:r>
    </w:p>
    <w:p>
      <w:pPr>
        <w:spacing w:after="0" w:line="177" w:lineRule="exact"/>
        <w:rPr>
          <w:sz w:val="20"/>
          <w:szCs w:val="20"/>
          <w:color w:val="auto"/>
        </w:rPr>
      </w:pPr>
    </w:p>
    <w:p>
      <w:pPr>
        <w:ind w:left="520" w:hanging="260"/>
        <w:spacing w:after="0"/>
        <w:tabs>
          <w:tab w:leader="none" w:pos="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StepStone Group Inc.;</w:t>
      </w:r>
    </w:p>
    <w:p>
      <w:pPr>
        <w:spacing w:after="0" w:line="166" w:lineRule="exact"/>
        <w:rPr>
          <w:rFonts w:ascii="Times New Roman" w:cs="Times New Roman" w:eastAsia="Times New Roman" w:hAnsi="Times New Roman"/>
          <w:sz w:val="16"/>
          <w:szCs w:val="16"/>
          <w:color w:val="auto"/>
        </w:rPr>
      </w:pPr>
    </w:p>
    <w:p>
      <w:pPr>
        <w:ind w:left="520" w:right="120" w:hanging="260"/>
        <w:spacing w:after="0" w:line="273" w:lineRule="auto"/>
        <w:tabs>
          <w:tab w:leader="none" w:pos="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520" w:right="440" w:hanging="260"/>
        <w:spacing w:after="0" w:line="273" w:lineRule="auto"/>
        <w:tabs>
          <w:tab w:leader="none" w:pos="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6"/>
          <w:szCs w:val="16"/>
          <w:color w:val="auto"/>
        </w:rPr>
      </w:pPr>
    </w:p>
    <w:p>
      <w:pPr>
        <w:ind w:left="520" w:right="100" w:hanging="260"/>
        <w:spacing w:after="0" w:line="259" w:lineRule="auto"/>
        <w:tabs>
          <w:tab w:leader="none" w:pos="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left="1020" w:right="180" w:hanging="251"/>
        <w:spacing w:after="0" w:line="254" w:lineRule="auto"/>
        <w:tabs>
          <w:tab w:leader="none" w:pos="10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6"/>
          <w:szCs w:val="16"/>
          <w:color w:val="auto"/>
        </w:rPr>
      </w:pPr>
    </w:p>
    <w:p>
      <w:pPr>
        <w:ind w:left="1020" w:right="220" w:hanging="251"/>
        <w:spacing w:after="0" w:line="254" w:lineRule="auto"/>
        <w:tabs>
          <w:tab w:leader="none" w:pos="10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6"/>
          <w:szCs w:val="16"/>
          <w:color w:val="auto"/>
        </w:rPr>
      </w:pPr>
    </w:p>
    <w:p>
      <w:pPr>
        <w:ind w:left="1020" w:right="640" w:hanging="251"/>
        <w:spacing w:after="0" w:line="273" w:lineRule="auto"/>
        <w:tabs>
          <w:tab w:leader="none" w:pos="10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6"/>
          <w:szCs w:val="16"/>
          <w:color w:val="auto"/>
        </w:rPr>
      </w:pPr>
    </w:p>
    <w:p>
      <w:pPr>
        <w:ind w:left="1020" w:right="300" w:hanging="251"/>
        <w:spacing w:after="0" w:line="254" w:lineRule="auto"/>
        <w:tabs>
          <w:tab w:leader="none" w:pos="10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80"/>
          </w:cols>
          <w:pgMar w:left="300" w:top="120" w:right="319" w:bottom="1440" w:gutter="0" w:footer="0" w:header="0"/>
        </w:sectPr>
      </w:pPr>
    </w:p>
    <w:bookmarkStart w:id="120" w:name="page121"/>
    <w:bookmarkEnd w:id="120"/>
    <w:p>
      <w:pPr>
        <w:ind w:left="500" w:right="180" w:hanging="260"/>
        <w:spacing w:after="0" w:line="273"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6"/>
          <w:szCs w:val="16"/>
          <w:color w:val="auto"/>
        </w:rPr>
      </w:pPr>
    </w:p>
    <w:p>
      <w:pPr>
        <w:ind w:left="1000" w:right="180" w:hanging="251"/>
        <w:spacing w:after="0" w:line="273" w:lineRule="auto"/>
        <w:tabs>
          <w:tab w:leader="none" w:pos="991"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000" w:right="420" w:hanging="251"/>
        <w:spacing w:after="0" w:line="273" w:lineRule="auto"/>
        <w:tabs>
          <w:tab w:leader="none" w:pos="100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5, 2026</w:t>
            </w:r>
          </w:p>
        </w:tc>
        <w:tc>
          <w:tcPr>
            <w:tcW w:w="7920" w:type="dxa"/>
            <w:vAlign w:val="bottom"/>
            <w:gridSpan w:val="2"/>
          </w:tcPr>
          <w:p>
            <w:pPr>
              <w:ind w:left="1900"/>
              <w:spacing w:after="0"/>
              <w:rPr>
                <w:sz w:val="20"/>
                <w:szCs w:val="20"/>
                <w:color w:val="auto"/>
              </w:rPr>
            </w:pPr>
            <w:r>
              <w:rPr>
                <w:rFonts w:ascii="Times New Roman" w:cs="Times New Roman" w:eastAsia="Times New Roman" w:hAnsi="Times New Roman"/>
                <w:sz w:val="16"/>
                <w:szCs w:val="16"/>
                <w:color w:val="auto"/>
              </w:rPr>
              <w:t>By: /s/ David Y. Park</w:t>
            </w:r>
          </w:p>
        </w:tc>
      </w:tr>
      <w:tr>
        <w:trPr>
          <w:trHeight w:val="188"/>
        </w:trPr>
        <w:tc>
          <w:tcPr>
            <w:tcW w:w="33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David Y. Park</w:t>
            </w:r>
          </w:p>
        </w:tc>
      </w:tr>
      <w:tr>
        <w:trPr>
          <w:trHeight w:val="200"/>
        </w:trPr>
        <w:tc>
          <w:tcPr>
            <w:tcW w:w="3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5"/>
        </w:trPr>
        <w:tc>
          <w:tcPr>
            <w:tcW w:w="3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bl>
    <w:p>
      <w:pPr>
        <w:sectPr>
          <w:pgSz w:w="11900" w:h="16838" w:orient="portrait"/>
          <w:cols w:equalWidth="0" w:num="1">
            <w:col w:w="11260"/>
          </w:cols>
          <w:pgMar w:left="320" w:top="1436" w:right="319" w:bottom="1440" w:gutter="0" w:footer="0" w:header="0"/>
        </w:sectPr>
      </w:pPr>
    </w:p>
    <w:bookmarkStart w:id="121" w:name="page122"/>
    <w:bookmarkEnd w:id="121"/>
    <w:p>
      <w:pPr>
        <w:ind w:left="1030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20" w:firstLine="509"/>
        <w:spacing w:after="0" w:line="254" w:lineRule="auto"/>
        <w:rPr>
          <w:sz w:val="20"/>
          <w:szCs w:val="20"/>
          <w:color w:val="auto"/>
        </w:rPr>
      </w:pPr>
      <w:r>
        <w:rPr>
          <w:rFonts w:ascii="Times New Roman" w:cs="Times New Roman" w:eastAsia="Times New Roman" w:hAnsi="Times New Roman"/>
          <w:sz w:val="16"/>
          <w:szCs w:val="16"/>
          <w:color w:val="auto"/>
        </w:rPr>
        <w:t>In connection with the Quarterly Report of StepStone Group Inc. (the “Company”) on Form 10-Q for the three months ended December 31, 2025,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48" w:lineRule="exact"/>
        <w:rPr>
          <w:sz w:val="20"/>
          <w:szCs w:val="20"/>
          <w:color w:val="auto"/>
        </w:rPr>
      </w:pPr>
    </w:p>
    <w:p>
      <w:pPr>
        <w:ind w:left="500" w:hanging="240"/>
        <w:spacing w:after="0"/>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66" w:lineRule="exact"/>
        <w:rPr>
          <w:rFonts w:ascii="Times New Roman" w:cs="Times New Roman" w:eastAsia="Times New Roman" w:hAnsi="Times New Roman"/>
          <w:sz w:val="16"/>
          <w:szCs w:val="16"/>
          <w:color w:val="auto"/>
        </w:rPr>
      </w:pPr>
    </w:p>
    <w:p>
      <w:pPr>
        <w:ind w:left="520" w:right="1760" w:hanging="260"/>
        <w:spacing w:after="0" w:line="491" w:lineRule="auto"/>
        <w:tabs>
          <w:tab w:leader="none" w:pos="51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February 5, 2026</w:t>
      </w:r>
    </w:p>
    <w:p>
      <w:pPr>
        <w:ind w:left="5260"/>
        <w:spacing w:after="0"/>
        <w:rPr>
          <w:sz w:val="20"/>
          <w:szCs w:val="20"/>
          <w:color w:val="auto"/>
        </w:rPr>
      </w:pPr>
      <w:r>
        <w:rPr>
          <w:rFonts w:ascii="Times New Roman" w:cs="Times New Roman" w:eastAsia="Times New Roman" w:hAnsi="Times New Roman"/>
          <w:sz w:val="16"/>
          <w:szCs w:val="16"/>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16510</wp:posOffset>
            </wp:positionV>
            <wp:extent cx="367157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671570" cy="698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Scott W. Hart</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39"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80"/>
          </w:cols>
          <w:pgMar w:left="300" w:top="120" w:right="319" w:bottom="1440" w:gutter="0" w:footer="0" w:header="0"/>
        </w:sectPr>
      </w:pPr>
    </w:p>
    <w:bookmarkStart w:id="122" w:name="page123"/>
    <w:bookmarkEnd w:id="122"/>
    <w:p>
      <w:pPr>
        <w:ind w:left="1030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40" w:firstLine="509"/>
        <w:spacing w:after="0" w:line="254" w:lineRule="auto"/>
        <w:rPr>
          <w:sz w:val="20"/>
          <w:szCs w:val="20"/>
          <w:color w:val="auto"/>
        </w:rPr>
      </w:pPr>
      <w:r>
        <w:rPr>
          <w:rFonts w:ascii="Times New Roman" w:cs="Times New Roman" w:eastAsia="Times New Roman" w:hAnsi="Times New Roman"/>
          <w:sz w:val="16"/>
          <w:szCs w:val="16"/>
          <w:color w:val="auto"/>
        </w:rPr>
        <w:t>In connection with the Quarterly Report of StepStone Group Inc. (the “Company”) on Form 10-Q for the three months ended December 31, 2025,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48" w:lineRule="exact"/>
        <w:rPr>
          <w:sz w:val="20"/>
          <w:szCs w:val="20"/>
          <w:color w:val="auto"/>
        </w:rPr>
      </w:pPr>
    </w:p>
    <w:p>
      <w:pPr>
        <w:ind w:left="500" w:hanging="240"/>
        <w:spacing w:after="0"/>
        <w:tabs>
          <w:tab w:leader="none" w:pos="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66" w:lineRule="exact"/>
        <w:rPr>
          <w:rFonts w:ascii="Times New Roman" w:cs="Times New Roman" w:eastAsia="Times New Roman" w:hAnsi="Times New Roman"/>
          <w:sz w:val="16"/>
          <w:szCs w:val="16"/>
          <w:color w:val="auto"/>
        </w:rPr>
      </w:pPr>
    </w:p>
    <w:p>
      <w:pPr>
        <w:ind w:left="520" w:right="1760" w:hanging="260"/>
        <w:spacing w:after="0" w:line="491" w:lineRule="auto"/>
        <w:tabs>
          <w:tab w:leader="none" w:pos="51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February 5, 2026</w:t>
      </w:r>
    </w:p>
    <w:p>
      <w:pPr>
        <w:ind w:left="5260"/>
        <w:spacing w:after="0"/>
        <w:rPr>
          <w:sz w:val="20"/>
          <w:szCs w:val="20"/>
          <w:color w:val="auto"/>
        </w:rPr>
      </w:pPr>
      <w:r>
        <w:rPr>
          <w:rFonts w:ascii="Times New Roman" w:cs="Times New Roman" w:eastAsia="Times New Roman" w:hAnsi="Times New Roman"/>
          <w:sz w:val="16"/>
          <w:szCs w:val="16"/>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16510</wp:posOffset>
            </wp:positionV>
            <wp:extent cx="367157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671570" cy="698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David Y. Park</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39"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4"/>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0"/>
    </w:lvl>
  </w:abstractNum>
  <w:abstractNum w:abstractNumId="13">
    <w:nsid w:val="5577F8E1"/>
    <w:multiLevelType w:val="hybridMultilevel"/>
    <w:lvl w:ilvl="0">
      <w:lvlJc w:val="left"/>
      <w:lvlText w:val="%1."/>
      <w:numFmt w:val="decimal"/>
      <w:start w:val="11"/>
    </w:lvl>
  </w:abstractNum>
  <w:abstractNum w:abstractNumId="14">
    <w:nsid w:val="440BADFC"/>
    <w:multiLevelType w:val="hybridMultilevel"/>
    <w:lvl w:ilvl="0">
      <w:lvlJc w:val="left"/>
      <w:lvlText w:val="%1."/>
      <w:numFmt w:val="decimal"/>
      <w:start w:val="12"/>
    </w:lvl>
  </w:abstractNum>
  <w:abstractNum w:abstractNumId="15">
    <w:nsid w:val="5072367"/>
    <w:multiLevelType w:val="hybridMultilevel"/>
    <w:lvl w:ilvl="0">
      <w:lvlJc w:val="left"/>
      <w:lvlText w:val="%1."/>
      <w:numFmt w:val="decimal"/>
      <w:start w:val="13"/>
    </w:lvl>
  </w:abstractNum>
  <w:abstractNum w:abstractNumId="16">
    <w:nsid w:val="3804823E"/>
    <w:multiLevelType w:val="hybridMultilevel"/>
    <w:lvl w:ilvl="0">
      <w:lvlJc w:val="left"/>
      <w:lvlText w:val="%1."/>
      <w:numFmt w:val="decimal"/>
      <w:start w:val="14"/>
    </w:lvl>
  </w:abstractNum>
  <w:abstractNum w:abstractNumId="17">
    <w:nsid w:val="77465F01"/>
    <w:multiLevelType w:val="hybridMultilevel"/>
    <w:lvl w:ilvl="0">
      <w:lvlJc w:val="left"/>
      <w:lvlText w:val="%1."/>
      <w:numFmt w:val="decimal"/>
      <w:start w:val="15"/>
    </w:lvl>
  </w:abstractNum>
  <w:abstractNum w:abstractNumId="18">
    <w:nsid w:val="7724C67E"/>
    <w:multiLevelType w:val="hybridMultilevel"/>
    <w:lvl w:ilvl="0">
      <w:lvlJc w:val="left"/>
      <w:lvlText w:val="%1."/>
      <w:numFmt w:val="decimal"/>
      <w:start w:val="16"/>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lvl w:ilvl="1">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3"/>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4"/>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3"/>
    </w:lvl>
    <w:lvl w:ilvl="1">
      <w:lvlJc w:val="left"/>
      <w:lvlText w:val="%2."/>
      <w:numFmt w:val="lowerRoman"/>
      <w:start w:val="1"/>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01"/>
    </w:lvl>
  </w:abstractNum>
  <w:abstractNum w:abstractNumId="48">
    <w:nsid w:val="12E685FB"/>
    <w:multiLevelType w:val="hybridMultilevel"/>
    <w:lvl w:ilvl="0">
      <w:lvlJc w:val="left"/>
      <w:lvlText w:val="%1"/>
      <w:numFmt w:val="decimal"/>
      <w:start w:val="104"/>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5"/>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5"/>
    </w:lvl>
    <w:lvl w:ilvl="1">
      <w:lvlJc w:val="left"/>
      <w:lvlText w:val="%2."/>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06" Type="http://schemas.openxmlformats.org/officeDocument/2006/relationships/hyperlink" Target="https://www.sec.gov/Archives/edgar/data/1796022/000179602225000072/ex32-restatedcertificateof.htm" TargetMode="External"/><Relationship Id="rId107" Type="http://schemas.openxmlformats.org/officeDocument/2006/relationships/hyperlink" Target="https://www.sec.gov/Archives/edgar/data/1796022/000179602223000011/exhibit32q3fy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2026-02-05T15:37:20Z</dcterms:created>
  <dcterms:modified xsi:type="dcterms:W3CDTF">2026-02-05T15:37:20Z</dcterms:modified>
</cp:coreProperties>
</file>