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817880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40" w:lineRule="exact"/>
        <w:rPr>
          <w:sz w:val="24"/>
          <w:szCs w:val="24"/>
          <w:color w:val="auto"/>
        </w:rPr>
      </w:pPr>
    </w:p>
    <w:p>
      <w:pPr>
        <w:ind w:left="420" w:hanging="35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92" w:lineRule="exact"/>
        <w:rPr>
          <w:sz w:val="24"/>
          <w:szCs w:val="24"/>
          <w:color w:val="auto"/>
        </w:rPr>
      </w:pPr>
    </w:p>
    <w:p>
      <w:pPr>
        <w:ind w:left="2520" w:right="2500" w:hanging="2454"/>
        <w:spacing w:after="0" w:line="416" w:lineRule="auto"/>
        <w:tabs>
          <w:tab w:leader="none" w:pos="385"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 xml:space="preserve">TRANSITION REPORT PURSUANT TO SECTION 13 OR 15(d) OF THE SECURITIES EXCHANGE ACT OF 1934 </w:t>
      </w:r>
      <w:r>
        <w:rPr>
          <w:rFonts w:ascii="Arial" w:cs="Arial" w:eastAsia="Arial" w:hAnsi="Arial"/>
          <w:sz w:val="15"/>
          <w:szCs w:val="15"/>
          <w:color w:val="auto"/>
        </w:rPr>
        <w:t>For the transition period from _______________________ to ___________________________</w:t>
      </w:r>
    </w:p>
    <w:p>
      <w:pPr>
        <w:jc w:val="center"/>
        <w:ind w:right="-19"/>
        <w:spacing w:after="0"/>
        <w:rPr>
          <w:sz w:val="20"/>
          <w:szCs w:val="20"/>
          <w:color w:val="auto"/>
        </w:rPr>
      </w:pPr>
      <w:r>
        <w:rPr>
          <w:rFonts w:ascii="Arial" w:cs="Arial" w:eastAsia="Arial" w:hAnsi="Arial"/>
          <w:sz w:val="16"/>
          <w:szCs w:val="16"/>
          <w:color w:val="auto"/>
        </w:rPr>
        <w:t>Commission file number 001-39510</w:t>
      </w:r>
    </w:p>
    <w:p>
      <w:pPr>
        <w:spacing w:after="0" w:line="55" w:lineRule="exact"/>
        <w:rPr>
          <w:sz w:val="24"/>
          <w:szCs w:val="24"/>
          <w:color w:val="auto"/>
        </w:rPr>
      </w:pPr>
    </w:p>
    <w:tbl>
      <w:tblPr>
        <w:tblLayout w:type="fixed"/>
        <w:tblInd w:w="1440" w:type="dxa"/>
        <w:tblCellMar>
          <w:top w:w="0" w:type="dxa"/>
          <w:left w:w="0" w:type="dxa"/>
          <w:bottom w:w="0" w:type="dxa"/>
          <w:right w:w="0" w:type="dxa"/>
        </w:tblCellMar>
      </w:tblPr>
      <w:tr>
        <w:trPr>
          <w:trHeight w:val="421"/>
        </w:trPr>
        <w:tc>
          <w:tcPr>
            <w:tcW w:w="100" w:type="dxa"/>
            <w:vAlign w:val="bottom"/>
          </w:tcPr>
          <w:p>
            <w:pPr>
              <w:spacing w:after="0"/>
              <w:rPr>
                <w:sz w:val="24"/>
                <w:szCs w:val="24"/>
                <w:color w:val="auto"/>
              </w:rPr>
            </w:pPr>
          </w:p>
        </w:tc>
        <w:tc>
          <w:tcPr>
            <w:tcW w:w="8200" w:type="dxa"/>
            <w:vAlign w:val="bottom"/>
            <w:gridSpan w:val="5"/>
          </w:tcPr>
          <w:p>
            <w:pPr>
              <w:jc w:val="center"/>
              <w:ind w:left="220"/>
              <w:spacing w:after="0"/>
              <w:rPr>
                <w:sz w:val="20"/>
                <w:szCs w:val="20"/>
                <w:color w:val="auto"/>
              </w:rPr>
            </w:pPr>
            <w:r>
              <w:rPr>
                <w:rFonts w:ascii="Arial" w:cs="Arial" w:eastAsia="Arial" w:hAnsi="Arial"/>
                <w:sz w:val="32"/>
                <w:szCs w:val="32"/>
                <w:b w:val="1"/>
                <w:bCs w:val="1"/>
                <w:color w:val="auto"/>
                <w:w w:val="99"/>
              </w:rPr>
              <w:t>STEPSTONE GROUP INC.</w:t>
            </w:r>
          </w:p>
        </w:tc>
      </w:tr>
      <w:tr>
        <w:trPr>
          <w:trHeight w:val="203"/>
        </w:trPr>
        <w:tc>
          <w:tcPr>
            <w:tcW w:w="100" w:type="dxa"/>
            <w:vAlign w:val="bottom"/>
          </w:tcPr>
          <w:p>
            <w:pPr>
              <w:spacing w:after="0"/>
              <w:rPr>
                <w:sz w:val="17"/>
                <w:szCs w:val="17"/>
                <w:color w:val="auto"/>
              </w:rPr>
            </w:pPr>
          </w:p>
        </w:tc>
        <w:tc>
          <w:tcPr>
            <w:tcW w:w="8200" w:type="dxa"/>
            <w:vAlign w:val="bottom"/>
            <w:gridSpan w:val="5"/>
          </w:tcPr>
          <w:p>
            <w:pPr>
              <w:jc w:val="center"/>
              <w:ind w:left="22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216"/>
        </w:trPr>
        <w:tc>
          <w:tcPr>
            <w:tcW w:w="100" w:type="dxa"/>
            <w:vAlign w:val="bottom"/>
          </w:tcPr>
          <w:p>
            <w:pPr>
              <w:spacing w:after="0"/>
              <w:rPr>
                <w:sz w:val="18"/>
                <w:szCs w:val="18"/>
                <w:color w:val="auto"/>
              </w:rPr>
            </w:pPr>
          </w:p>
        </w:tc>
        <w:tc>
          <w:tcPr>
            <w:tcW w:w="334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Pr>
          <w:p>
            <w:pPr>
              <w:jc w:val="right"/>
              <w:ind w:right="688"/>
              <w:spacing w:after="0"/>
              <w:rPr>
                <w:sz w:val="20"/>
                <w:szCs w:val="20"/>
                <w:color w:val="auto"/>
              </w:rPr>
            </w:pPr>
            <w:r>
              <w:rPr>
                <w:rFonts w:ascii="Arial" w:cs="Arial" w:eastAsia="Arial" w:hAnsi="Arial"/>
                <w:sz w:val="14"/>
                <w:szCs w:val="14"/>
                <w:b w:val="1"/>
                <w:bCs w:val="1"/>
                <w:color w:val="auto"/>
              </w:rPr>
              <w:t>84-3868757</w:t>
            </w:r>
          </w:p>
        </w:tc>
      </w:tr>
      <w:tr>
        <w:trPr>
          <w:trHeight w:val="169"/>
        </w:trPr>
        <w:tc>
          <w:tcPr>
            <w:tcW w:w="100" w:type="dxa"/>
            <w:vAlign w:val="bottom"/>
          </w:tcPr>
          <w:p>
            <w:pPr>
              <w:spacing w:after="0"/>
              <w:rPr>
                <w:sz w:val="14"/>
                <w:szCs w:val="14"/>
                <w:color w:val="auto"/>
              </w:rPr>
            </w:pPr>
          </w:p>
        </w:tc>
        <w:tc>
          <w:tcPr>
            <w:tcW w:w="3340" w:type="dxa"/>
            <w:vAlign w:val="bottom"/>
            <w:gridSpan w:val="2"/>
          </w:tcPr>
          <w:p>
            <w:pPr>
              <w:jc w:val="center"/>
              <w:ind w:right="1240"/>
              <w:spacing w:after="0"/>
              <w:rPr>
                <w:sz w:val="20"/>
                <w:szCs w:val="20"/>
                <w:color w:val="auto"/>
              </w:rPr>
            </w:pPr>
            <w:r>
              <w:rPr>
                <w:rFonts w:ascii="Arial" w:cs="Arial" w:eastAsia="Arial" w:hAnsi="Arial"/>
                <w:sz w:val="14"/>
                <w:szCs w:val="14"/>
                <w:color w:val="auto"/>
                <w:w w:val="94"/>
              </w:rPr>
              <w:t>(State or other jurisdiction of</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60" w:type="dxa"/>
            <w:vAlign w:val="bottom"/>
          </w:tcPr>
          <w:p>
            <w:pPr>
              <w:jc w:val="center"/>
              <w:ind w:left="1188"/>
              <w:spacing w:after="0"/>
              <w:rPr>
                <w:sz w:val="20"/>
                <w:szCs w:val="20"/>
                <w:color w:val="auto"/>
              </w:rPr>
            </w:pPr>
            <w:r>
              <w:rPr>
                <w:rFonts w:ascii="Arial" w:cs="Arial" w:eastAsia="Arial" w:hAnsi="Arial"/>
                <w:sz w:val="14"/>
                <w:szCs w:val="14"/>
                <w:color w:val="auto"/>
                <w:w w:val="97"/>
              </w:rPr>
              <w:t>(I.R.S. Employer</w:t>
            </w:r>
          </w:p>
        </w:tc>
      </w:tr>
      <w:tr>
        <w:trPr>
          <w:trHeight w:val="182"/>
        </w:trPr>
        <w:tc>
          <w:tcPr>
            <w:tcW w:w="100" w:type="dxa"/>
            <w:vAlign w:val="bottom"/>
          </w:tcPr>
          <w:p>
            <w:pPr>
              <w:spacing w:after="0"/>
              <w:rPr>
                <w:sz w:val="15"/>
                <w:szCs w:val="15"/>
                <w:color w:val="auto"/>
              </w:rPr>
            </w:pPr>
          </w:p>
        </w:tc>
        <w:tc>
          <w:tcPr>
            <w:tcW w:w="3340" w:type="dxa"/>
            <w:vAlign w:val="bottom"/>
            <w:gridSpan w:val="2"/>
          </w:tcPr>
          <w:p>
            <w:pPr>
              <w:jc w:val="center"/>
              <w:ind w:right="1240"/>
              <w:spacing w:after="0"/>
              <w:rPr>
                <w:sz w:val="20"/>
                <w:szCs w:val="20"/>
                <w:color w:val="auto"/>
              </w:rPr>
            </w:pPr>
            <w:r>
              <w:rPr>
                <w:rFonts w:ascii="Arial" w:cs="Arial" w:eastAsia="Arial" w:hAnsi="Arial"/>
                <w:sz w:val="14"/>
                <w:szCs w:val="14"/>
                <w:color w:val="auto"/>
                <w:w w:val="95"/>
              </w:rPr>
              <w:t>incorporation or organization)</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jc w:val="center"/>
              <w:ind w:left="1188"/>
              <w:spacing w:after="0"/>
              <w:rPr>
                <w:sz w:val="20"/>
                <w:szCs w:val="20"/>
                <w:color w:val="auto"/>
              </w:rPr>
            </w:pPr>
            <w:r>
              <w:rPr>
                <w:rFonts w:ascii="Arial" w:cs="Arial" w:eastAsia="Arial" w:hAnsi="Arial"/>
                <w:sz w:val="14"/>
                <w:szCs w:val="14"/>
                <w:color w:val="auto"/>
                <w:w w:val="99"/>
              </w:rPr>
              <w:t>Identification No.)</w:t>
            </w:r>
          </w:p>
        </w:tc>
      </w:tr>
      <w:tr>
        <w:trPr>
          <w:trHeight w:val="338"/>
        </w:trPr>
        <w:tc>
          <w:tcPr>
            <w:tcW w:w="100" w:type="dxa"/>
            <w:vAlign w:val="bottom"/>
          </w:tcPr>
          <w:p>
            <w:pPr>
              <w:spacing w:after="0"/>
              <w:rPr>
                <w:sz w:val="24"/>
                <w:szCs w:val="24"/>
                <w:color w:val="auto"/>
              </w:rPr>
            </w:pPr>
          </w:p>
        </w:tc>
        <w:tc>
          <w:tcPr>
            <w:tcW w:w="334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2"/>
              </w:rPr>
              <w:t>450 Lexington Avenue, 31st Floor</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03"/>
        </w:trPr>
        <w:tc>
          <w:tcPr>
            <w:tcW w:w="100" w:type="dxa"/>
            <w:vAlign w:val="bottom"/>
          </w:tcPr>
          <w:p>
            <w:pPr>
              <w:spacing w:after="0"/>
              <w:rPr>
                <w:sz w:val="17"/>
                <w:szCs w:val="17"/>
                <w:color w:val="auto"/>
              </w:rPr>
            </w:pPr>
          </w:p>
        </w:tc>
        <w:tc>
          <w:tcPr>
            <w:tcW w:w="334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8"/>
              </w:rPr>
              <w:t>New York, NY</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jc w:val="right"/>
              <w:ind w:right="848"/>
              <w:spacing w:after="0"/>
              <w:rPr>
                <w:sz w:val="20"/>
                <w:szCs w:val="20"/>
                <w:color w:val="auto"/>
              </w:rPr>
            </w:pPr>
            <w:r>
              <w:rPr>
                <w:rFonts w:ascii="Arial" w:cs="Arial" w:eastAsia="Arial" w:hAnsi="Arial"/>
                <w:sz w:val="14"/>
                <w:szCs w:val="14"/>
                <w:b w:val="1"/>
                <w:bCs w:val="1"/>
                <w:color w:val="auto"/>
              </w:rPr>
              <w:t>10017</w:t>
            </w:r>
          </w:p>
        </w:tc>
      </w:tr>
      <w:tr>
        <w:trPr>
          <w:trHeight w:val="203"/>
        </w:trPr>
        <w:tc>
          <w:tcPr>
            <w:tcW w:w="3440" w:type="dxa"/>
            <w:vAlign w:val="bottom"/>
            <w:gridSpan w:val="3"/>
          </w:tcPr>
          <w:p>
            <w:pPr>
              <w:jc w:val="center"/>
              <w:ind w:right="1160"/>
              <w:spacing w:after="0"/>
              <w:rPr>
                <w:sz w:val="20"/>
                <w:szCs w:val="20"/>
                <w:color w:val="auto"/>
              </w:rPr>
            </w:pPr>
            <w:r>
              <w:rPr>
                <w:rFonts w:ascii="Arial" w:cs="Arial" w:eastAsia="Arial" w:hAnsi="Arial"/>
                <w:sz w:val="14"/>
                <w:szCs w:val="14"/>
                <w:color w:val="auto"/>
                <w:w w:val="95"/>
              </w:rPr>
              <w:t>(Address of principal executive offices)</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jc w:val="center"/>
              <w:ind w:left="1188"/>
              <w:spacing w:after="0"/>
              <w:rPr>
                <w:sz w:val="20"/>
                <w:szCs w:val="20"/>
                <w:color w:val="auto"/>
              </w:rPr>
            </w:pPr>
            <w:r>
              <w:rPr>
                <w:rFonts w:ascii="Arial" w:cs="Arial" w:eastAsia="Arial" w:hAnsi="Arial"/>
                <w:sz w:val="14"/>
                <w:szCs w:val="14"/>
                <w:color w:val="auto"/>
                <w:w w:val="96"/>
              </w:rPr>
              <w:t>(Zip Code)</w:t>
            </w:r>
          </w:p>
        </w:tc>
      </w:tr>
      <w:tr>
        <w:trPr>
          <w:trHeight w:val="277"/>
        </w:trPr>
        <w:tc>
          <w:tcPr>
            <w:tcW w:w="1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(212) 351-6100</w:t>
            </w: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82"/>
        </w:trPr>
        <w:tc>
          <w:tcPr>
            <w:tcW w:w="100" w:type="dxa"/>
            <w:vAlign w:val="bottom"/>
          </w:tcPr>
          <w:p>
            <w:pPr>
              <w:spacing w:after="0"/>
              <w:rPr>
                <w:sz w:val="15"/>
                <w:szCs w:val="15"/>
                <w:color w:val="auto"/>
              </w:rPr>
            </w:pPr>
          </w:p>
        </w:tc>
        <w:tc>
          <w:tcPr>
            <w:tcW w:w="8200" w:type="dxa"/>
            <w:vAlign w:val="bottom"/>
            <w:gridSpan w:val="5"/>
          </w:tcPr>
          <w:p>
            <w:pPr>
              <w:jc w:val="center"/>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03"/>
        </w:trPr>
        <w:tc>
          <w:tcPr>
            <w:tcW w:w="100" w:type="dxa"/>
            <w:vAlign w:val="bottom"/>
          </w:tcPr>
          <w:p>
            <w:pPr>
              <w:spacing w:after="0"/>
              <w:rPr>
                <w:sz w:val="17"/>
                <w:szCs w:val="17"/>
                <w:color w:val="auto"/>
              </w:rPr>
            </w:pPr>
          </w:p>
        </w:tc>
        <w:tc>
          <w:tcPr>
            <w:tcW w:w="8200" w:type="dxa"/>
            <w:vAlign w:val="bottom"/>
            <w:gridSpan w:val="5"/>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203"/>
        </w:trPr>
        <w:tc>
          <w:tcPr>
            <w:tcW w:w="100" w:type="dxa"/>
            <w:vAlign w:val="bottom"/>
          </w:tcPr>
          <w:p>
            <w:pPr>
              <w:spacing w:after="0"/>
              <w:rPr>
                <w:sz w:val="17"/>
                <w:szCs w:val="17"/>
                <w:color w:val="auto"/>
              </w:rPr>
            </w:pPr>
          </w:p>
        </w:tc>
        <w:tc>
          <w:tcPr>
            <w:tcW w:w="33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Title of each class</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Trading Symbol(s)</w:t>
            </w:r>
          </w:p>
        </w:tc>
        <w:tc>
          <w:tcPr>
            <w:tcW w:w="3460" w:type="dxa"/>
            <w:vAlign w:val="bottom"/>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25"/>
        </w:trPr>
        <w:tc>
          <w:tcPr>
            <w:tcW w:w="1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80"/>
        </w:trPr>
        <w:tc>
          <w:tcPr>
            <w:tcW w:w="100" w:type="dxa"/>
            <w:vAlign w:val="bottom"/>
          </w:tcPr>
          <w:p>
            <w:pPr>
              <w:spacing w:after="0"/>
              <w:rPr>
                <w:sz w:val="15"/>
                <w:szCs w:val="15"/>
                <w:color w:val="auto"/>
              </w:rPr>
            </w:pPr>
          </w:p>
        </w:tc>
        <w:tc>
          <w:tcPr>
            <w:tcW w:w="3240" w:type="dxa"/>
            <w:vAlign w:val="bottom"/>
          </w:tcPr>
          <w:p>
            <w:pPr>
              <w:jc w:val="center"/>
              <w:spacing w:after="0"/>
              <w:rPr>
                <w:sz w:val="20"/>
                <w:szCs w:val="20"/>
                <w:color w:val="auto"/>
              </w:rPr>
            </w:pPr>
            <w:r>
              <w:rPr>
                <w:rFonts w:ascii="Arial" w:cs="Arial" w:eastAsia="Arial" w:hAnsi="Arial"/>
                <w:sz w:val="14"/>
                <w:szCs w:val="14"/>
                <w:b w:val="1"/>
                <w:bCs w:val="1"/>
                <w:color w:val="auto"/>
                <w:w w:val="92"/>
              </w:rPr>
              <w:t>Class A Common Stock, $0.001 par value per share</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STEP</w:t>
            </w:r>
          </w:p>
        </w:tc>
        <w:tc>
          <w:tcPr>
            <w:tcW w:w="1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w w:val="96"/>
              </w:rPr>
              <w:t>The Nasdaq Stock Market LLC</w:t>
            </w:r>
          </w:p>
        </w:tc>
      </w:tr>
    </w:tbl>
    <w:p>
      <w:pPr>
        <w:spacing w:after="0" w:line="155"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jc w:val="both"/>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ind w:right="16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140" w:type="dxa"/>
            <w:vAlign w:val="bottom"/>
          </w:tcPr>
          <w:p>
            <w:pPr>
              <w:spacing w:after="0"/>
              <w:rPr>
                <w:sz w:val="22"/>
                <w:szCs w:val="22"/>
                <w:color w:val="auto"/>
              </w:rPr>
            </w:pPr>
          </w:p>
        </w:tc>
        <w:tc>
          <w:tcPr>
            <w:tcW w:w="3120" w:type="dxa"/>
            <w:vAlign w:val="bottom"/>
          </w:tcPr>
          <w:p>
            <w:pPr>
              <w:ind w:left="880"/>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3120" w:type="dxa"/>
            <w:vAlign w:val="bottom"/>
          </w:tcPr>
          <w:p>
            <w:pPr>
              <w:ind w:left="880"/>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70"/>
        </w:trPr>
        <w:tc>
          <w:tcPr>
            <w:tcW w:w="1140" w:type="dxa"/>
            <w:vAlign w:val="bottom"/>
            <w:vMerge w:val="restart"/>
          </w:tcPr>
          <w:p>
            <w:pPr>
              <w:spacing w:after="0"/>
              <w:rPr>
                <w:sz w:val="20"/>
                <w:szCs w:val="20"/>
                <w:color w:val="auto"/>
              </w:rPr>
            </w:pPr>
            <w:r>
              <w:rPr>
                <w:rFonts w:ascii="Arial" w:cs="Arial" w:eastAsia="Arial" w:hAnsi="Arial"/>
                <w:sz w:val="16"/>
                <w:szCs w:val="16"/>
                <w:color w:val="auto"/>
              </w:rPr>
              <w:t>Act.</w:t>
            </w:r>
          </w:p>
        </w:tc>
        <w:tc>
          <w:tcPr>
            <w:tcW w:w="3120" w:type="dxa"/>
            <w:vAlign w:val="bottom"/>
          </w:tcPr>
          <w:p>
            <w:pPr>
              <w:ind w:left="880"/>
              <w:spacing w:after="0"/>
              <w:rPr>
                <w:sz w:val="20"/>
                <w:szCs w:val="20"/>
                <w:color w:val="auto"/>
              </w:rPr>
            </w:pPr>
            <w:r>
              <w:rPr>
                <w:rFonts w:ascii="Arial" w:cs="Arial" w:eastAsia="Arial" w:hAnsi="Arial"/>
                <w:sz w:val="16"/>
                <w:szCs w:val="16"/>
                <w:color w:val="auto"/>
              </w:rPr>
              <w:t>Emerging growth company</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114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74" w:lineRule="exact"/>
        <w:rPr>
          <w:sz w:val="24"/>
          <w:szCs w:val="24"/>
          <w:color w:val="auto"/>
        </w:r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ind w:right="660"/>
        <w:spacing w:after="0" w:line="269" w:lineRule="auto"/>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 As of November 3, 2022, there were 62,061,427 shares of the registrant’s Class A common stock, par value $0.001, and 46,716,897 shares of the registrant’s Class B common stock, par value $0.001,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 w:name="page2"/>
    <w:bookmarkEnd w:id="1"/>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5"/>
          </w:tcPr>
          <w:p>
            <w:pPr>
              <w:ind w:left="3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220" w:type="dxa"/>
            <w:vAlign w:val="bottom"/>
            <w:gridSpan w:val="10"/>
            <w:shd w:val="clear" w:color="auto" w:fill="CCEEFF"/>
          </w:tcPr>
          <w:p>
            <w:pPr>
              <w:jc w:val="center"/>
              <w:ind w:right="1760"/>
              <w:spacing w:after="0"/>
              <w:rPr>
                <w:sz w:val="20"/>
                <w:szCs w:val="20"/>
                <w:color w:val="auto"/>
              </w:rPr>
            </w:pPr>
            <w:r>
              <w:rPr>
                <w:rFonts w:ascii="Arial" w:cs="Arial" w:eastAsia="Arial" w:hAnsi="Arial"/>
                <w:sz w:val="18"/>
                <w:szCs w:val="18"/>
                <w:color w:val="auto"/>
                <w:w w:val="98"/>
              </w:rPr>
              <w:t>PART I - FINANCIAL INFORMATION</w:t>
            </w:r>
          </w:p>
        </w:tc>
        <w:tc>
          <w:tcPr>
            <w:tcW w:w="3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100" w:type="dxa"/>
            <w:vAlign w:val="bottom"/>
            <w:gridSpan w:val="21"/>
          </w:tcPr>
          <w:p>
            <w:pPr>
              <w:spacing w:after="0" w:line="189" w:lineRule="exact"/>
              <w:rPr>
                <w:sz w:val="20"/>
                <w:szCs w:val="20"/>
                <w:color w:val="auto"/>
              </w:rPr>
            </w:pPr>
            <w:r>
              <w:rPr>
                <w:rFonts w:ascii="Arial" w:cs="Arial" w:eastAsia="Arial" w:hAnsi="Arial"/>
                <w:sz w:val="18"/>
                <w:szCs w:val="18"/>
                <w:color w:val="0000FF"/>
              </w:rPr>
              <w:t>Item 1. Financial Statements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6300" w:type="dxa"/>
            <w:vAlign w:val="bottom"/>
            <w:tcBorders>
              <w:bottom w:val="single" w:sz="8" w:color="0000FF"/>
            </w:tcBorders>
            <w:gridSpan w:val="14"/>
            <w:shd w:val="clear" w:color="auto" w:fill="CCEEFF"/>
          </w:tcPr>
          <w:p>
            <w:pPr>
              <w:spacing w:after="0" w:line="189" w:lineRule="exact"/>
              <w:rPr>
                <w:sz w:val="20"/>
                <w:szCs w:val="20"/>
                <w:color w:val="auto"/>
              </w:rPr>
            </w:pPr>
            <w:r>
              <w:rPr>
                <w:rFonts w:ascii="Arial" w:cs="Arial" w:eastAsia="Arial" w:hAnsi="Arial"/>
                <w:sz w:val="18"/>
                <w:szCs w:val="18"/>
                <w:color w:val="0000FF"/>
                <w:w w:val="88"/>
              </w:rPr>
              <w:t>Condensed Consolidated Balance Sheets as of September 30, 2022 and March 31, 2022</w:t>
            </w:r>
          </w:p>
        </w:tc>
        <w:tc>
          <w:tcPr>
            <w:tcW w:w="3300" w:type="dxa"/>
            <w:vAlign w:val="bottom"/>
            <w:tcBorders>
              <w:bottom w:val="single" w:sz="8" w:color="CCEEFF"/>
            </w:tcBorders>
            <w:gridSpan w:val="6"/>
            <w:shd w:val="clear" w:color="auto" w:fill="CCEEFF"/>
          </w:tcPr>
          <w:p>
            <w:pPr>
              <w:spacing w:after="0"/>
              <w:rPr>
                <w:sz w:val="18"/>
                <w:szCs w:val="18"/>
                <w:color w:val="auto"/>
              </w:rPr>
            </w:pPr>
          </w:p>
        </w:tc>
        <w:tc>
          <w:tcPr>
            <w:tcW w:w="48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5</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0" w:type="dxa"/>
            <w:vAlign w:val="bottom"/>
            <w:gridSpan w:val="20"/>
          </w:tcPr>
          <w:p>
            <w:pPr>
              <w:spacing w:after="0" w:line="189" w:lineRule="exact"/>
              <w:rPr>
                <w:sz w:val="20"/>
                <w:szCs w:val="20"/>
                <w:color w:val="auto"/>
              </w:rPr>
            </w:pPr>
            <w:r>
              <w:rPr>
                <w:rFonts w:ascii="Arial" w:cs="Arial" w:eastAsia="Arial" w:hAnsi="Arial"/>
                <w:sz w:val="18"/>
                <w:szCs w:val="18"/>
                <w:color w:val="0000FF"/>
                <w:w w:val="97"/>
              </w:rPr>
              <w:t>Condensed Consolidated Statements of Income (Loss) for the Three and Six Months Ended September 30, 2022 and 2021</w:t>
            </w:r>
          </w:p>
        </w:tc>
        <w:tc>
          <w:tcPr>
            <w:tcW w:w="620" w:type="dxa"/>
            <w:vAlign w:val="bottom"/>
            <w:gridSpan w:val="3"/>
          </w:tcPr>
          <w:p>
            <w:pPr>
              <w:jc w:val="center"/>
              <w:ind w:left="350"/>
              <w:spacing w:after="0" w:line="189" w:lineRule="exact"/>
              <w:rPr>
                <w:sz w:val="20"/>
                <w:szCs w:val="20"/>
                <w:color w:val="auto"/>
              </w:rPr>
            </w:pPr>
            <w:r>
              <w:rPr>
                <w:rFonts w:ascii="Arial" w:cs="Arial" w:eastAsia="Arial" w:hAnsi="Arial"/>
                <w:sz w:val="18"/>
                <w:szCs w:val="18"/>
                <w:color w:val="0000FF"/>
                <w:w w:val="99"/>
              </w:rPr>
              <w:t>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0000FF"/>
                <w:w w:val="92"/>
              </w:rPr>
              <w:t>Condensed Consolidated Statements of Comprehensive Income (Loss) for the Three and Six Months Ended September 30, 2022</w:t>
            </w:r>
          </w:p>
        </w:tc>
        <w:tc>
          <w:tcPr>
            <w:tcW w:w="480" w:type="dxa"/>
            <w:vAlign w:val="bottom"/>
            <w:tcBorders>
              <w:right w:val="single" w:sz="8" w:color="CCEEFF"/>
            </w:tcBorders>
            <w:gridSpan w:val="2"/>
            <w:vMerge w:val="restart"/>
            <w:shd w:val="clear" w:color="auto" w:fill="CCEEFF"/>
          </w:tcPr>
          <w:p>
            <w:pPr>
              <w:spacing w:after="0"/>
              <w:rPr>
                <w:sz w:val="16"/>
                <w:szCs w:val="16"/>
                <w:color w:val="auto"/>
              </w:rPr>
            </w:pPr>
          </w:p>
        </w:tc>
        <w:tc>
          <w:tcPr>
            <w:tcW w:w="140" w:type="dxa"/>
            <w:vAlign w:val="bottom"/>
            <w:tcBorders>
              <w:right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0000FF"/>
                <w:w w:val="99"/>
              </w:rPr>
              <w:t>8</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0000FF"/>
              <w:bottom w:val="single" w:sz="8" w:color="CCEEFF"/>
            </w:tcBorders>
            <w:shd w:val="clear" w:color="auto" w:fill="CCEEFF"/>
          </w:tcPr>
          <w:p>
            <w:pPr>
              <w:spacing w:after="0"/>
              <w:rPr>
                <w:sz w:val="16"/>
                <w:szCs w:val="16"/>
                <w:color w:val="auto"/>
              </w:rPr>
            </w:pPr>
          </w:p>
        </w:tc>
        <w:tc>
          <w:tcPr>
            <w:tcW w:w="660" w:type="dxa"/>
            <w:vAlign w:val="bottom"/>
            <w:tcBorders>
              <w:top w:val="single" w:sz="8" w:color="0000FF"/>
              <w:bottom w:val="single" w:sz="8" w:color="0000FF"/>
            </w:tcBorders>
            <w:gridSpan w:val="3"/>
            <w:shd w:val="clear" w:color="auto" w:fill="CCEEFF"/>
          </w:tcPr>
          <w:p>
            <w:pPr>
              <w:spacing w:after="0" w:line="169" w:lineRule="exact"/>
              <w:rPr>
                <w:sz w:val="20"/>
                <w:szCs w:val="20"/>
                <w:color w:val="auto"/>
              </w:rPr>
            </w:pPr>
            <w:r>
              <w:rPr>
                <w:rFonts w:ascii="Arial" w:cs="Arial" w:eastAsia="Arial" w:hAnsi="Arial"/>
                <w:sz w:val="18"/>
                <w:szCs w:val="18"/>
                <w:color w:val="0000FF"/>
                <w:w w:val="85"/>
              </w:rPr>
              <w:t>and 2021</w:t>
            </w:r>
          </w:p>
        </w:tc>
        <w:tc>
          <w:tcPr>
            <w:tcW w:w="8420" w:type="dxa"/>
            <w:vAlign w:val="bottom"/>
            <w:tcBorders>
              <w:top w:val="single" w:sz="8" w:color="0000FF"/>
              <w:bottom w:val="single" w:sz="8" w:color="CCEEFF"/>
            </w:tcBorders>
            <w:gridSpan w:val="1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CCEEFF"/>
              <w:bottom w:val="single" w:sz="8" w:color="CCEEFF"/>
              <w:right w:val="single" w:sz="8" w:color="CCEEFF"/>
            </w:tcBorders>
            <w:gridSpan w:val="2"/>
            <w:vMerge w:val="continue"/>
            <w:shd w:val="clear" w:color="auto" w:fill="CCEEFF"/>
          </w:tcPr>
          <w:p>
            <w:pPr>
              <w:spacing w:after="0"/>
              <w:rPr>
                <w:sz w:val="16"/>
                <w:szCs w:val="16"/>
                <w:color w:val="auto"/>
              </w:rPr>
            </w:pPr>
          </w:p>
        </w:tc>
        <w:tc>
          <w:tcPr>
            <w:tcW w:w="140" w:type="dxa"/>
            <w:vAlign w:val="bottom"/>
            <w:tcBorders>
              <w:top w:val="single" w:sz="8" w:color="CCEEFF"/>
              <w:bottom w:val="single" w:sz="8" w:color="0000FF"/>
              <w:right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0" w:type="dxa"/>
            <w:vAlign w:val="bottom"/>
            <w:gridSpan w:val="20"/>
          </w:tcPr>
          <w:p>
            <w:pPr>
              <w:spacing w:after="0" w:line="189" w:lineRule="exact"/>
              <w:rPr>
                <w:sz w:val="20"/>
                <w:szCs w:val="20"/>
                <w:color w:val="auto"/>
              </w:rPr>
            </w:pPr>
            <w:r>
              <w:rPr>
                <w:rFonts w:ascii="Arial" w:cs="Arial" w:eastAsia="Arial" w:hAnsi="Arial"/>
                <w:sz w:val="18"/>
                <w:szCs w:val="18"/>
                <w:color w:val="0000FF"/>
                <w:w w:val="93"/>
              </w:rPr>
              <w:t>Condensed Consolidated Statements of Stockholders’ Equity for the Three and Six Months Ended September 30, 2022 and 2021</w:t>
            </w:r>
          </w:p>
        </w:tc>
        <w:tc>
          <w:tcPr>
            <w:tcW w:w="620" w:type="dxa"/>
            <w:vAlign w:val="bottom"/>
            <w:gridSpan w:val="3"/>
          </w:tcPr>
          <w:p>
            <w:pPr>
              <w:jc w:val="center"/>
              <w:ind w:left="350"/>
              <w:spacing w:after="0" w:line="189" w:lineRule="exact"/>
              <w:rPr>
                <w:sz w:val="20"/>
                <w:szCs w:val="20"/>
                <w:color w:val="auto"/>
              </w:rPr>
            </w:pPr>
            <w:r>
              <w:rPr>
                <w:rFonts w:ascii="Arial" w:cs="Arial" w:eastAsia="Arial" w:hAnsi="Arial"/>
                <w:sz w:val="18"/>
                <w:szCs w:val="18"/>
                <w:color w:val="0000FF"/>
                <w:w w:val="99"/>
              </w:rPr>
              <w:t>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Statements of Cash Flows for the Six Months Ended September 30, 2022 and 2021</w:t>
            </w:r>
          </w:p>
        </w:tc>
        <w:tc>
          <w:tcPr>
            <w:tcW w:w="620" w:type="dxa"/>
            <w:vAlign w:val="bottom"/>
            <w:tcBorders>
              <w:right w:val="single" w:sz="8" w:color="CCEEFF"/>
            </w:tcBorders>
            <w:gridSpan w:val="3"/>
            <w:shd w:val="clear" w:color="auto" w:fill="CCEEFF"/>
          </w:tcPr>
          <w:p>
            <w:pPr>
              <w:jc w:val="center"/>
              <w:ind w:left="350"/>
              <w:spacing w:after="0" w:line="189" w:lineRule="exact"/>
              <w:rPr>
                <w:sz w:val="20"/>
                <w:szCs w:val="20"/>
                <w:color w:val="auto"/>
              </w:rPr>
            </w:pPr>
            <w:r>
              <w:rPr>
                <w:rFonts w:ascii="Arial" w:cs="Arial" w:eastAsia="Arial" w:hAnsi="Arial"/>
                <w:sz w:val="18"/>
                <w:szCs w:val="18"/>
                <w:color w:val="0000FF"/>
                <w:w w:val="89"/>
              </w:rPr>
              <w:t>11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7800" w:type="dxa"/>
            <w:vAlign w:val="bottom"/>
            <w:tcBorders>
              <w:top w:val="single" w:sz="8" w:color="0000FF"/>
            </w:tcBorders>
            <w:gridSpan w:val="16"/>
          </w:tcPr>
          <w:p>
            <w:pPr>
              <w:spacing w:after="0" w:line="189" w:lineRule="exact"/>
              <w:rPr>
                <w:sz w:val="20"/>
                <w:szCs w:val="20"/>
                <w:color w:val="auto"/>
              </w:rPr>
            </w:pPr>
            <w:r>
              <w:rPr>
                <w:rFonts w:ascii="Arial" w:cs="Arial" w:eastAsia="Arial" w:hAnsi="Arial"/>
                <w:sz w:val="18"/>
                <w:szCs w:val="18"/>
                <w:color w:val="0000FF"/>
              </w:rPr>
              <w:t>Notes to Condensed Consolidated Financial Statements</w:t>
            </w:r>
          </w:p>
        </w:tc>
        <w:tc>
          <w:tcPr>
            <w:tcW w:w="1800" w:type="dxa"/>
            <w:vAlign w:val="bottom"/>
            <w:tcBorders>
              <w:top w:val="single" w:sz="8" w:color="CCEEFF"/>
            </w:tcBorders>
            <w:gridSpan w:val="4"/>
          </w:tcPr>
          <w:p>
            <w:pPr>
              <w:spacing w:after="0"/>
              <w:rPr>
                <w:sz w:val="16"/>
                <w:szCs w:val="16"/>
                <w:color w:val="auto"/>
              </w:rPr>
            </w:pPr>
          </w:p>
        </w:tc>
        <w:tc>
          <w:tcPr>
            <w:tcW w:w="48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Arial" w:cs="Arial" w:eastAsia="Arial" w:hAnsi="Arial"/>
                <w:sz w:val="17"/>
                <w:szCs w:val="17"/>
                <w:color w:val="0000FF"/>
                <w:w w:val="73"/>
              </w:rPr>
              <w:t>13</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0000FF"/>
            </w:tcBorders>
            <w:gridSpan w:val="16"/>
            <w:shd w:val="clear" w:color="auto" w:fill="CCEEFF"/>
          </w:tcPr>
          <w:p>
            <w:pPr>
              <w:spacing w:after="0" w:line="189" w:lineRule="exact"/>
              <w:rPr>
                <w:sz w:val="20"/>
                <w:szCs w:val="20"/>
                <w:color w:val="auto"/>
              </w:rPr>
            </w:pPr>
            <w:r>
              <w:rPr>
                <w:rFonts w:ascii="Arial" w:cs="Arial" w:eastAsia="Arial" w:hAnsi="Arial"/>
                <w:sz w:val="18"/>
                <w:szCs w:val="18"/>
                <w:color w:val="0000FF"/>
                <w:w w:val="91"/>
              </w:rPr>
              <w:t>Item 2. Management’s Discussion and Analysis of Financial Condition and Results of Operations</w:t>
            </w:r>
          </w:p>
        </w:tc>
        <w:tc>
          <w:tcPr>
            <w:tcW w:w="3080" w:type="dxa"/>
            <w:vAlign w:val="bottom"/>
            <w:tcBorders>
              <w:bottom w:val="single" w:sz="8" w:color="CCEEFF"/>
            </w:tcBorders>
            <w:gridSpan w:val="5"/>
            <w:shd w:val="clear" w:color="auto" w:fill="CCEEFF"/>
          </w:tcPr>
          <w:p>
            <w:pPr>
              <w:spacing w:after="0"/>
              <w:rPr>
                <w:sz w:val="18"/>
                <w:szCs w:val="18"/>
                <w:color w:val="auto"/>
              </w:rPr>
            </w:pPr>
          </w:p>
        </w:tc>
        <w:tc>
          <w:tcPr>
            <w:tcW w:w="48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Arial" w:cs="Arial" w:eastAsia="Arial" w:hAnsi="Arial"/>
                <w:sz w:val="17"/>
                <w:szCs w:val="17"/>
                <w:color w:val="0000FF"/>
                <w:w w:val="73"/>
              </w:rPr>
              <w:t>44</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100" w:type="dxa"/>
            <w:vAlign w:val="bottom"/>
            <w:gridSpan w:val="21"/>
          </w:tcPr>
          <w:p>
            <w:pPr>
              <w:spacing w:after="0" w:line="189" w:lineRule="exact"/>
              <w:rPr>
                <w:sz w:val="20"/>
                <w:szCs w:val="20"/>
                <w:color w:val="auto"/>
              </w:rPr>
            </w:pPr>
            <w:r>
              <w:rPr>
                <w:rFonts w:ascii="Arial" w:cs="Arial" w:eastAsia="Arial" w:hAnsi="Arial"/>
                <w:sz w:val="18"/>
                <w:szCs w:val="18"/>
                <w:color w:val="0000FF"/>
              </w:rPr>
              <w:t>Item 3. Qualitative and Quantitative Disclosures about Market Risk</w:t>
            </w:r>
          </w:p>
        </w:tc>
        <w:tc>
          <w:tcPr>
            <w:tcW w:w="620" w:type="dxa"/>
            <w:vAlign w:val="bottom"/>
            <w:gridSpan w:val="3"/>
          </w:tcPr>
          <w:p>
            <w:pPr>
              <w:jc w:val="center"/>
              <w:ind w:left="350"/>
              <w:spacing w:after="0" w:line="189" w:lineRule="exact"/>
              <w:rPr>
                <w:sz w:val="20"/>
                <w:szCs w:val="20"/>
                <w:color w:val="auto"/>
              </w:rPr>
            </w:pPr>
            <w:r>
              <w:rPr>
                <w:rFonts w:ascii="Arial" w:cs="Arial" w:eastAsia="Arial" w:hAnsi="Arial"/>
                <w:sz w:val="18"/>
                <w:szCs w:val="18"/>
                <w:color w:val="0000FF"/>
                <w:w w:val="89"/>
              </w:rPr>
              <w:t>76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Item 4. Controls and Procedures</w:t>
            </w:r>
          </w:p>
        </w:tc>
        <w:tc>
          <w:tcPr>
            <w:tcW w:w="620" w:type="dxa"/>
            <w:vAlign w:val="bottom"/>
            <w:tcBorders>
              <w:right w:val="single" w:sz="8" w:color="CCEEFF"/>
            </w:tcBorders>
            <w:gridSpan w:val="3"/>
            <w:shd w:val="clear" w:color="auto" w:fill="CCEEFF"/>
          </w:tcPr>
          <w:p>
            <w:pPr>
              <w:jc w:val="center"/>
              <w:ind w:left="350"/>
              <w:spacing w:after="0" w:line="189" w:lineRule="exact"/>
              <w:rPr>
                <w:sz w:val="20"/>
                <w:szCs w:val="20"/>
                <w:color w:val="auto"/>
              </w:rPr>
            </w:pPr>
            <w:r>
              <w:rPr>
                <w:rFonts w:ascii="Arial" w:cs="Arial" w:eastAsia="Arial" w:hAnsi="Arial"/>
                <w:sz w:val="18"/>
                <w:szCs w:val="18"/>
                <w:color w:val="0000FF"/>
                <w:w w:val="89"/>
              </w:rPr>
              <w:t>78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7220" w:type="dxa"/>
            <w:vAlign w:val="bottom"/>
            <w:tcBorders>
              <w:top w:val="single" w:sz="8" w:color="CCEEFF"/>
            </w:tcBorders>
            <w:gridSpan w:val="10"/>
          </w:tcPr>
          <w:p>
            <w:pPr>
              <w:jc w:val="center"/>
              <w:ind w:right="1780"/>
              <w:spacing w:after="0"/>
              <w:rPr>
                <w:sz w:val="20"/>
                <w:szCs w:val="20"/>
                <w:color w:val="auto"/>
              </w:rPr>
            </w:pPr>
            <w:r>
              <w:rPr>
                <w:rFonts w:ascii="Arial" w:cs="Arial" w:eastAsia="Arial" w:hAnsi="Arial"/>
                <w:sz w:val="18"/>
                <w:szCs w:val="18"/>
                <w:color w:val="auto"/>
                <w:w w:val="96"/>
              </w:rPr>
              <w:t>PART II - OTHER INFORMATION</w:t>
            </w:r>
          </w:p>
        </w:tc>
        <w:tc>
          <w:tcPr>
            <w:tcW w:w="3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89"/>
              </w:rPr>
              <w:t>Item 1. Legal Proceedings</w:t>
            </w:r>
          </w:p>
        </w:tc>
        <w:tc>
          <w:tcPr>
            <w:tcW w:w="8200" w:type="dxa"/>
            <w:vAlign w:val="bottom"/>
            <w:tcBorders>
              <w:bottom w:val="single" w:sz="8" w:color="CCEEFF"/>
            </w:tcBorders>
            <w:gridSpan w:val="13"/>
            <w:shd w:val="clear" w:color="auto" w:fill="CCEEFF"/>
          </w:tcPr>
          <w:p>
            <w:pPr>
              <w:spacing w:after="0"/>
              <w:rPr>
                <w:sz w:val="18"/>
                <w:szCs w:val="18"/>
                <w:color w:val="auto"/>
              </w:rPr>
            </w:pPr>
          </w:p>
        </w:tc>
        <w:tc>
          <w:tcPr>
            <w:tcW w:w="48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Arial" w:cs="Arial" w:eastAsia="Arial" w:hAnsi="Arial"/>
                <w:sz w:val="17"/>
                <w:szCs w:val="17"/>
                <w:color w:val="0000FF"/>
                <w:w w:val="73"/>
              </w:rPr>
              <w:t>78</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100" w:type="dxa"/>
            <w:vAlign w:val="bottom"/>
            <w:gridSpan w:val="21"/>
          </w:tcPr>
          <w:p>
            <w:pPr>
              <w:spacing w:after="0" w:line="189" w:lineRule="exact"/>
              <w:rPr>
                <w:sz w:val="20"/>
                <w:szCs w:val="20"/>
                <w:color w:val="auto"/>
              </w:rPr>
            </w:pPr>
            <w:r>
              <w:rPr>
                <w:rFonts w:ascii="Arial" w:cs="Arial" w:eastAsia="Arial" w:hAnsi="Arial"/>
                <w:sz w:val="18"/>
                <w:szCs w:val="18"/>
                <w:color w:val="0000FF"/>
              </w:rPr>
              <w:t>Item 1A. Risk Factors</w:t>
            </w:r>
          </w:p>
        </w:tc>
        <w:tc>
          <w:tcPr>
            <w:tcW w:w="620" w:type="dxa"/>
            <w:vAlign w:val="bottom"/>
            <w:gridSpan w:val="3"/>
          </w:tcPr>
          <w:p>
            <w:pPr>
              <w:jc w:val="center"/>
              <w:ind w:left="350"/>
              <w:spacing w:after="0" w:line="189" w:lineRule="exact"/>
              <w:rPr>
                <w:sz w:val="20"/>
                <w:szCs w:val="20"/>
                <w:color w:val="auto"/>
              </w:rPr>
            </w:pPr>
            <w:r>
              <w:rPr>
                <w:rFonts w:ascii="Arial" w:cs="Arial" w:eastAsia="Arial" w:hAnsi="Arial"/>
                <w:sz w:val="18"/>
                <w:szCs w:val="18"/>
                <w:color w:val="0000FF"/>
                <w:w w:val="89"/>
              </w:rPr>
              <w:t>79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Item 2. Unregistered Sales of Equity Securities and Use of Proceeds</w:t>
            </w:r>
          </w:p>
        </w:tc>
        <w:tc>
          <w:tcPr>
            <w:tcW w:w="620" w:type="dxa"/>
            <w:vAlign w:val="bottom"/>
            <w:tcBorders>
              <w:right w:val="single" w:sz="8" w:color="CCEEFF"/>
            </w:tcBorders>
            <w:gridSpan w:val="3"/>
            <w:shd w:val="clear" w:color="auto" w:fill="CCEEFF"/>
          </w:tcPr>
          <w:p>
            <w:pPr>
              <w:jc w:val="center"/>
              <w:ind w:left="350"/>
              <w:spacing w:after="0" w:line="189" w:lineRule="exact"/>
              <w:rPr>
                <w:sz w:val="20"/>
                <w:szCs w:val="20"/>
                <w:color w:val="auto"/>
              </w:rPr>
            </w:pPr>
            <w:r>
              <w:rPr>
                <w:rFonts w:ascii="Arial" w:cs="Arial" w:eastAsia="Arial" w:hAnsi="Arial"/>
                <w:sz w:val="18"/>
                <w:szCs w:val="18"/>
                <w:color w:val="0000FF"/>
                <w:w w:val="89"/>
              </w:rPr>
              <w:t>79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900" w:type="dxa"/>
            <w:vAlign w:val="bottom"/>
            <w:tcBorders>
              <w:top w:val="single" w:sz="8" w:color="0000FF"/>
            </w:tcBorders>
            <w:gridSpan w:val="14"/>
          </w:tcPr>
          <w:p>
            <w:pPr>
              <w:spacing w:after="0" w:line="189" w:lineRule="exact"/>
              <w:rPr>
                <w:sz w:val="20"/>
                <w:szCs w:val="20"/>
                <w:color w:val="auto"/>
              </w:rPr>
            </w:pPr>
            <w:r>
              <w:rPr>
                <w:rFonts w:ascii="Arial" w:cs="Arial" w:eastAsia="Arial" w:hAnsi="Arial"/>
                <w:sz w:val="18"/>
                <w:szCs w:val="18"/>
                <w:color w:val="0000FF"/>
              </w:rPr>
              <w:t>Item 3. Defaults Upon Senior Securities</w:t>
            </w:r>
          </w:p>
        </w:tc>
        <w:tc>
          <w:tcPr>
            <w:tcW w:w="5200" w:type="dxa"/>
            <w:vAlign w:val="bottom"/>
            <w:tcBorders>
              <w:top w:val="single" w:sz="8" w:color="CCEEFF"/>
            </w:tcBorders>
            <w:gridSpan w:val="7"/>
          </w:tcPr>
          <w:p>
            <w:pPr>
              <w:spacing w:after="0"/>
              <w:rPr>
                <w:sz w:val="16"/>
                <w:szCs w:val="16"/>
                <w:color w:val="auto"/>
              </w:rPr>
            </w:pPr>
          </w:p>
        </w:tc>
        <w:tc>
          <w:tcPr>
            <w:tcW w:w="48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Arial" w:cs="Arial" w:eastAsia="Arial" w:hAnsi="Arial"/>
                <w:sz w:val="17"/>
                <w:szCs w:val="17"/>
                <w:color w:val="0000FF"/>
                <w:w w:val="73"/>
              </w:rPr>
              <w:t>79</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Item 4. Mine Safety Disclosures</w:t>
            </w:r>
          </w:p>
        </w:tc>
        <w:tc>
          <w:tcPr>
            <w:tcW w:w="620" w:type="dxa"/>
            <w:vAlign w:val="bottom"/>
            <w:tcBorders>
              <w:right w:val="single" w:sz="8" w:color="CCEEFF"/>
            </w:tcBorders>
            <w:gridSpan w:val="3"/>
            <w:shd w:val="clear" w:color="auto" w:fill="CCEEFF"/>
          </w:tcPr>
          <w:p>
            <w:pPr>
              <w:jc w:val="center"/>
              <w:ind w:left="350"/>
              <w:spacing w:after="0" w:line="189" w:lineRule="exact"/>
              <w:rPr>
                <w:sz w:val="20"/>
                <w:szCs w:val="20"/>
                <w:color w:val="auto"/>
              </w:rPr>
            </w:pPr>
            <w:r>
              <w:rPr>
                <w:rFonts w:ascii="Arial" w:cs="Arial" w:eastAsia="Arial" w:hAnsi="Arial"/>
                <w:sz w:val="18"/>
                <w:szCs w:val="18"/>
                <w:color w:val="0000FF"/>
                <w:w w:val="89"/>
              </w:rPr>
              <w:t>79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320" w:type="dxa"/>
            <w:vAlign w:val="bottom"/>
            <w:tcBorders>
              <w:top w:val="single" w:sz="8" w:color="0000FF"/>
            </w:tcBorders>
            <w:gridSpan w:val="10"/>
          </w:tcPr>
          <w:p>
            <w:pPr>
              <w:spacing w:after="0" w:line="189" w:lineRule="exact"/>
              <w:rPr>
                <w:sz w:val="20"/>
                <w:szCs w:val="20"/>
                <w:color w:val="auto"/>
              </w:rPr>
            </w:pPr>
            <w:r>
              <w:rPr>
                <w:rFonts w:ascii="Arial" w:cs="Arial" w:eastAsia="Arial" w:hAnsi="Arial"/>
                <w:sz w:val="18"/>
                <w:szCs w:val="18"/>
                <w:color w:val="0000FF"/>
              </w:rPr>
              <w:t>Item 5. Other Information</w:t>
            </w:r>
          </w:p>
        </w:tc>
        <w:tc>
          <w:tcPr>
            <w:tcW w:w="7780" w:type="dxa"/>
            <w:vAlign w:val="bottom"/>
            <w:tcBorders>
              <w:top w:val="single" w:sz="8" w:color="CCEEFF"/>
            </w:tcBorders>
            <w:gridSpan w:val="11"/>
          </w:tcPr>
          <w:p>
            <w:pPr>
              <w:spacing w:after="0"/>
              <w:rPr>
                <w:sz w:val="16"/>
                <w:szCs w:val="16"/>
                <w:color w:val="auto"/>
              </w:rPr>
            </w:pPr>
          </w:p>
        </w:tc>
        <w:tc>
          <w:tcPr>
            <w:tcW w:w="48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Arial" w:cs="Arial" w:eastAsia="Arial" w:hAnsi="Arial"/>
                <w:sz w:val="17"/>
                <w:szCs w:val="17"/>
                <w:color w:val="0000FF"/>
                <w:w w:val="73"/>
              </w:rPr>
              <w:t>79</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Item 6. Exhibits</w:t>
            </w:r>
          </w:p>
        </w:tc>
        <w:tc>
          <w:tcPr>
            <w:tcW w:w="620" w:type="dxa"/>
            <w:vAlign w:val="bottom"/>
            <w:tcBorders>
              <w:right w:val="single" w:sz="8" w:color="CCEEFF"/>
            </w:tcBorders>
            <w:gridSpan w:val="3"/>
            <w:shd w:val="clear" w:color="auto" w:fill="CCEEFF"/>
          </w:tcPr>
          <w:p>
            <w:pPr>
              <w:jc w:val="center"/>
              <w:ind w:left="350"/>
              <w:spacing w:after="0" w:line="189" w:lineRule="exact"/>
              <w:rPr>
                <w:sz w:val="20"/>
                <w:szCs w:val="20"/>
                <w:color w:val="auto"/>
              </w:rPr>
            </w:pPr>
            <w:r>
              <w:rPr>
                <w:rFonts w:ascii="Arial" w:cs="Arial" w:eastAsia="Arial" w:hAnsi="Arial"/>
                <w:sz w:val="18"/>
                <w:szCs w:val="18"/>
                <w:color w:val="0000FF"/>
                <w:w w:val="89"/>
              </w:rPr>
              <w:t>80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0000FF"/>
            </w:tcBorders>
            <w:gridSpan w:val="4"/>
          </w:tcPr>
          <w:p>
            <w:pPr>
              <w:spacing w:after="0" w:line="189" w:lineRule="exact"/>
              <w:rPr>
                <w:sz w:val="20"/>
                <w:szCs w:val="20"/>
                <w:color w:val="auto"/>
              </w:rPr>
            </w:pPr>
            <w:r>
              <w:rPr>
                <w:rFonts w:ascii="Arial" w:cs="Arial" w:eastAsia="Arial" w:hAnsi="Arial"/>
                <w:sz w:val="18"/>
                <w:szCs w:val="18"/>
                <w:color w:val="0000FF"/>
              </w:rPr>
              <w:t>Signatures</w:t>
            </w:r>
          </w:p>
        </w:tc>
        <w:tc>
          <w:tcPr>
            <w:tcW w:w="8940" w:type="dxa"/>
            <w:vAlign w:val="bottom"/>
            <w:tcBorders>
              <w:top w:val="single" w:sz="8" w:color="CCEEFF"/>
            </w:tcBorders>
            <w:gridSpan w:val="17"/>
          </w:tcPr>
          <w:p>
            <w:pPr>
              <w:spacing w:after="0"/>
              <w:rPr>
                <w:sz w:val="16"/>
                <w:szCs w:val="16"/>
                <w:color w:val="auto"/>
              </w:rPr>
            </w:pPr>
          </w:p>
        </w:tc>
        <w:tc>
          <w:tcPr>
            <w:tcW w:w="48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Arial" w:cs="Arial" w:eastAsia="Arial" w:hAnsi="Arial"/>
                <w:sz w:val="17"/>
                <w:szCs w:val="17"/>
                <w:color w:val="0000FF"/>
                <w:w w:val="73"/>
              </w:rPr>
              <w:t>81</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36" w:lineRule="exact"/>
        <w:rPr>
          <w:sz w:val="20"/>
          <w:szCs w:val="20"/>
          <w:color w:val="auto"/>
        </w:rPr>
      </w:pPr>
    </w:p>
    <w:p>
      <w:pPr>
        <w:ind w:firstLine="648"/>
        <w:spacing w:after="0" w:line="321" w:lineRule="auto"/>
        <w:rPr>
          <w:sz w:val="20"/>
          <w:szCs w:val="20"/>
          <w:color w:val="auto"/>
        </w:rPr>
      </w:pPr>
      <w:r>
        <w:rPr>
          <w:rFonts w:ascii="Arial" w:cs="Arial" w:eastAsia="Arial" w:hAnsi="Arial"/>
          <w:sz w:val="16"/>
          <w:szCs w:val="16"/>
          <w:color w:val="auto"/>
        </w:rPr>
        <w:t>This Quarterly Report on Form 10-Q (“Form 10-Q”) includes certain information regarding the historical investment performance of our focused commingled funds and separately managed accounts. An investment in shares of our Class A common stock is not an investment in any StepStone Fund (as defined below). The StepStone Funds are separate, distinct legal entities that are not our subsidiaries. In the event of our bankruptcy or liquidation, you will have no claim against the StepStone Funds. In considering the performance information relating to the StepStone Funds contained herein, current and prospective Class A common stockholders should bear in mind that the performance of the StepStone Funds is not indicative of the possible performance of shares of our Class A common stock and also is not necessarily indicative of the future results of the StepStone Funds, even if fund investments were in fact liquidated on the dates indicated, and we cannot assure you that the StepStone Funds will continue to achieve, or that future StepStone Funds will achieve, comparable results.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Unless otherwise indicated or the context otherwise requires:</w:t>
      </w:r>
    </w:p>
    <w:p>
      <w:pPr>
        <w:spacing w:after="0" w:line="223" w:lineRule="exact"/>
        <w:rPr>
          <w:sz w:val="20"/>
          <w:szCs w:val="20"/>
          <w:color w:val="auto"/>
        </w:rPr>
      </w:pPr>
    </w:p>
    <w:p>
      <w:pPr>
        <w:ind w:left="660" w:right="1040" w:hanging="4"/>
        <w:spacing w:after="0" w:line="281"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StepStone Group Inc.</w:t>
      </w:r>
      <w:r>
        <w:rPr>
          <w:rFonts w:ascii="Arial" w:cs="Arial" w:eastAsia="Arial" w:hAnsi="Arial"/>
          <w:sz w:val="20"/>
          <w:szCs w:val="20"/>
          <w:color w:val="auto"/>
        </w:rPr>
        <w:t>” or “</w:t>
      </w:r>
      <w:r>
        <w:rPr>
          <w:rFonts w:ascii="Arial" w:cs="Arial" w:eastAsia="Arial" w:hAnsi="Arial"/>
          <w:sz w:val="20"/>
          <w:szCs w:val="20"/>
          <w:b w:val="1"/>
          <w:bCs w:val="1"/>
          <w:color w:val="auto"/>
        </w:rPr>
        <w:t>SSG</w:t>
      </w:r>
      <w:r>
        <w:rPr>
          <w:rFonts w:ascii="Arial" w:cs="Arial" w:eastAsia="Arial" w:hAnsi="Arial"/>
          <w:sz w:val="20"/>
          <w:szCs w:val="20"/>
          <w:color w:val="auto"/>
        </w:rPr>
        <w:t>” refers solely to StepStone Group Inc., a Delaware corporation, and not to any of its subsidiaries;</w:t>
      </w:r>
    </w:p>
    <w:p>
      <w:pPr>
        <w:spacing w:after="0" w:line="149" w:lineRule="exact"/>
        <w:rPr>
          <w:rFonts w:ascii="Arial" w:cs="Arial" w:eastAsia="Arial" w:hAnsi="Arial"/>
          <w:sz w:val="20"/>
          <w:szCs w:val="20"/>
          <w:color w:val="auto"/>
        </w:rPr>
      </w:pPr>
    </w:p>
    <w:p>
      <w:pPr>
        <w:ind w:left="780" w:hanging="124"/>
        <w:spacing w:after="0"/>
        <w:tabs>
          <w:tab w:leader="none" w:pos="78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color w:val="auto"/>
        </w:rPr>
        <w:t>Partnership</w:t>
      </w:r>
      <w:r>
        <w:rPr>
          <w:rFonts w:ascii="Arial" w:cs="Arial" w:eastAsia="Arial" w:hAnsi="Arial"/>
          <w:sz w:val="19"/>
          <w:szCs w:val="19"/>
          <w:color w:val="auto"/>
        </w:rPr>
        <w:t>” refers solely to StepStone Group LP, a Delaware limited partnership, and not to any of its subsidiaries;</w:t>
      </w:r>
    </w:p>
    <w:p>
      <w:pPr>
        <w:spacing w:after="0" w:line="240" w:lineRule="exact"/>
        <w:rPr>
          <w:rFonts w:ascii="Arial" w:cs="Arial" w:eastAsia="Arial" w:hAnsi="Arial"/>
          <w:sz w:val="19"/>
          <w:szCs w:val="19"/>
          <w:color w:val="auto"/>
        </w:rPr>
      </w:pPr>
    </w:p>
    <w:p>
      <w:pPr>
        <w:ind w:left="660" w:right="60" w:hanging="4"/>
        <w:spacing w:after="0" w:line="267"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General Partner</w:t>
      </w:r>
      <w:r>
        <w:rPr>
          <w:rFonts w:ascii="Arial" w:cs="Arial" w:eastAsia="Arial" w:hAnsi="Arial"/>
          <w:sz w:val="20"/>
          <w:szCs w:val="20"/>
          <w:color w:val="auto"/>
        </w:rPr>
        <w:t>” refers to StepStone Group Holdings LLC, a Delaware limited liability company, and the sole general partner of the Partnership;</w:t>
      </w:r>
    </w:p>
    <w:p>
      <w:pPr>
        <w:spacing w:after="0" w:line="176" w:lineRule="exact"/>
        <w:rPr>
          <w:rFonts w:ascii="Arial" w:cs="Arial" w:eastAsia="Arial" w:hAnsi="Arial"/>
          <w:sz w:val="20"/>
          <w:szCs w:val="20"/>
          <w:color w:val="auto"/>
        </w:rPr>
      </w:pPr>
    </w:p>
    <w:p>
      <w:pPr>
        <w:ind w:left="660" w:hanging="4"/>
        <w:spacing w:after="0" w:line="281"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we</w:t>
      </w:r>
      <w:r>
        <w:rPr>
          <w:rFonts w:ascii="Arial" w:cs="Arial" w:eastAsia="Arial" w:hAnsi="Arial"/>
          <w:sz w:val="20"/>
          <w:szCs w:val="20"/>
          <w:color w:val="auto"/>
        </w:rPr>
        <w:t>,” “</w:t>
      </w:r>
      <w:r>
        <w:rPr>
          <w:rFonts w:ascii="Arial" w:cs="Arial" w:eastAsia="Arial" w:hAnsi="Arial"/>
          <w:sz w:val="20"/>
          <w:szCs w:val="20"/>
          <w:b w:val="1"/>
          <w:bCs w:val="1"/>
          <w:color w:val="auto"/>
        </w:rPr>
        <w:t>us</w:t>
      </w:r>
      <w:r>
        <w:rPr>
          <w:rFonts w:ascii="Arial" w:cs="Arial" w:eastAsia="Arial" w:hAnsi="Arial"/>
          <w:sz w:val="20"/>
          <w:szCs w:val="20"/>
          <w:color w:val="auto"/>
        </w:rPr>
        <w:t>,” “</w:t>
      </w:r>
      <w:r>
        <w:rPr>
          <w:rFonts w:ascii="Arial" w:cs="Arial" w:eastAsia="Arial" w:hAnsi="Arial"/>
          <w:sz w:val="20"/>
          <w:szCs w:val="20"/>
          <w:b w:val="1"/>
          <w:bCs w:val="1"/>
          <w:color w:val="auto"/>
        </w:rPr>
        <w:t>our</w:t>
      </w:r>
      <w:r>
        <w:rPr>
          <w:rFonts w:ascii="Arial" w:cs="Arial" w:eastAsia="Arial" w:hAnsi="Arial"/>
          <w:sz w:val="20"/>
          <w:szCs w:val="20"/>
          <w:color w:val="auto"/>
        </w:rPr>
        <w:t>,” the “</w:t>
      </w:r>
      <w:r>
        <w:rPr>
          <w:rFonts w:ascii="Arial" w:cs="Arial" w:eastAsia="Arial" w:hAnsi="Arial"/>
          <w:sz w:val="20"/>
          <w:szCs w:val="20"/>
          <w:b w:val="1"/>
          <w:bCs w:val="1"/>
          <w:color w:val="auto"/>
        </w:rPr>
        <w:t>Company</w:t>
      </w:r>
      <w:r>
        <w:rPr>
          <w:rFonts w:ascii="Arial" w:cs="Arial" w:eastAsia="Arial" w:hAnsi="Arial"/>
          <w:sz w:val="20"/>
          <w:szCs w:val="20"/>
          <w:color w:val="auto"/>
        </w:rPr>
        <w:t>,” “</w:t>
      </w:r>
      <w:r>
        <w:rPr>
          <w:rFonts w:ascii="Arial" w:cs="Arial" w:eastAsia="Arial" w:hAnsi="Arial"/>
          <w:sz w:val="20"/>
          <w:szCs w:val="20"/>
          <w:b w:val="1"/>
          <w:bCs w:val="1"/>
          <w:color w:val="auto"/>
        </w:rPr>
        <w:t>our company</w:t>
      </w:r>
      <w:r>
        <w:rPr>
          <w:rFonts w:ascii="Arial" w:cs="Arial" w:eastAsia="Arial" w:hAnsi="Arial"/>
          <w:sz w:val="20"/>
          <w:szCs w:val="20"/>
          <w:color w:val="auto"/>
        </w:rPr>
        <w:t>,” “</w:t>
      </w:r>
      <w:r>
        <w:rPr>
          <w:rFonts w:ascii="Arial" w:cs="Arial" w:eastAsia="Arial" w:hAnsi="Arial"/>
          <w:sz w:val="20"/>
          <w:szCs w:val="20"/>
          <w:b w:val="1"/>
          <w:bCs w:val="1"/>
          <w:color w:val="auto"/>
        </w:rPr>
        <w:t>StepStone</w:t>
      </w:r>
      <w:r>
        <w:rPr>
          <w:rFonts w:ascii="Arial" w:cs="Arial" w:eastAsia="Arial" w:hAnsi="Arial"/>
          <w:sz w:val="20"/>
          <w:szCs w:val="20"/>
          <w:color w:val="auto"/>
        </w:rPr>
        <w:t>” and similar terms refer to SSG and its consolidated subsidiaries, including the Partnership;</w:t>
      </w:r>
    </w:p>
    <w:p>
      <w:pPr>
        <w:spacing w:after="0" w:line="149" w:lineRule="exact"/>
        <w:rPr>
          <w:rFonts w:ascii="Arial" w:cs="Arial" w:eastAsia="Arial" w:hAnsi="Arial"/>
          <w:sz w:val="20"/>
          <w:szCs w:val="20"/>
          <w:color w:val="auto"/>
        </w:rPr>
      </w:pPr>
    </w:p>
    <w:p>
      <w:pPr>
        <w:ind w:left="660" w:right="620" w:hanging="4"/>
        <w:spacing w:after="0" w:line="411" w:lineRule="auto"/>
        <w:tabs>
          <w:tab w:leader="none" w:pos="77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StepStone Funds</w:t>
      </w:r>
      <w:r>
        <w:rPr>
          <w:rFonts w:ascii="Arial" w:cs="Arial" w:eastAsia="Arial" w:hAnsi="Arial"/>
          <w:sz w:val="16"/>
          <w:szCs w:val="16"/>
          <w:color w:val="auto"/>
        </w:rPr>
        <w:t>” or “</w:t>
      </w:r>
      <w:r>
        <w:rPr>
          <w:rFonts w:ascii="Arial" w:cs="Arial" w:eastAsia="Arial" w:hAnsi="Arial"/>
          <w:sz w:val="16"/>
          <w:szCs w:val="16"/>
          <w:b w:val="1"/>
          <w:bCs w:val="1"/>
          <w:color w:val="auto"/>
        </w:rPr>
        <w:t>our funds</w:t>
      </w:r>
      <w:r>
        <w:rPr>
          <w:rFonts w:ascii="Arial" w:cs="Arial" w:eastAsia="Arial" w:hAnsi="Arial"/>
          <w:sz w:val="16"/>
          <w:szCs w:val="16"/>
          <w:color w:val="auto"/>
        </w:rPr>
        <w:t>” refer to our focused commingled funds and our separately managed accounts, including acquired Greenspring funds, for which we act as both investment adviser and general partner or managing member;</w:t>
      </w:r>
    </w:p>
    <w:p>
      <w:pPr>
        <w:spacing w:after="0" w:line="58" w:lineRule="exact"/>
        <w:rPr>
          <w:rFonts w:ascii="Arial" w:cs="Arial" w:eastAsia="Arial" w:hAnsi="Arial"/>
          <w:sz w:val="16"/>
          <w:szCs w:val="16"/>
          <w:color w:val="auto"/>
        </w:rPr>
      </w:pPr>
    </w:p>
    <w:p>
      <w:pPr>
        <w:ind w:left="780" w:hanging="124"/>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references to the “</w:t>
      </w:r>
      <w:r>
        <w:rPr>
          <w:rFonts w:ascii="Arial" w:cs="Arial" w:eastAsia="Arial" w:hAnsi="Arial"/>
          <w:sz w:val="18"/>
          <w:szCs w:val="18"/>
          <w:b w:val="1"/>
          <w:bCs w:val="1"/>
          <w:color w:val="auto"/>
        </w:rPr>
        <w:t>Greenspring acquisition</w:t>
      </w:r>
      <w:r>
        <w:rPr>
          <w:rFonts w:ascii="Arial" w:cs="Arial" w:eastAsia="Arial" w:hAnsi="Arial"/>
          <w:sz w:val="18"/>
          <w:szCs w:val="18"/>
          <w:color w:val="auto"/>
        </w:rPr>
        <w:t>” refer to the acquisition of Greenspring Associates, Inc. and certain of its affiliates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Greenspring</w:t>
      </w:r>
      <w:r>
        <w:rPr>
          <w:rFonts w:ascii="Arial" w:cs="Arial" w:eastAsia="Arial" w:hAnsi="Arial"/>
          <w:sz w:val="20"/>
          <w:szCs w:val="20"/>
          <w:color w:val="auto"/>
        </w:rPr>
        <w:t>”) that was completed on September 20, 2021;</w:t>
      </w:r>
    </w:p>
    <w:p>
      <w:pPr>
        <w:spacing w:after="0" w:line="216" w:lineRule="exact"/>
        <w:rPr>
          <w:sz w:val="20"/>
          <w:szCs w:val="20"/>
          <w:color w:val="auto"/>
        </w:rPr>
      </w:pPr>
    </w:p>
    <w:p>
      <w:pPr>
        <w:ind w:left="780" w:hanging="124"/>
        <w:spacing w:after="0"/>
        <w:tabs>
          <w:tab w:leader="none" w:pos="78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FY</w:t>
      </w:r>
      <w:r>
        <w:rPr>
          <w:rFonts w:ascii="Arial" w:cs="Arial" w:eastAsia="Arial" w:hAnsi="Arial"/>
          <w:sz w:val="20"/>
          <w:szCs w:val="20"/>
          <w:color w:val="auto"/>
        </w:rPr>
        <w:t>,” “</w:t>
      </w:r>
      <w:r>
        <w:rPr>
          <w:rFonts w:ascii="Arial" w:cs="Arial" w:eastAsia="Arial" w:hAnsi="Arial"/>
          <w:sz w:val="20"/>
          <w:szCs w:val="20"/>
          <w:b w:val="1"/>
          <w:bCs w:val="1"/>
          <w:color w:val="auto"/>
        </w:rPr>
        <w:t>fiscal</w:t>
      </w:r>
      <w:r>
        <w:rPr>
          <w:rFonts w:ascii="Arial" w:cs="Arial" w:eastAsia="Arial" w:hAnsi="Arial"/>
          <w:sz w:val="20"/>
          <w:szCs w:val="20"/>
          <w:color w:val="auto"/>
        </w:rPr>
        <w:t>” or “</w:t>
      </w:r>
      <w:r>
        <w:rPr>
          <w:rFonts w:ascii="Arial" w:cs="Arial" w:eastAsia="Arial" w:hAnsi="Arial"/>
          <w:sz w:val="20"/>
          <w:szCs w:val="20"/>
          <w:b w:val="1"/>
          <w:bCs w:val="1"/>
          <w:color w:val="auto"/>
        </w:rPr>
        <w:t>fiscal year</w:t>
      </w:r>
      <w:r>
        <w:rPr>
          <w:rFonts w:ascii="Arial" w:cs="Arial" w:eastAsia="Arial" w:hAnsi="Arial"/>
          <w:sz w:val="20"/>
          <w:szCs w:val="20"/>
          <w:color w:val="auto"/>
        </w:rPr>
        <w:t>” are to the fiscal year ended March 31 of the applicable year;</w:t>
      </w:r>
    </w:p>
    <w:p>
      <w:pPr>
        <w:spacing w:after="0" w:line="215" w:lineRule="exact"/>
        <w:rPr>
          <w:rFonts w:ascii="Arial" w:cs="Arial" w:eastAsia="Arial" w:hAnsi="Arial"/>
          <w:sz w:val="20"/>
          <w:szCs w:val="20"/>
          <w:color w:val="auto"/>
        </w:rPr>
      </w:pPr>
    </w:p>
    <w:p>
      <w:pPr>
        <w:ind w:left="660" w:right="440" w:hanging="4"/>
        <w:spacing w:after="0" w:line="281" w:lineRule="auto"/>
        <w:tabs>
          <w:tab w:leader="none" w:pos="779"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the “</w:t>
      </w:r>
      <w:r>
        <w:rPr>
          <w:rFonts w:ascii="Arial" w:cs="Arial" w:eastAsia="Arial" w:hAnsi="Arial"/>
          <w:sz w:val="20"/>
          <w:szCs w:val="20"/>
          <w:b w:val="1"/>
          <w:bCs w:val="1"/>
          <w:color w:val="auto"/>
        </w:rPr>
        <w:t>Reorganization</w:t>
      </w:r>
      <w:r>
        <w:rPr>
          <w:rFonts w:ascii="Arial" w:cs="Arial" w:eastAsia="Arial" w:hAnsi="Arial"/>
          <w:sz w:val="20"/>
          <w:szCs w:val="20"/>
          <w:color w:val="auto"/>
        </w:rPr>
        <w:t>” refer to the series of transactions immediately before the Company’s initial public offering (“</w:t>
      </w:r>
      <w:r>
        <w:rPr>
          <w:rFonts w:ascii="Arial" w:cs="Arial" w:eastAsia="Arial" w:hAnsi="Arial"/>
          <w:sz w:val="20"/>
          <w:szCs w:val="20"/>
          <w:b w:val="1"/>
          <w:bCs w:val="1"/>
          <w:color w:val="auto"/>
        </w:rPr>
        <w:t>IPO</w:t>
      </w:r>
      <w:r>
        <w:rPr>
          <w:rFonts w:ascii="Arial" w:cs="Arial" w:eastAsia="Arial" w:hAnsi="Arial"/>
          <w:sz w:val="20"/>
          <w:szCs w:val="20"/>
          <w:color w:val="auto"/>
        </w:rPr>
        <w:t>”), which was completed on September 18, 2020;</w:t>
      </w:r>
    </w:p>
    <w:p>
      <w:pPr>
        <w:spacing w:after="0" w:line="149" w:lineRule="exact"/>
        <w:rPr>
          <w:rFonts w:ascii="Arial" w:cs="Arial" w:eastAsia="Arial" w:hAnsi="Arial"/>
          <w:sz w:val="20"/>
          <w:szCs w:val="20"/>
          <w:color w:val="auto"/>
        </w:rPr>
      </w:pPr>
    </w:p>
    <w:p>
      <w:pPr>
        <w:ind w:left="660" w:right="640" w:hanging="4"/>
        <w:spacing w:after="0" w:line="281" w:lineRule="auto"/>
        <w:tabs>
          <w:tab w:leader="none" w:pos="779"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private markets allocations</w:t>
      </w:r>
      <w:r>
        <w:rPr>
          <w:rFonts w:ascii="Arial" w:cs="Arial" w:eastAsia="Arial" w:hAnsi="Arial"/>
          <w:sz w:val="20"/>
          <w:szCs w:val="20"/>
          <w:color w:val="auto"/>
        </w:rPr>
        <w:t>” or “</w:t>
      </w:r>
      <w:r>
        <w:rPr>
          <w:rFonts w:ascii="Arial" w:cs="Arial" w:eastAsia="Arial" w:hAnsi="Arial"/>
          <w:sz w:val="20"/>
          <w:szCs w:val="20"/>
          <w:b w:val="1"/>
          <w:bCs w:val="1"/>
          <w:color w:val="auto"/>
        </w:rPr>
        <w:t>combined AUM / AUA</w:t>
      </w:r>
      <w:r>
        <w:rPr>
          <w:rFonts w:ascii="Arial" w:cs="Arial" w:eastAsia="Arial" w:hAnsi="Arial"/>
          <w:sz w:val="20"/>
          <w:szCs w:val="20"/>
          <w:color w:val="auto"/>
        </w:rPr>
        <w:t>” refer to the aggregate amount of our assets under management (“</w:t>
      </w:r>
      <w:r>
        <w:rPr>
          <w:rFonts w:ascii="Arial" w:cs="Arial" w:eastAsia="Arial" w:hAnsi="Arial"/>
          <w:sz w:val="20"/>
          <w:szCs w:val="20"/>
          <w:b w:val="1"/>
          <w:bCs w:val="1"/>
          <w:color w:val="auto"/>
        </w:rPr>
        <w:t>AUM</w:t>
      </w:r>
      <w:r>
        <w:rPr>
          <w:rFonts w:ascii="Arial" w:cs="Arial" w:eastAsia="Arial" w:hAnsi="Arial"/>
          <w:sz w:val="20"/>
          <w:szCs w:val="20"/>
          <w:color w:val="auto"/>
        </w:rPr>
        <w:t>”) and our assets under advisement (“</w:t>
      </w:r>
      <w:r>
        <w:rPr>
          <w:rFonts w:ascii="Arial" w:cs="Arial" w:eastAsia="Arial" w:hAnsi="Arial"/>
          <w:sz w:val="20"/>
          <w:szCs w:val="20"/>
          <w:b w:val="1"/>
          <w:bCs w:val="1"/>
          <w:color w:val="auto"/>
        </w:rPr>
        <w:t>AUA”</w:t>
      </w:r>
      <w:r>
        <w:rPr>
          <w:rFonts w:ascii="Arial" w:cs="Arial" w:eastAsia="Arial" w:hAnsi="Arial"/>
          <w:sz w:val="20"/>
          <w:szCs w:val="20"/>
          <w:color w:val="auto"/>
        </w:rPr>
        <w:t>);</w:t>
      </w:r>
    </w:p>
    <w:p>
      <w:pPr>
        <w:spacing w:after="0" w:line="163" w:lineRule="exact"/>
        <w:rPr>
          <w:rFonts w:ascii="Arial" w:cs="Arial" w:eastAsia="Arial" w:hAnsi="Arial"/>
          <w:sz w:val="20"/>
          <w:szCs w:val="20"/>
          <w:color w:val="auto"/>
        </w:rPr>
      </w:pPr>
    </w:p>
    <w:p>
      <w:pPr>
        <w:ind w:left="780" w:hanging="124"/>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high-net-worth</w:t>
      </w:r>
      <w:r>
        <w:rPr>
          <w:rFonts w:ascii="Arial" w:cs="Arial" w:eastAsia="Arial" w:hAnsi="Arial"/>
          <w:sz w:val="18"/>
          <w:szCs w:val="18"/>
          <w:color w:val="auto"/>
        </w:rPr>
        <w:t>” individuals refer to individuals with net worth of over $5 million, excluding primary residence; and</w:t>
      </w:r>
    </w:p>
    <w:p>
      <w:pPr>
        <w:spacing w:after="0" w:line="238" w:lineRule="exact"/>
        <w:rPr>
          <w:rFonts w:ascii="Arial" w:cs="Arial" w:eastAsia="Arial" w:hAnsi="Arial"/>
          <w:sz w:val="18"/>
          <w:szCs w:val="18"/>
          <w:color w:val="auto"/>
        </w:rPr>
      </w:pPr>
    </w:p>
    <w:p>
      <w:pPr>
        <w:ind w:left="660" w:right="220" w:hanging="4"/>
        <w:spacing w:after="0" w:line="281" w:lineRule="auto"/>
        <w:tabs>
          <w:tab w:leader="none" w:pos="779"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mass affluent</w:t>
      </w:r>
      <w:r>
        <w:rPr>
          <w:rFonts w:ascii="Arial" w:cs="Arial" w:eastAsia="Arial" w:hAnsi="Arial"/>
          <w:sz w:val="20"/>
          <w:szCs w:val="20"/>
          <w:color w:val="auto"/>
        </w:rPr>
        <w:t>” individuals refer to individuals with annual income over $200,000 or net worth between $1 million and $5 million, excluding primary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TRADEMARKS, SERVICE MARKS AND TRADE NAMES</w:t>
      </w:r>
    </w:p>
    <w:p>
      <w:pPr>
        <w:spacing w:after="0" w:line="2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10-Q are listed without the ©, ® and ™ symbols, but we will assert, to the fullest extent under applicable law, our rights or the rights of the applicable licensors to these trademarks, service marks, trade names and copyrights.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This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including statements regarding guidance, industry prospects or future results of operations or financial position made in this Form 10-Q are forward-looking. We use words such as “anticipate,” “believe,” “continue,” “estimate,” “expect,” “future,” “intend,” “may,” “plan” and “will” and similar expressions to identify forward-looking statements. Forward-looking statements reflect management’s current plans, estimates and expectations and are inherently uncertain. The inclusion of any forward-looking information should not be regarded as a representation by us or any other person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and the risks and uncertainties described in greater detail under “Risk Factors” in Part I, Item 1A of our Annual Report on Form 10-K for the fiscal year ended March 31, 2022 and in our subsequent reports filed from time to time with the U.S. Securities and Exchange Commission (“SEC”), which are accessible on the SEC’s website at www.sec.gov. These factors should not be construed as exhaustive and should be read in conjunction with the other cautionary statements that are included in this Form 10-Q and in our other periodic filings. We undertake no obligation to revise or update any forward-looking statements, whether as a result of new information, future events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w w:val="84"/>
              </w:rPr>
              <w:t>As of</w:t>
            </w: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40" w:type="dxa"/>
            <w:vAlign w:val="bottom"/>
          </w:tcPr>
          <w:p>
            <w:pPr>
              <w:spacing w:after="0"/>
              <w:rPr>
                <w:sz w:val="18"/>
                <w:szCs w:val="18"/>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w w:val="90"/>
              </w:rPr>
              <w:t>September 30, 2022</w:t>
            </w: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w w:val="96"/>
              </w:rPr>
              <w:t>March 31, 2022</w:t>
            </w:r>
          </w:p>
        </w:tc>
        <w:tc>
          <w:tcPr>
            <w:tcW w:w="0" w:type="dxa"/>
            <w:vAlign w:val="bottom"/>
          </w:tcPr>
          <w:p>
            <w:pPr>
              <w:spacing w:after="0"/>
              <w:rPr>
                <w:sz w:val="1"/>
                <w:szCs w:val="1"/>
                <w:color w:val="auto"/>
              </w:rPr>
            </w:pPr>
          </w:p>
        </w:tc>
      </w:tr>
      <w:tr>
        <w:trPr>
          <w:trHeight w:val="199"/>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143,562</w:t>
            </w:r>
          </w:p>
        </w:tc>
        <w:tc>
          <w:tcPr>
            <w:tcW w:w="4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116,386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Fees and accounts receivable</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34,344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34,141</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from affiliates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19,369</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Investments in funds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106,977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107,045</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Accrued carried interest allocations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1,189,323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1,480,515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Legacy Greenspring investments in funds and accrued carried interest allocations</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991,116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1,334,581</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Deferred income tax assets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39,500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27,866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right-of-use assets, net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62,768</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61,065</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Other assets and receivables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36,640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27,426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Intangibles, net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376,385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398,126</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Goodwill</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580,542</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580,542</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3,575,594</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4,188,125</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accrued expenses and other liabilities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84,377</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80,541</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Accrued compensation and benefits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75,466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39,966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carried interest-related compensation</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625,360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769,988</w:t>
            </w:r>
          </w:p>
        </w:tc>
        <w:tc>
          <w:tcPr>
            <w:tcW w:w="0" w:type="dxa"/>
            <w:vAlign w:val="bottom"/>
          </w:tcPr>
          <w:p>
            <w:pPr>
              <w:spacing w:after="0"/>
              <w:rPr>
                <w:sz w:val="1"/>
                <w:szCs w:val="1"/>
                <w:color w:val="auto"/>
              </w:rPr>
            </w:pPr>
          </w:p>
        </w:tc>
      </w:tr>
      <w:tr>
        <w:trPr>
          <w:trHeight w:val="216"/>
        </w:trPr>
        <w:tc>
          <w:tcPr>
            <w:tcW w:w="8140" w:type="dxa"/>
            <w:vAlign w:val="bottom"/>
          </w:tcPr>
          <w:p>
            <w:pPr>
              <w:ind w:left="20"/>
              <w:spacing w:after="0" w:line="216" w:lineRule="exact"/>
              <w:rPr>
                <w:sz w:val="20"/>
                <w:szCs w:val="20"/>
                <w:color w:val="auto"/>
              </w:rPr>
            </w:pPr>
            <w:r>
              <w:rPr>
                <w:rFonts w:ascii="Arial" w:cs="Arial" w:eastAsia="Arial" w:hAnsi="Arial"/>
                <w:sz w:val="16"/>
                <w:szCs w:val="16"/>
                <w:color w:val="auto"/>
              </w:rPr>
              <w:t>Legacy Greenspring accrued carried interest-related compensation</w:t>
            </w:r>
            <w:r>
              <w:rPr>
                <w:rFonts w:ascii="Arial" w:cs="Arial" w:eastAsia="Arial" w:hAnsi="Arial"/>
                <w:sz w:val="21"/>
                <w:szCs w:val="21"/>
                <w:color w:val="auto"/>
                <w:vertAlign w:val="superscript"/>
              </w:rPr>
              <w:t>(1)</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817,673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1,140,101</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to affiliates</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196,410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199,355</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Lease liabilities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72,084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70,965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obligations</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63,115</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62,879</w:t>
            </w:r>
          </w:p>
        </w:tc>
        <w:tc>
          <w:tcPr>
            <w:tcW w:w="0" w:type="dxa"/>
            <w:vAlign w:val="bottom"/>
          </w:tcPr>
          <w:p>
            <w:pPr>
              <w:spacing w:after="0"/>
              <w:rPr>
                <w:sz w:val="1"/>
                <w:szCs w:val="1"/>
                <w:color w:val="auto"/>
              </w:rPr>
            </w:pPr>
          </w:p>
        </w:tc>
      </w:tr>
      <w:tr>
        <w:trPr>
          <w:trHeight w:val="207"/>
        </w:trPr>
        <w:tc>
          <w:tcPr>
            <w:tcW w:w="8140" w:type="dxa"/>
            <w:vAlign w:val="bottom"/>
          </w:tcPr>
          <w:p>
            <w:pPr>
              <w:ind w:left="360"/>
              <w:spacing w:after="0"/>
              <w:rPr>
                <w:sz w:val="20"/>
                <w:szCs w:val="20"/>
                <w:color w:val="auto"/>
              </w:rPr>
            </w:pPr>
            <w:r>
              <w:rPr>
                <w:rFonts w:ascii="Arial" w:cs="Arial" w:eastAsia="Arial" w:hAnsi="Arial"/>
                <w:sz w:val="16"/>
                <w:szCs w:val="16"/>
                <w:color w:val="auto"/>
              </w:rPr>
              <w:t>Total liabilities</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1,934,485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2,363,795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15)</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140" w:type="dxa"/>
            <w:vAlign w:val="bottom"/>
          </w:tcPr>
          <w:p>
            <w:pPr>
              <w:ind w:left="20"/>
              <w:spacing w:after="0" w:line="166" w:lineRule="exact"/>
              <w:rPr>
                <w:sz w:val="20"/>
                <w:szCs w:val="20"/>
                <w:color w:val="auto"/>
              </w:rPr>
            </w:pPr>
            <w:r>
              <w:rPr>
                <w:rFonts w:ascii="Arial" w:cs="Arial" w:eastAsia="Arial" w:hAnsi="Arial"/>
                <w:sz w:val="16"/>
                <w:szCs w:val="16"/>
                <w:color w:val="auto"/>
                <w:w w:val="91"/>
              </w:rPr>
              <w:t>Class A common stock, $0.001 par value, 650,000,000 authorized; 62,061,427 and 61,141,306 issued and outstanding as of</w:t>
            </w:r>
          </w:p>
        </w:tc>
        <w:tc>
          <w:tcPr>
            <w:tcW w:w="4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62</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9"/>
        </w:trPr>
        <w:tc>
          <w:tcPr>
            <w:tcW w:w="8140" w:type="dxa"/>
            <w:vAlign w:val="bottom"/>
          </w:tcPr>
          <w:p>
            <w:pPr>
              <w:ind w:left="360"/>
              <w:spacing w:after="0"/>
              <w:rPr>
                <w:sz w:val="20"/>
                <w:szCs w:val="20"/>
                <w:color w:val="auto"/>
              </w:rPr>
            </w:pPr>
            <w:r>
              <w:rPr>
                <w:rFonts w:ascii="Arial" w:cs="Arial" w:eastAsia="Arial" w:hAnsi="Arial"/>
                <w:sz w:val="16"/>
                <w:szCs w:val="16"/>
                <w:color w:val="auto"/>
              </w:rPr>
              <w:t>September 30, 2022 and March 31, 2022, respectively</w:t>
            </w:r>
          </w:p>
        </w:tc>
        <w:tc>
          <w:tcPr>
            <w:tcW w:w="4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1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1"/>
              </w:rPr>
              <w:t>Class B common stock, $0.001 par value, 125,000,000 authorized; 46,716,897 and 47,149,673 issued and outstanding as of</w:t>
            </w:r>
          </w:p>
        </w:tc>
        <w:tc>
          <w:tcPr>
            <w:tcW w:w="4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September 30, 2022 and March 31, 2022, respectively</w:t>
            </w:r>
          </w:p>
        </w:tc>
        <w:tc>
          <w:tcPr>
            <w:tcW w:w="4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596,355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587,243</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164,044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229,615</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other comprehensive income</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StepStone Group Inc. stockholders’ equity</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761,179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817,625</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Non-controlling interests in subsidiaries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28,922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32,063</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Non-controlling interests in legacy Greenspring entities</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173,443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194,480</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interests in the Partnership</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677,565</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780,162</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1,641,109</w:t>
            </w: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1,824,330</w:t>
            </w:r>
          </w:p>
        </w:tc>
        <w:tc>
          <w:tcPr>
            <w:tcW w:w="0" w:type="dxa"/>
            <w:vAlign w:val="bottom"/>
          </w:tcPr>
          <w:p>
            <w:pPr>
              <w:spacing w:after="0"/>
              <w:rPr>
                <w:sz w:val="1"/>
                <w:szCs w:val="1"/>
                <w:color w:val="auto"/>
              </w:rPr>
            </w:pPr>
          </w:p>
        </w:tc>
      </w:tr>
      <w:tr>
        <w:trPr>
          <w:trHeight w:val="206"/>
        </w:trPr>
        <w:tc>
          <w:tcPr>
            <w:tcW w:w="8140" w:type="dxa"/>
            <w:vAlign w:val="bottom"/>
          </w:tcPr>
          <w:p>
            <w:pPr>
              <w:ind w:left="360"/>
              <w:spacing w:after="0"/>
              <w:rPr>
                <w:sz w:val="20"/>
                <w:szCs w:val="20"/>
                <w:color w:val="auto"/>
              </w:rPr>
            </w:pPr>
            <w:r>
              <w:rPr>
                <w:rFonts w:ascii="Arial" w:cs="Arial" w:eastAsia="Arial" w:hAnsi="Arial"/>
                <w:sz w:val="16"/>
                <w:szCs w:val="16"/>
                <w:color w:val="auto"/>
              </w:rPr>
              <w:t>Total liabilities and stockholders’ equity</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3,575,594</w:t>
            </w:r>
          </w:p>
        </w:tc>
        <w:tc>
          <w:tcPr>
            <w:tcW w:w="4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4,188,125</w:t>
            </w:r>
          </w:p>
        </w:tc>
        <w:tc>
          <w:tcPr>
            <w:tcW w:w="0" w:type="dxa"/>
            <w:vAlign w:val="bottom"/>
          </w:tcPr>
          <w:p>
            <w:pPr>
              <w:spacing w:after="0"/>
              <w:rPr>
                <w:sz w:val="1"/>
                <w:szCs w:val="1"/>
                <w:color w:val="auto"/>
              </w:rPr>
            </w:pPr>
          </w:p>
        </w:tc>
      </w:tr>
      <w:tr>
        <w:trPr>
          <w:trHeight w:val="24"/>
        </w:trPr>
        <w:tc>
          <w:tcPr>
            <w:tcW w:w="814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Reflects amounts attributable to consolidated VIEs for which the Company did not acquire any direct economic interests. See notes 5 and 14 for more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ind w:left="5040"/>
        <w:spacing w:after="0"/>
        <w:rPr>
          <w:sz w:val="20"/>
          <w:szCs w:val="20"/>
          <w:color w:val="auto"/>
        </w:rPr>
      </w:pPr>
      <w:r>
        <w:rPr>
          <w:rFonts w:ascii="Arial" w:cs="Arial" w:eastAsia="Arial" w:hAnsi="Arial"/>
          <w:sz w:val="20"/>
          <w:szCs w:val="20"/>
          <w:b w:val="1"/>
          <w:bCs w:val="1"/>
          <w:color w:val="auto"/>
        </w:rPr>
        <w:t>StepStone Group Inc.</w:t>
      </w:r>
    </w:p>
    <w:p>
      <w:pPr>
        <w:spacing w:after="0" w:line="26"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84" w:lineRule="exact"/>
        <w:rPr>
          <w:sz w:val="20"/>
          <w:szCs w:val="20"/>
          <w:color w:val="auto"/>
        </w:rPr>
      </w:pPr>
    </w:p>
    <w:p>
      <w:pPr>
        <w:ind w:right="460" w:firstLine="648"/>
        <w:spacing w:after="0" w:line="260" w:lineRule="auto"/>
        <w:rPr>
          <w:sz w:val="20"/>
          <w:szCs w:val="20"/>
          <w:color w:val="auto"/>
        </w:rPr>
      </w:pPr>
      <w:r>
        <w:rPr>
          <w:rFonts w:ascii="Arial" w:cs="Arial" w:eastAsia="Arial" w:hAnsi="Arial"/>
          <w:sz w:val="20"/>
          <w:szCs w:val="20"/>
          <w:color w:val="auto"/>
        </w:rPr>
        <w:t>The following presents the portion of the condensed consolidated balances presented above attributable to consolidated variable interest entities.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820" w:type="dxa"/>
            <w:vAlign w:val="bottom"/>
            <w:gridSpan w:val="5"/>
          </w:tcPr>
          <w:p>
            <w:pPr>
              <w:ind w:left="40"/>
              <w:spacing w:after="0"/>
              <w:rPr>
                <w:sz w:val="20"/>
                <w:szCs w:val="20"/>
                <w:color w:val="auto"/>
              </w:rPr>
            </w:pPr>
            <w:r>
              <w:rPr>
                <w:rFonts w:ascii="Arial" w:cs="Arial" w:eastAsia="Arial" w:hAnsi="Arial"/>
                <w:sz w:val="16"/>
                <w:szCs w:val="16"/>
                <w:b w:val="1"/>
                <w:bCs w:val="1"/>
                <w:color w:val="auto"/>
              </w:rPr>
              <w:t>September 30, 2022</w:t>
            </w:r>
          </w:p>
        </w:tc>
        <w:tc>
          <w:tcPr>
            <w:tcW w:w="1280" w:type="dxa"/>
            <w:vAlign w:val="bottom"/>
          </w:tcPr>
          <w:p>
            <w:pPr>
              <w:jc w:val="right"/>
              <w:ind w:right="91"/>
              <w:spacing w:after="0"/>
              <w:rPr>
                <w:sz w:val="20"/>
                <w:szCs w:val="20"/>
                <w:color w:val="auto"/>
              </w:rPr>
            </w:pPr>
            <w:r>
              <w:rPr>
                <w:rFonts w:ascii="Arial" w:cs="Arial" w:eastAsia="Arial" w:hAnsi="Arial"/>
                <w:sz w:val="16"/>
                <w:szCs w:val="16"/>
                <w:b w:val="1"/>
                <w:bCs w:val="1"/>
                <w:color w:val="auto"/>
                <w:w w:val="94"/>
              </w:rPr>
              <w:t>March 31, 2022</w:t>
            </w:r>
          </w:p>
        </w:tc>
      </w:tr>
      <w:tr>
        <w:trPr>
          <w:trHeight w:val="212"/>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25,554</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19,386</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Fees and accounts receivable</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30,882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29,060</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affiliates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Investments in funds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26,282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22,808</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Legacy Greenspring investments in funds and accrued carried interest allocations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991,116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1,334,581</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Deferred income tax assets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right-of-use assets, net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17,206</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and receivables</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5,081</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5,588</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1,101,817</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1,435,245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14,246</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8,548</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14,806</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Legacy Greenspring accrued carried interest-related compensation</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817,673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1,140,101</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affiliates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liabilities</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15,907</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17,593</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871,669</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1,181,238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Income (Loss)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4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w w:val="97"/>
              </w:rPr>
              <w:t>Six Months Ended September 30,</w:t>
            </w:r>
          </w:p>
        </w:tc>
      </w:tr>
      <w:tr>
        <w:trPr>
          <w:trHeight w:val="26"/>
        </w:trPr>
        <w:tc>
          <w:tcPr>
            <w:tcW w:w="5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54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r>
      <w:tr>
        <w:trPr>
          <w:trHeight w:val="189"/>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2"/>
        </w:trPr>
        <w:tc>
          <w:tcPr>
            <w:tcW w:w="5400" w:type="dxa"/>
            <w:vAlign w:val="bottom"/>
          </w:tcPr>
          <w:p>
            <w:pPr>
              <w:ind w:left="20"/>
              <w:spacing w:after="0"/>
              <w:rPr>
                <w:sz w:val="20"/>
                <w:szCs w:val="20"/>
                <w:color w:val="auto"/>
              </w:rPr>
            </w:pPr>
            <w:r>
              <w:rPr>
                <w:rFonts w:ascii="Arial" w:cs="Arial" w:eastAsia="Arial" w:hAnsi="Arial"/>
                <w:sz w:val="14"/>
                <w:szCs w:val="14"/>
                <w:color w:val="auto"/>
              </w:rPr>
              <w:t>Management and advisory fees, net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119,121</w:t>
            </w:r>
          </w:p>
        </w:tc>
        <w:tc>
          <w:tcPr>
            <w:tcW w:w="24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83,583</w:t>
            </w:r>
          </w:p>
        </w:tc>
        <w:tc>
          <w:tcPr>
            <w:tcW w:w="24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235,853</w:t>
            </w:r>
          </w:p>
        </w:tc>
        <w:tc>
          <w:tcPr>
            <w:tcW w:w="24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161,644</w:t>
            </w: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Performance fees:</w:t>
            </w: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r>
      <w:tr>
        <w:trPr>
          <w:trHeight w:val="182"/>
        </w:trPr>
        <w:tc>
          <w:tcPr>
            <w:tcW w:w="5400" w:type="dxa"/>
            <w:vAlign w:val="bottom"/>
          </w:tcPr>
          <w:p>
            <w:pPr>
              <w:ind w:left="360"/>
              <w:spacing w:after="0"/>
              <w:rPr>
                <w:sz w:val="20"/>
                <w:szCs w:val="20"/>
                <w:color w:val="auto"/>
              </w:rPr>
            </w:pPr>
            <w:r>
              <w:rPr>
                <w:rFonts w:ascii="Arial" w:cs="Arial" w:eastAsia="Arial" w:hAnsi="Arial"/>
                <w:sz w:val="14"/>
                <w:szCs w:val="14"/>
                <w:color w:val="auto"/>
              </w:rPr>
              <w:t>Incentive fees</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5,365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1,796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5,365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5,978</w:t>
            </w: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5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Carried interest allocations:</w:t>
            </w: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r>
      <w:tr>
        <w:trPr>
          <w:trHeight w:val="182"/>
        </w:trPr>
        <w:tc>
          <w:tcPr>
            <w:tcW w:w="5400" w:type="dxa"/>
            <w:vAlign w:val="bottom"/>
          </w:tcPr>
          <w:p>
            <w:pPr>
              <w:ind w:left="720"/>
              <w:spacing w:after="0"/>
              <w:rPr>
                <w:sz w:val="20"/>
                <w:szCs w:val="20"/>
                <w:color w:val="auto"/>
              </w:rPr>
            </w:pPr>
            <w:r>
              <w:rPr>
                <w:rFonts w:ascii="Arial" w:cs="Arial" w:eastAsia="Arial" w:hAnsi="Arial"/>
                <w:sz w:val="14"/>
                <w:szCs w:val="14"/>
                <w:color w:val="auto"/>
              </w:rPr>
              <w:t>Realized</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22,469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52,531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96,076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102,494</w:t>
            </w: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3"/>
        </w:trPr>
        <w:tc>
          <w:tcPr>
            <w:tcW w:w="5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Unrealized</w:t>
            </w: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(176,778)</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143,855</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(290,728)</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320,254</w:t>
            </w:r>
          </w:p>
        </w:tc>
      </w:tr>
      <w:tr>
        <w:trPr>
          <w:trHeight w:val="176"/>
        </w:trPr>
        <w:tc>
          <w:tcPr>
            <w:tcW w:w="5400" w:type="dxa"/>
            <w:vAlign w:val="bottom"/>
          </w:tcPr>
          <w:p>
            <w:pPr>
              <w:ind w:left="360"/>
              <w:spacing w:after="0"/>
              <w:rPr>
                <w:sz w:val="20"/>
                <w:szCs w:val="20"/>
                <w:color w:val="auto"/>
              </w:rPr>
            </w:pPr>
            <w:r>
              <w:rPr>
                <w:rFonts w:ascii="Arial" w:cs="Arial" w:eastAsia="Arial" w:hAnsi="Arial"/>
                <w:sz w:val="14"/>
                <w:szCs w:val="14"/>
                <w:color w:val="auto"/>
              </w:rPr>
              <w:t>Total carried interest allocations</w:t>
            </w: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(154,309)</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196,386</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(194,652)</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422,748</w:t>
            </w: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3"/>
        </w:trPr>
        <w:tc>
          <w:tcPr>
            <w:tcW w:w="5400" w:type="dxa"/>
            <w:vAlign w:val="bottom"/>
            <w:shd w:val="clear" w:color="auto" w:fill="CCEEFF"/>
          </w:tcPr>
          <w:p>
            <w:pPr>
              <w:ind w:left="360"/>
              <w:spacing w:after="0" w:line="202" w:lineRule="exact"/>
              <w:rPr>
                <w:sz w:val="20"/>
                <w:szCs w:val="20"/>
                <w:color w:val="auto"/>
              </w:rPr>
            </w:pPr>
            <w:r>
              <w:rPr>
                <w:rFonts w:ascii="Arial" w:cs="Arial" w:eastAsia="Arial" w:hAnsi="Arial"/>
                <w:sz w:val="14"/>
                <w:szCs w:val="14"/>
                <w:color w:val="auto"/>
              </w:rPr>
              <w:t>Legacy Greenspring carried interest allocations</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(128,672)</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(282,279)</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5400" w:type="dxa"/>
            <w:vAlign w:val="bottom"/>
          </w:tcPr>
          <w:p>
            <w:pPr>
              <w:ind w:left="360"/>
              <w:spacing w:after="0"/>
              <w:rPr>
                <w:sz w:val="20"/>
                <w:szCs w:val="20"/>
                <w:color w:val="auto"/>
              </w:rPr>
            </w:pPr>
            <w:r>
              <w:rPr>
                <w:rFonts w:ascii="Arial" w:cs="Arial" w:eastAsia="Arial" w:hAnsi="Arial"/>
                <w:sz w:val="14"/>
                <w:szCs w:val="14"/>
                <w:color w:val="auto"/>
              </w:rPr>
              <w:t>Total revenues</w:t>
            </w: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(158,495)</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281,765</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(235,713)</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590,370</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2"/>
        </w:trPr>
        <w:tc>
          <w:tcPr>
            <w:tcW w:w="5400" w:type="dxa"/>
            <w:vAlign w:val="bottom"/>
          </w:tcPr>
          <w:p>
            <w:pPr>
              <w:ind w:left="20"/>
              <w:spacing w:after="0"/>
              <w:rPr>
                <w:sz w:val="20"/>
                <w:szCs w:val="20"/>
                <w:color w:val="auto"/>
              </w:rPr>
            </w:pPr>
            <w:r>
              <w:rPr>
                <w:rFonts w:ascii="Arial" w:cs="Arial" w:eastAsia="Arial" w:hAnsi="Arial"/>
                <w:sz w:val="14"/>
                <w:szCs w:val="14"/>
                <w:color w:val="auto"/>
              </w:rPr>
              <w:t>Compensation and benefits: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54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Cash-based compensation</w:t>
            </w: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59,501</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43,881</w:t>
            </w: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119,562</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86,552</w:t>
            </w:r>
          </w:p>
        </w:tc>
      </w:tr>
      <w:tr>
        <w:trPr>
          <w:trHeight w:val="182"/>
        </w:trPr>
        <w:tc>
          <w:tcPr>
            <w:tcW w:w="5400" w:type="dxa"/>
            <w:vAlign w:val="bottom"/>
          </w:tcPr>
          <w:p>
            <w:pPr>
              <w:ind w:left="400"/>
              <w:spacing w:after="0"/>
              <w:rPr>
                <w:sz w:val="20"/>
                <w:szCs w:val="20"/>
                <w:color w:val="auto"/>
              </w:rPr>
            </w:pPr>
            <w:r>
              <w:rPr>
                <w:rFonts w:ascii="Arial" w:cs="Arial" w:eastAsia="Arial" w:hAnsi="Arial"/>
                <w:sz w:val="14"/>
                <w:szCs w:val="14"/>
                <w:color w:val="auto"/>
              </w:rPr>
              <w:t>Equity-based compensation</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3,783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3,213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7,497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6,956</w:t>
            </w: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54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Performance fee-related compensation:</w:t>
            </w: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r>
      <w:tr>
        <w:trPr>
          <w:trHeight w:val="182"/>
        </w:trPr>
        <w:tc>
          <w:tcPr>
            <w:tcW w:w="5400" w:type="dxa"/>
            <w:vAlign w:val="bottom"/>
          </w:tcPr>
          <w:p>
            <w:pPr>
              <w:ind w:left="780"/>
              <w:spacing w:after="0"/>
              <w:rPr>
                <w:sz w:val="20"/>
                <w:szCs w:val="20"/>
                <w:color w:val="auto"/>
              </w:rPr>
            </w:pPr>
            <w:r>
              <w:rPr>
                <w:rFonts w:ascii="Arial" w:cs="Arial" w:eastAsia="Arial" w:hAnsi="Arial"/>
                <w:sz w:val="14"/>
                <w:szCs w:val="14"/>
                <w:color w:val="auto"/>
              </w:rPr>
              <w:t>Realized</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13,630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26,781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55,365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52,089</w:t>
            </w: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3"/>
        </w:trPr>
        <w:tc>
          <w:tcPr>
            <w:tcW w:w="54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Unrealized</w:t>
            </w: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(86,126)</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74,206</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(140,679)</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159,778</w:t>
            </w:r>
          </w:p>
        </w:tc>
      </w:tr>
      <w:tr>
        <w:trPr>
          <w:trHeight w:val="176"/>
        </w:trPr>
        <w:tc>
          <w:tcPr>
            <w:tcW w:w="5400" w:type="dxa"/>
            <w:vAlign w:val="bottom"/>
          </w:tcPr>
          <w:p>
            <w:pPr>
              <w:ind w:left="400"/>
              <w:spacing w:after="0"/>
              <w:rPr>
                <w:sz w:val="20"/>
                <w:szCs w:val="20"/>
                <w:color w:val="auto"/>
              </w:rPr>
            </w:pPr>
            <w:r>
              <w:rPr>
                <w:rFonts w:ascii="Arial" w:cs="Arial" w:eastAsia="Arial" w:hAnsi="Arial"/>
                <w:sz w:val="14"/>
                <w:szCs w:val="14"/>
                <w:color w:val="auto"/>
              </w:rPr>
              <w:t>Total performance fee-related compensation</w:t>
            </w: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(72,496)</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100,987</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(85,314)</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211,867</w:t>
            </w: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3"/>
        </w:trPr>
        <w:tc>
          <w:tcPr>
            <w:tcW w:w="5400" w:type="dxa"/>
            <w:vAlign w:val="bottom"/>
            <w:shd w:val="clear" w:color="auto" w:fill="CCEEFF"/>
          </w:tcPr>
          <w:p>
            <w:pPr>
              <w:ind w:left="400"/>
              <w:spacing w:after="0" w:line="202" w:lineRule="exact"/>
              <w:rPr>
                <w:sz w:val="20"/>
                <w:szCs w:val="20"/>
                <w:color w:val="auto"/>
              </w:rPr>
            </w:pPr>
            <w:r>
              <w:rPr>
                <w:rFonts w:ascii="Arial" w:cs="Arial" w:eastAsia="Arial" w:hAnsi="Arial"/>
                <w:sz w:val="14"/>
                <w:szCs w:val="14"/>
                <w:color w:val="auto"/>
              </w:rPr>
              <w:t>Legacy Greenspring performance fee-related compensation</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(128,672)</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(282,279)</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5400" w:type="dxa"/>
            <w:vAlign w:val="bottom"/>
          </w:tcPr>
          <w:p>
            <w:pPr>
              <w:ind w:left="20"/>
              <w:spacing w:after="0"/>
              <w:rPr>
                <w:sz w:val="20"/>
                <w:szCs w:val="20"/>
                <w:color w:val="auto"/>
              </w:rPr>
            </w:pPr>
            <w:r>
              <w:rPr>
                <w:rFonts w:ascii="Arial" w:cs="Arial" w:eastAsia="Arial" w:hAnsi="Arial"/>
                <w:sz w:val="14"/>
                <w:szCs w:val="14"/>
                <w:color w:val="auto"/>
              </w:rPr>
              <w:t>Total compensation and benefits</w:t>
            </w: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(137,884)</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148,081</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(240,534)</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305,375</w:t>
            </w: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3"/>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w:t>
            </w: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33,733</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25,320</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67,965</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41,750</w:t>
            </w:r>
          </w:p>
        </w:tc>
      </w:tr>
      <w:tr>
        <w:trPr>
          <w:trHeight w:val="176"/>
        </w:trPr>
        <w:tc>
          <w:tcPr>
            <w:tcW w:w="5400" w:type="dxa"/>
            <w:vAlign w:val="bottom"/>
          </w:tcPr>
          <w:p>
            <w:pPr>
              <w:ind w:left="400"/>
              <w:spacing w:after="0"/>
              <w:rPr>
                <w:sz w:val="20"/>
                <w:szCs w:val="20"/>
                <w:color w:val="auto"/>
              </w:rPr>
            </w:pPr>
            <w:r>
              <w:rPr>
                <w:rFonts w:ascii="Arial" w:cs="Arial" w:eastAsia="Arial" w:hAnsi="Arial"/>
                <w:sz w:val="14"/>
                <w:szCs w:val="14"/>
                <w:color w:val="auto"/>
              </w:rPr>
              <w:t>Total expenses</w:t>
            </w: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(104,151)</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173,401</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(172,569)</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347,125</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2"/>
        </w:trPr>
        <w:tc>
          <w:tcPr>
            <w:tcW w:w="5400" w:type="dxa"/>
            <w:vAlign w:val="bottom"/>
          </w:tcPr>
          <w:p>
            <w:pPr>
              <w:ind w:left="20"/>
              <w:spacing w:after="0"/>
              <w:rPr>
                <w:sz w:val="20"/>
                <w:szCs w:val="20"/>
                <w:color w:val="auto"/>
              </w:rPr>
            </w:pPr>
            <w:r>
              <w:rPr>
                <w:rFonts w:ascii="Arial" w:cs="Arial" w:eastAsia="Arial" w:hAnsi="Arial"/>
                <w:sz w:val="14"/>
                <w:szCs w:val="14"/>
                <w:color w:val="auto"/>
              </w:rPr>
              <w:t>Investment income (loss)</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(3,691)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7,187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(4,792)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13,611</w:t>
            </w: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3"/>
        </w:trPr>
        <w:tc>
          <w:tcPr>
            <w:tcW w:w="540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Legacy Greenspring investment loss</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(15,357)</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(23,961)</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54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286</w:t>
            </w: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(1,404)</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w:t>
            </w:r>
          </w:p>
        </w:tc>
      </w:tr>
      <w:tr>
        <w:trPr>
          <w:trHeight w:val="182"/>
        </w:trPr>
        <w:tc>
          <w:tcPr>
            <w:tcW w:w="5400" w:type="dxa"/>
            <w:vAlign w:val="bottom"/>
          </w:tcPr>
          <w:p>
            <w:pPr>
              <w:ind w:left="20"/>
              <w:spacing w:after="0"/>
              <w:rPr>
                <w:sz w:val="20"/>
                <w:szCs w:val="20"/>
                <w:color w:val="auto"/>
              </w:rPr>
            </w:pPr>
            <w:r>
              <w:rPr>
                <w:rFonts w:ascii="Arial" w:cs="Arial" w:eastAsia="Arial" w:hAnsi="Arial"/>
                <w:sz w:val="14"/>
                <w:szCs w:val="14"/>
                <w:color w:val="auto"/>
              </w:rPr>
              <w:t>Other loss</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(1,738)</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(2,389)</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54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Total other income (expense)</w:t>
            </w: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(20,143)</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5,353</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(31,528)</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11,414</w:t>
            </w:r>
          </w:p>
        </w:tc>
      </w:tr>
      <w:tr>
        <w:trPr>
          <w:trHeight w:val="176"/>
        </w:trPr>
        <w:tc>
          <w:tcPr>
            <w:tcW w:w="5400" w:type="dxa"/>
            <w:vAlign w:val="bottom"/>
          </w:tcPr>
          <w:p>
            <w:pPr>
              <w:ind w:left="20"/>
              <w:spacing w:after="0"/>
              <w:rPr>
                <w:sz w:val="20"/>
                <w:szCs w:val="20"/>
                <w:color w:val="auto"/>
              </w:rPr>
            </w:pPr>
            <w:r>
              <w:rPr>
                <w:rFonts w:ascii="Arial" w:cs="Arial" w:eastAsia="Arial" w:hAnsi="Arial"/>
                <w:sz w:val="14"/>
                <w:szCs w:val="14"/>
                <w:color w:val="auto"/>
              </w:rPr>
              <w:t>Income (loss) before income tax</w:t>
            </w: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(74,487)</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113,717</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(94,672)</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254,659</w:t>
            </w: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3"/>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(7,422)</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(14,145)</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(6,136)</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w:t>
            </w:r>
          </w:p>
        </w:tc>
      </w:tr>
      <w:tr>
        <w:trPr>
          <w:trHeight w:val="176"/>
        </w:trPr>
        <w:tc>
          <w:tcPr>
            <w:tcW w:w="54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(67,065)</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127,862</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(88,536)</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254,381</w:t>
            </w: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54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Less: Net income attributable to non-controlling interests in subsidiaries</w:t>
            </w: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8,690</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6,032</w:t>
            </w: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16,261</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11,646</w:t>
            </w:r>
          </w:p>
        </w:tc>
      </w:tr>
      <w:tr>
        <w:trPr>
          <w:trHeight w:val="203"/>
        </w:trPr>
        <w:tc>
          <w:tcPr>
            <w:tcW w:w="5400" w:type="dxa"/>
            <w:vAlign w:val="bottom"/>
          </w:tcPr>
          <w:p>
            <w:pPr>
              <w:ind w:left="400"/>
              <w:spacing w:after="0" w:line="202" w:lineRule="exact"/>
              <w:rPr>
                <w:sz w:val="20"/>
                <w:szCs w:val="20"/>
                <w:color w:val="auto"/>
              </w:rPr>
            </w:pPr>
            <w:r>
              <w:rPr>
                <w:rFonts w:ascii="Arial" w:cs="Arial" w:eastAsia="Arial" w:hAnsi="Arial"/>
                <w:sz w:val="14"/>
                <w:szCs w:val="14"/>
                <w:color w:val="auto"/>
                <w:w w:val="93"/>
              </w:rPr>
              <w:t>Less: Net loss attributable to non-controlling interests in legacy Greenspring entities</w:t>
            </w:r>
            <w:r>
              <w:rPr>
                <w:rFonts w:ascii="Arial" w:cs="Arial" w:eastAsia="Arial" w:hAnsi="Arial"/>
                <w:sz w:val="18"/>
                <w:szCs w:val="18"/>
                <w:color w:val="auto"/>
                <w:w w:val="93"/>
                <w:vertAlign w:val="superscript"/>
              </w:rPr>
              <w:t>(1)</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(15,357)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(23,961)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4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w w:val="99"/>
              </w:rPr>
              <w:t>Less: Net income (loss) attributable to non-controlling interests in the Partnership</w:t>
            </w: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(31,177)</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59,756</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(40,575)</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139,011</w:t>
            </w:r>
          </w:p>
        </w:tc>
      </w:tr>
      <w:tr>
        <w:trPr>
          <w:trHeight w:val="196"/>
        </w:trPr>
        <w:tc>
          <w:tcPr>
            <w:tcW w:w="5400" w:type="dxa"/>
            <w:vAlign w:val="bottom"/>
          </w:tcPr>
          <w:p>
            <w:pPr>
              <w:ind w:left="20"/>
              <w:spacing w:after="0"/>
              <w:rPr>
                <w:sz w:val="20"/>
                <w:szCs w:val="20"/>
                <w:color w:val="auto"/>
              </w:rPr>
            </w:pPr>
            <w:r>
              <w:rPr>
                <w:rFonts w:ascii="Arial" w:cs="Arial" w:eastAsia="Arial" w:hAnsi="Arial"/>
                <w:sz w:val="14"/>
                <w:szCs w:val="14"/>
                <w:color w:val="auto"/>
              </w:rPr>
              <w:t>Net income (loss) attributable to StepStone Group Inc.</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(29,221)</w:t>
            </w:r>
          </w:p>
        </w:tc>
        <w:tc>
          <w:tcPr>
            <w:tcW w:w="2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62,074</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(40,261)</w:t>
            </w:r>
          </w:p>
        </w:tc>
        <w:tc>
          <w:tcPr>
            <w:tcW w:w="2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103,724</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50"/>
        </w:trPr>
        <w:tc>
          <w:tcPr>
            <w:tcW w:w="540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Net income (loss) per share of Class A common stock:</w:t>
            </w:r>
          </w:p>
        </w:tc>
        <w:tc>
          <w:tcPr>
            <w:tcW w:w="20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r>
      <w:tr>
        <w:trPr>
          <w:trHeight w:val="182"/>
        </w:trPr>
        <w:tc>
          <w:tcPr>
            <w:tcW w:w="5400" w:type="dxa"/>
            <w:vAlign w:val="bottom"/>
          </w:tcPr>
          <w:p>
            <w:pPr>
              <w:ind w:left="46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(0.48)</w:t>
            </w:r>
          </w:p>
        </w:tc>
        <w:tc>
          <w:tcPr>
            <w:tcW w:w="24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1.49</w:t>
            </w:r>
          </w:p>
        </w:tc>
        <w:tc>
          <w:tcPr>
            <w:tcW w:w="24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(0.66)</w:t>
            </w:r>
          </w:p>
        </w:tc>
        <w:tc>
          <w:tcPr>
            <w:tcW w:w="24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2.57</w:t>
            </w: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54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Diluted</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r>
      <w:tr>
        <w:trPr>
          <w:trHeight w:val="182"/>
        </w:trPr>
        <w:tc>
          <w:tcPr>
            <w:tcW w:w="5400" w:type="dxa"/>
            <w:vAlign w:val="bottom"/>
          </w:tcPr>
          <w:p>
            <w:pPr>
              <w:ind w:left="20"/>
              <w:spacing w:after="0"/>
              <w:rPr>
                <w:sz w:val="20"/>
                <w:szCs w:val="20"/>
                <w:color w:val="auto"/>
              </w:rPr>
            </w:pPr>
            <w:r>
              <w:rPr>
                <w:rFonts w:ascii="Arial" w:cs="Arial" w:eastAsia="Arial" w:hAnsi="Arial"/>
                <w:sz w:val="14"/>
                <w:szCs w:val="14"/>
                <w:color w:val="auto"/>
              </w:rPr>
              <w:t>Weighted-average shares of Class A common stock:</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54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61,407,834</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41,745,492</w:t>
            </w: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61,276,707</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40,401,379</w:t>
            </w:r>
          </w:p>
        </w:tc>
      </w:tr>
      <w:tr>
        <w:trPr>
          <w:trHeight w:val="182"/>
        </w:trPr>
        <w:tc>
          <w:tcPr>
            <w:tcW w:w="5400" w:type="dxa"/>
            <w:vAlign w:val="bottom"/>
          </w:tcPr>
          <w:p>
            <w:pPr>
              <w:ind w:left="46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61,407,834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45,908,361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61,276,707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44,405,055</w:t>
            </w:r>
          </w:p>
        </w:tc>
      </w:tr>
    </w:tbl>
    <w:p>
      <w:pPr>
        <w:spacing w:after="0" w:line="231" w:lineRule="exact"/>
        <w:rPr>
          <w:sz w:val="20"/>
          <w:szCs w:val="20"/>
          <w:color w:val="auto"/>
        </w:rPr>
      </w:pPr>
    </w:p>
    <w:p>
      <w:pPr>
        <w:ind w:left="660" w:right="140" w:hanging="652"/>
        <w:spacing w:after="0" w:line="293" w:lineRule="auto"/>
        <w:tabs>
          <w:tab w:leader="none" w:pos="652"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amounts attributable to consolidated VIEs for which the Company did not acquire any direct economic interests. The three and six months ended September 30, 2021 reflect the net effect of gross realized gains and the reversal of such amounts in unrealized gains. See notes 3, 5 and 14 for more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Comprehensive Income (Loss)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50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1"/>
              </w:rPr>
              <w:t>Six Months Ended September 30,</w:t>
            </w:r>
          </w:p>
        </w:tc>
      </w:tr>
      <w:tr>
        <w:trPr>
          <w:trHeight w:val="210"/>
        </w:trPr>
        <w:tc>
          <w:tcPr>
            <w:tcW w:w="56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r>
      <w:tr>
        <w:trPr>
          <w:trHeight w:val="22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127,862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(88,536)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254,381</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23"/>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 before non-controlling interests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128,005</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254,772</w:t>
            </w: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ind w:left="560" w:right="120" w:hanging="161"/>
        <w:spacing w:after="0" w:line="234" w:lineRule="auto"/>
        <w:rPr>
          <w:sz w:val="20"/>
          <w:szCs w:val="20"/>
          <w:color w:val="auto"/>
        </w:rPr>
      </w:pPr>
      <w:r>
        <w:rPr>
          <w:rFonts w:ascii="Arial" w:cs="Arial" w:eastAsia="Arial" w:hAnsi="Arial"/>
          <w:sz w:val="18"/>
          <w:szCs w:val="18"/>
          <w:color w:val="auto"/>
        </w:rPr>
        <w:t>Less: Comprehensive income attributable to non-controlling interests in subsidiaries</w:t>
      </w:r>
    </w:p>
    <w:p>
      <w:pPr>
        <w:spacing w:after="0" w:line="14" w:lineRule="exact"/>
        <w:rPr>
          <w:sz w:val="20"/>
          <w:szCs w:val="20"/>
          <w:color w:val="auto"/>
        </w:rPr>
      </w:pPr>
    </w:p>
    <w:p>
      <w:pPr>
        <w:ind w:left="560" w:right="380" w:hanging="161"/>
        <w:spacing w:after="0" w:line="235" w:lineRule="auto"/>
        <w:rPr>
          <w:sz w:val="20"/>
          <w:szCs w:val="20"/>
          <w:color w:val="auto"/>
        </w:rPr>
      </w:pPr>
      <w:r>
        <w:rPr>
          <w:rFonts w:ascii="Arial" w:cs="Arial" w:eastAsia="Arial" w:hAnsi="Arial"/>
          <w:sz w:val="18"/>
          <w:szCs w:val="18"/>
          <w:color w:val="auto"/>
        </w:rPr>
        <w:t>Less: Comprehensive loss attributable to non-controlling interests in legacy Greenspring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560" w:right="500" w:hanging="161"/>
        <w:spacing w:after="0" w:line="235" w:lineRule="auto"/>
        <w:rPr>
          <w:sz w:val="20"/>
          <w:szCs w:val="20"/>
          <w:color w:val="auto"/>
        </w:rPr>
      </w:pPr>
      <w:r>
        <w:rPr>
          <w:rFonts w:ascii="Arial" w:cs="Arial" w:eastAsia="Arial" w:hAnsi="Arial"/>
          <w:sz w:val="18"/>
          <w:szCs w:val="18"/>
          <w:color w:val="auto"/>
        </w:rPr>
        <w:t>Less: Comprehensive income (loss) attributable to non-controlling interests in the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Comprehensive income (loss) attributable to StepStone Group Inc.</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jc w:val="right"/>
              <w:ind w:right="230"/>
              <w:spacing w:after="0"/>
              <w:rPr>
                <w:sz w:val="20"/>
                <w:szCs w:val="20"/>
                <w:color w:val="auto"/>
              </w:rPr>
            </w:pPr>
            <w:r>
              <w:rPr>
                <w:rFonts w:ascii="Arial" w:cs="Arial" w:eastAsia="Arial" w:hAnsi="Arial"/>
                <w:sz w:val="18"/>
                <w:szCs w:val="18"/>
                <w:color w:val="auto"/>
              </w:rPr>
              <w:t>8,831</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6,101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center"/>
              <w:ind w:left="130"/>
              <w:spacing w:after="0"/>
              <w:rPr>
                <w:sz w:val="20"/>
                <w:szCs w:val="20"/>
                <w:color w:val="auto"/>
              </w:rPr>
            </w:pPr>
            <w:r>
              <w:rPr>
                <w:rFonts w:ascii="Arial" w:cs="Arial" w:eastAsia="Arial" w:hAnsi="Arial"/>
                <w:sz w:val="18"/>
                <w:szCs w:val="18"/>
                <w:color w:val="auto"/>
                <w:w w:val="90"/>
              </w:rPr>
              <w:t>16,291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11,842</w:t>
            </w:r>
          </w:p>
        </w:tc>
      </w:tr>
      <w:tr>
        <w:trPr>
          <w:trHeight w:val="418"/>
        </w:trPr>
        <w:tc>
          <w:tcPr>
            <w:tcW w:w="880" w:type="dxa"/>
            <w:vAlign w:val="bottom"/>
          </w:tcPr>
          <w:p>
            <w:pPr>
              <w:jc w:val="right"/>
              <w:ind w:right="190"/>
              <w:spacing w:after="0"/>
              <w:rPr>
                <w:sz w:val="20"/>
                <w:szCs w:val="20"/>
                <w:color w:val="auto"/>
              </w:rPr>
            </w:pPr>
            <w:r>
              <w:rPr>
                <w:rFonts w:ascii="Arial" w:cs="Arial" w:eastAsia="Arial" w:hAnsi="Arial"/>
                <w:sz w:val="18"/>
                <w:szCs w:val="18"/>
                <w:color w:val="auto"/>
                <w:w w:val="86"/>
              </w:rPr>
              <w:t>(15,357)</w:t>
            </w:r>
          </w:p>
        </w:tc>
        <w:tc>
          <w:tcPr>
            <w:tcW w:w="40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80" w:type="dxa"/>
            <w:vAlign w:val="bottom"/>
          </w:tcPr>
          <w:p>
            <w:pPr>
              <w:jc w:val="center"/>
              <w:ind w:left="110"/>
              <w:spacing w:after="0"/>
              <w:rPr>
                <w:sz w:val="20"/>
                <w:szCs w:val="20"/>
                <w:color w:val="auto"/>
              </w:rPr>
            </w:pPr>
            <w:r>
              <w:rPr>
                <w:rFonts w:ascii="Arial" w:cs="Arial" w:eastAsia="Arial" w:hAnsi="Arial"/>
                <w:sz w:val="18"/>
                <w:szCs w:val="18"/>
                <w:color w:val="auto"/>
                <w:w w:val="89"/>
              </w:rPr>
              <w:t>(23,961)</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880" w:type="dxa"/>
            <w:vAlign w:val="bottom"/>
          </w:tcPr>
          <w:p>
            <w:pPr>
              <w:jc w:val="right"/>
              <w:ind w:right="190"/>
              <w:spacing w:after="0"/>
              <w:rPr>
                <w:sz w:val="20"/>
                <w:szCs w:val="20"/>
                <w:color w:val="auto"/>
              </w:rPr>
            </w:pPr>
            <w:r>
              <w:rPr>
                <w:rFonts w:ascii="Arial" w:cs="Arial" w:eastAsia="Arial" w:hAnsi="Arial"/>
                <w:sz w:val="18"/>
                <w:szCs w:val="18"/>
                <w:color w:val="auto"/>
                <w:w w:val="86"/>
              </w:rPr>
              <w:t>(31,112)</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59,797</w:t>
            </w: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9"/>
              </w:rPr>
              <w:t>(40,561)</w:t>
            </w: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139,124</w:t>
            </w:r>
          </w:p>
        </w:tc>
      </w:tr>
      <w:tr>
        <w:trPr>
          <w:trHeight w:val="223"/>
        </w:trPr>
        <w:tc>
          <w:tcPr>
            <w:tcW w:w="880" w:type="dxa"/>
            <w:vAlign w:val="bottom"/>
          </w:tcPr>
          <w:p>
            <w:pPr>
              <w:jc w:val="right"/>
              <w:ind w:right="190"/>
              <w:spacing w:after="0"/>
              <w:rPr>
                <w:sz w:val="20"/>
                <w:szCs w:val="20"/>
                <w:color w:val="auto"/>
              </w:rPr>
            </w:pPr>
            <w:r>
              <w:rPr>
                <w:rFonts w:ascii="Arial" w:cs="Arial" w:eastAsia="Arial" w:hAnsi="Arial"/>
                <w:sz w:val="18"/>
                <w:szCs w:val="18"/>
                <w:color w:val="auto"/>
                <w:w w:val="86"/>
              </w:rPr>
              <w:t>(29,141)</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62,107</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9"/>
              </w:rPr>
              <w:t>(40,244)</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103,806</w:t>
            </w:r>
          </w:p>
        </w:tc>
      </w:tr>
      <w:tr>
        <w:trPr>
          <w:trHeight w:val="21"/>
        </w:trPr>
        <w:tc>
          <w:tcPr>
            <w:tcW w:w="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-7620</wp:posOffset>
            </wp:positionV>
            <wp:extent cx="7969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520"/>
            <w:col w:w="5020"/>
          </w:cols>
          <w:pgMar w:left="320" w:top="118" w:right="3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Stockholders’ Equity (Unaudited)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0"/>
              </w:rPr>
              <w:t>Non-Controlling</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Accumulated Other</w:t>
            </w: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0"/>
              </w:rPr>
              <w:t>Non-Controlling</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5"/>
              </w:rPr>
              <w:t>Interests in</w:t>
            </w: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8"/>
              </w:rPr>
              <w:t>Class A Common</w:t>
            </w:r>
          </w:p>
        </w:tc>
        <w:tc>
          <w:tcPr>
            <w:tcW w:w="9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w w:val="98"/>
              </w:rPr>
              <w:t>Class B Common</w:t>
            </w: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3"/>
              </w:rPr>
              <w:t>Additional Paid-</w:t>
            </w:r>
          </w:p>
        </w:tc>
        <w:tc>
          <w:tcPr>
            <w:tcW w:w="140" w:type="dxa"/>
            <w:vAlign w:val="bottom"/>
          </w:tcPr>
          <w:p>
            <w:pPr>
              <w:spacing w:after="0"/>
              <w:rPr>
                <w:sz w:val="9"/>
                <w:szCs w:val="9"/>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Retained</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9"/>
              </w:rPr>
              <w:t>Legacy</w:t>
            </w:r>
          </w:p>
        </w:tc>
        <w:tc>
          <w:tcPr>
            <w:tcW w:w="9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9"/>
                <w:szCs w:val="9"/>
                <w:color w:val="auto"/>
              </w:rPr>
            </w:pPr>
          </w:p>
        </w:tc>
        <w:tc>
          <w:tcPr>
            <w:tcW w:w="86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8"/>
              </w:rPr>
              <w:t>Interests in</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8"/>
              </w:rPr>
              <w:t>Greenspring</w:t>
            </w: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6"/>
              </w:rPr>
              <w:t>Interests in the</w:t>
            </w: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40"/>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Stock</w:t>
            </w:r>
          </w:p>
        </w:tc>
        <w:tc>
          <w:tcPr>
            <w:tcW w:w="18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Stock</w:t>
            </w:r>
          </w:p>
        </w:tc>
        <w:tc>
          <w:tcPr>
            <w:tcW w:w="14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in Capital</w:t>
            </w:r>
          </w:p>
        </w:tc>
        <w:tc>
          <w:tcPr>
            <w:tcW w:w="14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Earnings</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Income</w:t>
            </w:r>
          </w:p>
        </w:tc>
        <w:tc>
          <w:tcPr>
            <w:tcW w:w="10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Subsidiaries</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Entities</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Partnership</w:t>
            </w:r>
          </w:p>
        </w:tc>
        <w:tc>
          <w:tcPr>
            <w:tcW w:w="100" w:type="dxa"/>
            <w:vAlign w:val="bottom"/>
          </w:tcPr>
          <w:p>
            <w:pPr>
              <w:spacing w:after="0"/>
              <w:rPr>
                <w:sz w:val="12"/>
                <w:szCs w:val="12"/>
                <w:color w:val="auto"/>
              </w:rPr>
            </w:pPr>
          </w:p>
        </w:tc>
        <w:tc>
          <w:tcPr>
            <w:tcW w:w="800" w:type="dxa"/>
            <w:vAlign w:val="bottom"/>
          </w:tcPr>
          <w:p>
            <w:pPr>
              <w:jc w:val="center"/>
              <w:ind w:right="46"/>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22"/>
        </w:trPr>
        <w:tc>
          <w:tcPr>
            <w:tcW w:w="2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June 30, 2022</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48</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593,159</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205,946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31,829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187,365</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730,381</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1,749,375</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Net income (loss)</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(29,221)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8,690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(15,357)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(31,177)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(67,065)</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comprehensive income</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286</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Contributed capital</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3,798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3,815</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2,087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1,692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3,783</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Distributions</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(11,742)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(2,363)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(16,847)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(30,952)</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Dividends declared</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(12,681)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(12,681)</w:t>
            </w: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w w:val="89"/>
              </w:rPr>
              <w:t>Vesting of RSUs, net of shares withheld for employee</w:t>
            </w:r>
          </w:p>
        </w:tc>
        <w:tc>
          <w:tcPr>
            <w:tcW w:w="18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(1,504)</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(1,203)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(2,707)</w:t>
            </w:r>
          </w:p>
        </w:tc>
        <w:tc>
          <w:tcPr>
            <w:tcW w:w="0" w:type="dxa"/>
            <w:vAlign w:val="bottom"/>
          </w:tcPr>
          <w:p>
            <w:pPr>
              <w:spacing w:after="0"/>
              <w:rPr>
                <w:sz w:val="1"/>
                <w:szCs w:val="1"/>
                <w:color w:val="auto"/>
              </w:rPr>
            </w:pPr>
          </w:p>
        </w:tc>
      </w:tr>
      <w:tr>
        <w:trPr>
          <w:trHeight w:val="136"/>
        </w:trPr>
        <w:tc>
          <w:tcPr>
            <w:tcW w:w="2500" w:type="dxa"/>
            <w:vAlign w:val="bottom"/>
          </w:tcPr>
          <w:p>
            <w:pPr>
              <w:ind w:left="240"/>
              <w:spacing w:after="0"/>
              <w:rPr>
                <w:sz w:val="20"/>
                <w:szCs w:val="20"/>
                <w:color w:val="auto"/>
              </w:rPr>
            </w:pPr>
            <w:r>
              <w:rPr>
                <w:rFonts w:ascii="Arial" w:cs="Arial" w:eastAsia="Arial" w:hAnsi="Arial"/>
                <w:sz w:val="11"/>
                <w:szCs w:val="11"/>
                <w:color w:val="auto"/>
              </w:rPr>
              <w:t>taxes</w:t>
            </w: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0"/>
              </w:rPr>
              <w:t>Exchange of Class B units for Class A common stock</w:t>
            </w: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CEEFF"/>
          </w:tcPr>
          <w:p>
            <w:pPr>
              <w:ind w:left="240"/>
              <w:spacing w:after="0" w:line="108" w:lineRule="exact"/>
              <w:rPr>
                <w:sz w:val="20"/>
                <w:szCs w:val="20"/>
                <w:color w:val="auto"/>
              </w:rPr>
            </w:pPr>
            <w:r>
              <w:rPr>
                <w:rFonts w:ascii="Arial" w:cs="Arial" w:eastAsia="Arial" w:hAnsi="Arial"/>
                <w:sz w:val="11"/>
                <w:szCs w:val="11"/>
                <w:color w:val="auto"/>
                <w:w w:val="90"/>
              </w:rPr>
              <w:t>and redemption of corresponding Class B common</w:t>
            </w: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ind w:left="520"/>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shares</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w w:val="99"/>
              </w:rPr>
              <w:t>Equity reallocation between controlling and non-</w:t>
            </w:r>
          </w:p>
        </w:tc>
        <w:tc>
          <w:tcPr>
            <w:tcW w:w="18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5,358</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00" w:type="dxa"/>
            <w:vAlign w:val="bottom"/>
            <w:vMerge w:val="restart"/>
          </w:tcPr>
          <w:p>
            <w:pPr>
              <w:jc w:val="right"/>
              <w:ind w:right="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(5,363)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500" w:type="dxa"/>
            <w:vAlign w:val="bottom"/>
          </w:tcPr>
          <w:p>
            <w:pPr>
              <w:ind w:left="240"/>
              <w:spacing w:after="0"/>
              <w:rPr>
                <w:sz w:val="20"/>
                <w:szCs w:val="20"/>
                <w:color w:val="auto"/>
              </w:rPr>
            </w:pPr>
            <w:r>
              <w:rPr>
                <w:rFonts w:ascii="Arial" w:cs="Arial" w:eastAsia="Arial" w:hAnsi="Arial"/>
                <w:sz w:val="11"/>
                <w:szCs w:val="11"/>
                <w:color w:val="auto"/>
              </w:rPr>
              <w:t>controlling interests</w:t>
            </w: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Deferred tax effect resulting from transactions</w:t>
            </w: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CEEFF"/>
          </w:tcPr>
          <w:p>
            <w:pPr>
              <w:ind w:left="240"/>
              <w:spacing w:after="0" w:line="108" w:lineRule="exact"/>
              <w:rPr>
                <w:sz w:val="20"/>
                <w:szCs w:val="20"/>
                <w:color w:val="auto"/>
              </w:rPr>
            </w:pPr>
            <w:r>
              <w:rPr>
                <w:rFonts w:ascii="Arial" w:cs="Arial" w:eastAsia="Arial" w:hAnsi="Arial"/>
                <w:sz w:val="11"/>
                <w:szCs w:val="11"/>
                <w:color w:val="auto"/>
                <w:w w:val="95"/>
              </w:rPr>
              <w:t>affecting ownership in the Partnership, including</w:t>
            </w: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00" w:type="dxa"/>
            <w:vAlign w:val="bottom"/>
            <w:shd w:val="clear" w:color="auto" w:fill="CCEEFF"/>
          </w:tcPr>
          <w:p>
            <w:pPr>
              <w:ind w:left="240"/>
              <w:spacing w:after="0" w:line="104" w:lineRule="exact"/>
              <w:rPr>
                <w:sz w:val="20"/>
                <w:szCs w:val="20"/>
                <w:color w:val="auto"/>
              </w:rPr>
            </w:pPr>
            <w:r>
              <w:rPr>
                <w:rFonts w:ascii="Arial" w:cs="Arial" w:eastAsia="Arial" w:hAnsi="Arial"/>
                <w:sz w:val="11"/>
                <w:szCs w:val="11"/>
                <w:color w:val="auto"/>
              </w:rPr>
              <w:t>net amounts payable under Tax Receivable</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(2,745)</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(2,745)</w:t>
            </w: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Agreements</w:t>
            </w:r>
            <w:r>
              <w:rPr>
                <w:rFonts w:ascii="Arial" w:cs="Arial" w:eastAsia="Arial" w:hAnsi="Arial"/>
                <w:sz w:val="14"/>
                <w:szCs w:val="14"/>
                <w:color w:val="auto"/>
                <w:vertAlign w:val="superscript"/>
              </w:rPr>
              <w:t>(1)</w:t>
            </w: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00" w:type="dxa"/>
            <w:vAlign w:val="bottom"/>
          </w:tcPr>
          <w:p>
            <w:pPr>
              <w:ind w:left="20"/>
              <w:spacing w:after="0"/>
              <w:rPr>
                <w:sz w:val="20"/>
                <w:szCs w:val="20"/>
                <w:color w:val="auto"/>
              </w:rPr>
            </w:pPr>
            <w:r>
              <w:rPr>
                <w:rFonts w:ascii="Arial" w:cs="Arial" w:eastAsia="Arial" w:hAnsi="Arial"/>
                <w:sz w:val="11"/>
                <w:szCs w:val="11"/>
                <w:color w:val="auto"/>
              </w:rPr>
              <w:t>Balance at September 30, 2022</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596,355</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164,044</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671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28,922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173,443</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677,565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1,641,109</w:t>
            </w: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March 31, 2022</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48</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587,243</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229,615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658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32,063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194,480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780,162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1,824,330</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Net income (loss)</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(40,261)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16,261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(23,961)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(40,575)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(88,536)</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comprehensive income</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Contributed capital</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8,785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8,802</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4,126</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3,363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7,497</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Distributions</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(19,440)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(5,861)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(54,346)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(79,647)</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Dividends declared</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(25,310)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(25,310)</w:t>
            </w: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w w:val="89"/>
              </w:rPr>
              <w:t>Vesting of RSUs, net of shares withheld for employee</w:t>
            </w:r>
          </w:p>
        </w:tc>
        <w:tc>
          <w:tcPr>
            <w:tcW w:w="18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(1,504)</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(1,203)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(2,707)</w:t>
            </w:r>
          </w:p>
        </w:tc>
        <w:tc>
          <w:tcPr>
            <w:tcW w:w="0" w:type="dxa"/>
            <w:vAlign w:val="bottom"/>
          </w:tcPr>
          <w:p>
            <w:pPr>
              <w:spacing w:after="0"/>
              <w:rPr>
                <w:sz w:val="1"/>
                <w:szCs w:val="1"/>
                <w:color w:val="auto"/>
              </w:rPr>
            </w:pPr>
          </w:p>
        </w:tc>
      </w:tr>
      <w:tr>
        <w:trPr>
          <w:trHeight w:val="136"/>
        </w:trPr>
        <w:tc>
          <w:tcPr>
            <w:tcW w:w="2500" w:type="dxa"/>
            <w:vAlign w:val="bottom"/>
          </w:tcPr>
          <w:p>
            <w:pPr>
              <w:ind w:left="240"/>
              <w:spacing w:after="0"/>
              <w:rPr>
                <w:sz w:val="20"/>
                <w:szCs w:val="20"/>
                <w:color w:val="auto"/>
              </w:rPr>
            </w:pPr>
            <w:r>
              <w:rPr>
                <w:rFonts w:ascii="Arial" w:cs="Arial" w:eastAsia="Arial" w:hAnsi="Arial"/>
                <w:sz w:val="11"/>
                <w:szCs w:val="11"/>
                <w:color w:val="auto"/>
              </w:rPr>
              <w:t>taxes</w:t>
            </w: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0"/>
              </w:rPr>
              <w:t>Exchange of Class B units for Class A common stock</w:t>
            </w: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CEEFF"/>
          </w:tcPr>
          <w:p>
            <w:pPr>
              <w:ind w:left="240"/>
              <w:spacing w:after="0" w:line="108" w:lineRule="exact"/>
              <w:rPr>
                <w:sz w:val="20"/>
                <w:szCs w:val="20"/>
                <w:color w:val="auto"/>
              </w:rPr>
            </w:pPr>
            <w:r>
              <w:rPr>
                <w:rFonts w:ascii="Arial" w:cs="Arial" w:eastAsia="Arial" w:hAnsi="Arial"/>
                <w:sz w:val="11"/>
                <w:szCs w:val="11"/>
                <w:color w:val="auto"/>
                <w:w w:val="90"/>
              </w:rPr>
              <w:t>and redemption of corresponding Class B common</w:t>
            </w: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ind w:left="520"/>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shares</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w w:val="99"/>
              </w:rPr>
              <w:t>Equity reallocation between controlling and non-</w:t>
            </w:r>
          </w:p>
        </w:tc>
        <w:tc>
          <w:tcPr>
            <w:tcW w:w="18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9,871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(9,867)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500" w:type="dxa"/>
            <w:vAlign w:val="bottom"/>
          </w:tcPr>
          <w:p>
            <w:pPr>
              <w:ind w:left="240"/>
              <w:spacing w:after="0"/>
              <w:rPr>
                <w:sz w:val="20"/>
                <w:szCs w:val="20"/>
                <w:color w:val="auto"/>
              </w:rPr>
            </w:pPr>
            <w:r>
              <w:rPr>
                <w:rFonts w:ascii="Arial" w:cs="Arial" w:eastAsia="Arial" w:hAnsi="Arial"/>
                <w:sz w:val="11"/>
                <w:szCs w:val="11"/>
                <w:color w:val="auto"/>
              </w:rPr>
              <w:t>controlling interests</w:t>
            </w: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Deferred tax effect resulting from transactions</w:t>
            </w: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CEEFF"/>
          </w:tcPr>
          <w:p>
            <w:pPr>
              <w:ind w:left="240"/>
              <w:spacing w:after="0" w:line="108" w:lineRule="exact"/>
              <w:rPr>
                <w:sz w:val="20"/>
                <w:szCs w:val="20"/>
                <w:color w:val="auto"/>
              </w:rPr>
            </w:pPr>
            <w:r>
              <w:rPr>
                <w:rFonts w:ascii="Arial" w:cs="Arial" w:eastAsia="Arial" w:hAnsi="Arial"/>
                <w:sz w:val="11"/>
                <w:szCs w:val="11"/>
                <w:color w:val="auto"/>
                <w:w w:val="95"/>
              </w:rPr>
              <w:t>affecting ownership in the Partnership, including</w:t>
            </w: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00" w:type="dxa"/>
            <w:vAlign w:val="bottom"/>
            <w:shd w:val="clear" w:color="auto" w:fill="CCEEFF"/>
          </w:tcPr>
          <w:p>
            <w:pPr>
              <w:ind w:left="240"/>
              <w:spacing w:after="0" w:line="104" w:lineRule="exact"/>
              <w:rPr>
                <w:sz w:val="20"/>
                <w:szCs w:val="20"/>
                <w:color w:val="auto"/>
              </w:rPr>
            </w:pPr>
            <w:r>
              <w:rPr>
                <w:rFonts w:ascii="Arial" w:cs="Arial" w:eastAsia="Arial" w:hAnsi="Arial"/>
                <w:sz w:val="11"/>
                <w:szCs w:val="11"/>
                <w:color w:val="auto"/>
              </w:rPr>
              <w:t>net amounts payable under Tax Receivable</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(3,381)</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(3,381)</w:t>
            </w: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Agreements</w:t>
            </w:r>
            <w:r>
              <w:rPr>
                <w:rFonts w:ascii="Arial" w:cs="Arial" w:eastAsia="Arial" w:hAnsi="Arial"/>
                <w:sz w:val="14"/>
                <w:szCs w:val="14"/>
                <w:color w:val="auto"/>
                <w:vertAlign w:val="superscript"/>
              </w:rPr>
              <w:t>(1)</w:t>
            </w: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00" w:type="dxa"/>
            <w:vAlign w:val="bottom"/>
          </w:tcPr>
          <w:p>
            <w:pPr>
              <w:ind w:left="20"/>
              <w:spacing w:after="0"/>
              <w:rPr>
                <w:sz w:val="20"/>
                <w:szCs w:val="20"/>
                <w:color w:val="auto"/>
              </w:rPr>
            </w:pPr>
            <w:r>
              <w:rPr>
                <w:rFonts w:ascii="Arial" w:cs="Arial" w:eastAsia="Arial" w:hAnsi="Arial"/>
                <w:sz w:val="11"/>
                <w:szCs w:val="11"/>
                <w:color w:val="auto"/>
              </w:rPr>
              <w:t>Balance at September 30, 2022</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596,355</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164,044</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671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28,922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173,443</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677,565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1,641,109</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See notes 10, 13 and 14 for more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Stockholders’ Equity (Unaudited)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Non-Controlling</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Accumulated Other</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0"/>
              </w:rPr>
              <w:t>Non-Controlling</w:t>
            </w:r>
          </w:p>
        </w:tc>
        <w:tc>
          <w:tcPr>
            <w:tcW w:w="120" w:type="dxa"/>
            <w:vAlign w:val="bottom"/>
          </w:tcPr>
          <w:p>
            <w:pPr>
              <w:spacing w:after="0"/>
              <w:rPr>
                <w:sz w:val="9"/>
                <w:szCs w:val="9"/>
                <w:color w:val="auto"/>
              </w:rPr>
            </w:pPr>
          </w:p>
        </w:tc>
        <w:tc>
          <w:tcPr>
            <w:tcW w:w="86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8"/>
              </w:rPr>
              <w:t>Interests in</w:t>
            </w: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8"/>
              </w:rPr>
              <w:t>Class A Common</w:t>
            </w:r>
          </w:p>
        </w:tc>
        <w:tc>
          <w:tcPr>
            <w:tcW w:w="9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w w:val="98"/>
              </w:rPr>
              <w:t>Class B Common</w:t>
            </w: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3"/>
              </w:rPr>
              <w:t>Additional Paid-</w:t>
            </w:r>
          </w:p>
        </w:tc>
        <w:tc>
          <w:tcPr>
            <w:tcW w:w="140" w:type="dxa"/>
            <w:vAlign w:val="bottom"/>
          </w:tcPr>
          <w:p>
            <w:pPr>
              <w:spacing w:after="0"/>
              <w:rPr>
                <w:sz w:val="9"/>
                <w:szCs w:val="9"/>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Retained</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4"/>
              </w:rPr>
              <w:t>Legacy</w:t>
            </w:r>
          </w:p>
        </w:tc>
        <w:tc>
          <w:tcPr>
            <w:tcW w:w="9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9"/>
                <w:szCs w:val="9"/>
                <w:color w:val="auto"/>
              </w:rPr>
            </w:pPr>
          </w:p>
        </w:tc>
        <w:tc>
          <w:tcPr>
            <w:tcW w:w="84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5"/>
              </w:rPr>
              <w:t>Interests in</w:t>
            </w:r>
          </w:p>
        </w:tc>
        <w:tc>
          <w:tcPr>
            <w:tcW w:w="12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8"/>
              </w:rPr>
              <w:t>Greenspring</w:t>
            </w: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6"/>
              </w:rPr>
              <w:t>Interests in the</w:t>
            </w: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40"/>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Stock</w:t>
            </w:r>
          </w:p>
        </w:tc>
        <w:tc>
          <w:tcPr>
            <w:tcW w:w="18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Stock</w:t>
            </w:r>
          </w:p>
        </w:tc>
        <w:tc>
          <w:tcPr>
            <w:tcW w:w="14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in Capital</w:t>
            </w:r>
          </w:p>
        </w:tc>
        <w:tc>
          <w:tcPr>
            <w:tcW w:w="14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Earnings</w:t>
            </w:r>
          </w:p>
        </w:tc>
        <w:tc>
          <w:tcPr>
            <w:tcW w:w="12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Income</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Subsidiaries</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Entities</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Partnership</w:t>
            </w:r>
          </w:p>
        </w:tc>
        <w:tc>
          <w:tcPr>
            <w:tcW w:w="100" w:type="dxa"/>
            <w:vAlign w:val="bottom"/>
          </w:tcPr>
          <w:p>
            <w:pPr>
              <w:spacing w:after="0"/>
              <w:rPr>
                <w:sz w:val="12"/>
                <w:szCs w:val="12"/>
                <w:color w:val="auto"/>
              </w:rPr>
            </w:pPr>
          </w:p>
        </w:tc>
        <w:tc>
          <w:tcPr>
            <w:tcW w:w="800" w:type="dxa"/>
            <w:vAlign w:val="bottom"/>
          </w:tcPr>
          <w:p>
            <w:pPr>
              <w:jc w:val="center"/>
              <w:ind w:right="46"/>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22"/>
        </w:trPr>
        <w:tc>
          <w:tcPr>
            <w:tcW w:w="2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June 30, 2021</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55</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205,561</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99,057</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215</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26,585</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429,622</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761,135</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62,074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6,032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59,756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127,862</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comprehensive income</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143</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Contributed capital</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1,385</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1,828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3,213</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Distributions</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(7,540)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(18,806)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(26,346)</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Purchase of non-controlling interests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(657)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(1,502)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(887)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(3,046)</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Dividends declared</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(3,000)</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Vesting of RSUs</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rPr>
              <w:t>Class A common stock issued for Greenspring</w:t>
            </w:r>
          </w:p>
        </w:tc>
        <w:tc>
          <w:tcPr>
            <w:tcW w:w="1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267,842</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290,744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558,599</w:t>
            </w:r>
          </w:p>
        </w:tc>
        <w:tc>
          <w:tcPr>
            <w:tcW w:w="0" w:type="dxa"/>
            <w:vAlign w:val="bottom"/>
          </w:tcPr>
          <w:p>
            <w:pPr>
              <w:spacing w:after="0"/>
              <w:rPr>
                <w:sz w:val="1"/>
                <w:szCs w:val="1"/>
                <w:color w:val="auto"/>
              </w:rPr>
            </w:pPr>
          </w:p>
        </w:tc>
      </w:tr>
      <w:tr>
        <w:trPr>
          <w:trHeight w:val="136"/>
        </w:trPr>
        <w:tc>
          <w:tcPr>
            <w:tcW w:w="2500" w:type="dxa"/>
            <w:vAlign w:val="bottom"/>
          </w:tcPr>
          <w:p>
            <w:pPr>
              <w:ind w:left="240"/>
              <w:spacing w:after="0"/>
              <w:rPr>
                <w:sz w:val="20"/>
                <w:szCs w:val="20"/>
                <w:color w:val="auto"/>
              </w:rPr>
            </w:pPr>
            <w:r>
              <w:rPr>
                <w:rFonts w:ascii="Arial" w:cs="Arial" w:eastAsia="Arial" w:hAnsi="Arial"/>
                <w:sz w:val="11"/>
                <w:szCs w:val="11"/>
                <w:color w:val="auto"/>
              </w:rPr>
              <w:t>acquisition</w:t>
            </w: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8"/>
              </w:rPr>
              <w:t>Class C Partnership units issued for Greenspring</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64,847</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70,392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135,239</w:t>
            </w:r>
          </w:p>
        </w:tc>
        <w:tc>
          <w:tcPr>
            <w:tcW w:w="0" w:type="dxa"/>
            <w:vAlign w:val="bottom"/>
          </w:tcPr>
          <w:p>
            <w:pPr>
              <w:spacing w:after="0"/>
              <w:rPr>
                <w:sz w:val="1"/>
                <w:szCs w:val="1"/>
                <w:color w:val="auto"/>
              </w:rPr>
            </w:pPr>
          </w:p>
        </w:tc>
      </w:tr>
      <w:tr>
        <w:trPr>
          <w:trHeight w:val="138"/>
        </w:trPr>
        <w:tc>
          <w:tcPr>
            <w:tcW w:w="2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acquisition</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w w:val="90"/>
              </w:rPr>
              <w:t>Exchange of Class B units for Class A common stock</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240"/>
              <w:spacing w:after="0" w:line="108" w:lineRule="exact"/>
              <w:rPr>
                <w:sz w:val="20"/>
                <w:szCs w:val="20"/>
                <w:color w:val="auto"/>
              </w:rPr>
            </w:pPr>
            <w:r>
              <w:rPr>
                <w:rFonts w:ascii="Arial" w:cs="Arial" w:eastAsia="Arial" w:hAnsi="Arial"/>
                <w:sz w:val="11"/>
                <w:szCs w:val="11"/>
                <w:color w:val="auto"/>
                <w:w w:val="90"/>
              </w:rPr>
              <w:t>and redemption of corresponding Class B common</w:t>
            </w:r>
          </w:p>
        </w:tc>
        <w:tc>
          <w:tcPr>
            <w:tcW w:w="1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ind w:left="520"/>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36"/>
        </w:trPr>
        <w:tc>
          <w:tcPr>
            <w:tcW w:w="2500" w:type="dxa"/>
            <w:vAlign w:val="bottom"/>
          </w:tcPr>
          <w:p>
            <w:pPr>
              <w:ind w:left="240"/>
              <w:spacing w:after="0"/>
              <w:rPr>
                <w:sz w:val="20"/>
                <w:szCs w:val="20"/>
                <w:color w:val="auto"/>
              </w:rPr>
            </w:pPr>
            <w:r>
              <w:rPr>
                <w:rFonts w:ascii="Arial" w:cs="Arial" w:eastAsia="Arial" w:hAnsi="Arial"/>
                <w:sz w:val="11"/>
                <w:szCs w:val="11"/>
                <w:color w:val="auto"/>
              </w:rPr>
              <w:t>shares</w:t>
            </w: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6"/>
              </w:rPr>
              <w:t>Initial consolidation of legacy Greenspring general</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219,086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219,086</w:t>
            </w:r>
          </w:p>
        </w:tc>
        <w:tc>
          <w:tcPr>
            <w:tcW w:w="0" w:type="dxa"/>
            <w:vAlign w:val="bottom"/>
          </w:tcPr>
          <w:p>
            <w:pPr>
              <w:spacing w:after="0"/>
              <w:rPr>
                <w:sz w:val="1"/>
                <w:szCs w:val="1"/>
                <w:color w:val="auto"/>
              </w:rPr>
            </w:pPr>
          </w:p>
        </w:tc>
      </w:tr>
      <w:tr>
        <w:trPr>
          <w:trHeight w:val="138"/>
        </w:trPr>
        <w:tc>
          <w:tcPr>
            <w:tcW w:w="2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partner entities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w w:val="99"/>
              </w:rPr>
              <w:t>Equity reallocation between controlling and non-</w:t>
            </w:r>
          </w:p>
        </w:tc>
        <w:tc>
          <w:tcPr>
            <w:tcW w:w="18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27,294</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914</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(28,228)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500" w:type="dxa"/>
            <w:vAlign w:val="bottom"/>
          </w:tcPr>
          <w:p>
            <w:pPr>
              <w:ind w:left="240"/>
              <w:spacing w:after="0"/>
              <w:rPr>
                <w:sz w:val="20"/>
                <w:szCs w:val="20"/>
                <w:color w:val="auto"/>
              </w:rPr>
            </w:pPr>
            <w:r>
              <w:rPr>
                <w:rFonts w:ascii="Arial" w:cs="Arial" w:eastAsia="Arial" w:hAnsi="Arial"/>
                <w:sz w:val="11"/>
                <w:szCs w:val="11"/>
                <w:color w:val="auto"/>
              </w:rPr>
              <w:t>controlling interests</w:t>
            </w: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Deferred tax effect resulting from transactions</w:t>
            </w: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CEEFF"/>
          </w:tcPr>
          <w:p>
            <w:pPr>
              <w:ind w:left="240"/>
              <w:spacing w:after="0" w:line="108" w:lineRule="exact"/>
              <w:rPr>
                <w:sz w:val="20"/>
                <w:szCs w:val="20"/>
                <w:color w:val="auto"/>
              </w:rPr>
            </w:pPr>
            <w:r>
              <w:rPr>
                <w:rFonts w:ascii="Arial" w:cs="Arial" w:eastAsia="Arial" w:hAnsi="Arial"/>
                <w:sz w:val="11"/>
                <w:szCs w:val="11"/>
                <w:color w:val="auto"/>
                <w:w w:val="95"/>
              </w:rPr>
              <w:t>affecting ownership in the Partnership, including</w:t>
            </w: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00" w:type="dxa"/>
            <w:vAlign w:val="bottom"/>
            <w:shd w:val="clear" w:color="auto" w:fill="CCEEFF"/>
          </w:tcPr>
          <w:p>
            <w:pPr>
              <w:ind w:left="240"/>
              <w:spacing w:after="0" w:line="104" w:lineRule="exact"/>
              <w:rPr>
                <w:sz w:val="20"/>
                <w:szCs w:val="20"/>
                <w:color w:val="auto"/>
              </w:rPr>
            </w:pPr>
            <w:r>
              <w:rPr>
                <w:rFonts w:ascii="Arial" w:cs="Arial" w:eastAsia="Arial" w:hAnsi="Arial"/>
                <w:sz w:val="11"/>
                <w:szCs w:val="11"/>
                <w:color w:val="auto"/>
              </w:rPr>
              <w:t>net amounts payable under Tax Receivable</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(41,151)</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(41,151)</w:t>
            </w: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Agreements</w:t>
            </w:r>
            <w:r>
              <w:rPr>
                <w:rFonts w:ascii="Arial" w:cs="Arial" w:eastAsia="Arial" w:hAnsi="Arial"/>
                <w:sz w:val="14"/>
                <w:szCs w:val="14"/>
                <w:color w:val="auto"/>
                <w:vertAlign w:val="superscript"/>
              </w:rPr>
              <w:t>(1)</w:t>
            </w: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00" w:type="dxa"/>
            <w:vAlign w:val="bottom"/>
          </w:tcPr>
          <w:p>
            <w:pPr>
              <w:ind w:left="20"/>
              <w:spacing w:after="0"/>
              <w:rPr>
                <w:sz w:val="20"/>
                <w:szCs w:val="20"/>
                <w:color w:val="auto"/>
              </w:rPr>
            </w:pPr>
            <w:r>
              <w:rPr>
                <w:rFonts w:ascii="Arial" w:cs="Arial" w:eastAsia="Arial" w:hAnsi="Arial"/>
                <w:sz w:val="11"/>
                <w:szCs w:val="11"/>
                <w:color w:val="auto"/>
              </w:rPr>
              <w:t>Balance at September 30, 2021</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56</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1"/>
                <w:szCs w:val="11"/>
                <w:color w:val="auto"/>
              </w:rPr>
              <w:t>53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525,118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158,131</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268</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24,558</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219,086</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804,483</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1,731,753</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March 31, 2021</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57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188,751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60,407</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25,885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384,400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659,693</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103,724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11,646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139,011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254,381</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comprehensive income</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391</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Contributed capital</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2,931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4,021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6,956</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Distributions</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(12,585)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(43,249)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(55,834)</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Purchase of non-controlling interests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(657)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(1,502)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(887)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(3,046)</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Dividends declared</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(6,000)</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Vesting of RSUs</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rPr>
              <w:t>Class A common stock issued for Greenspring</w:t>
            </w:r>
          </w:p>
        </w:tc>
        <w:tc>
          <w:tcPr>
            <w:tcW w:w="1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267,842</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290,744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558,599</w:t>
            </w:r>
          </w:p>
        </w:tc>
        <w:tc>
          <w:tcPr>
            <w:tcW w:w="0" w:type="dxa"/>
            <w:vAlign w:val="bottom"/>
          </w:tcPr>
          <w:p>
            <w:pPr>
              <w:spacing w:after="0"/>
              <w:rPr>
                <w:sz w:val="1"/>
                <w:szCs w:val="1"/>
                <w:color w:val="auto"/>
              </w:rPr>
            </w:pPr>
          </w:p>
        </w:tc>
      </w:tr>
      <w:tr>
        <w:trPr>
          <w:trHeight w:val="136"/>
        </w:trPr>
        <w:tc>
          <w:tcPr>
            <w:tcW w:w="2500" w:type="dxa"/>
            <w:vAlign w:val="bottom"/>
          </w:tcPr>
          <w:p>
            <w:pPr>
              <w:ind w:left="240"/>
              <w:spacing w:after="0"/>
              <w:rPr>
                <w:sz w:val="20"/>
                <w:szCs w:val="20"/>
                <w:color w:val="auto"/>
              </w:rPr>
            </w:pPr>
            <w:r>
              <w:rPr>
                <w:rFonts w:ascii="Arial" w:cs="Arial" w:eastAsia="Arial" w:hAnsi="Arial"/>
                <w:sz w:val="11"/>
                <w:szCs w:val="11"/>
                <w:color w:val="auto"/>
              </w:rPr>
              <w:t>acquisition</w:t>
            </w: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8"/>
              </w:rPr>
              <w:t>Class C Partnership units issued for Greenspring</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64,847</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70,392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135,239</w:t>
            </w:r>
          </w:p>
        </w:tc>
        <w:tc>
          <w:tcPr>
            <w:tcW w:w="0" w:type="dxa"/>
            <w:vAlign w:val="bottom"/>
          </w:tcPr>
          <w:p>
            <w:pPr>
              <w:spacing w:after="0"/>
              <w:rPr>
                <w:sz w:val="1"/>
                <w:szCs w:val="1"/>
                <w:color w:val="auto"/>
              </w:rPr>
            </w:pPr>
          </w:p>
        </w:tc>
      </w:tr>
      <w:tr>
        <w:trPr>
          <w:trHeight w:val="138"/>
        </w:trPr>
        <w:tc>
          <w:tcPr>
            <w:tcW w:w="2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acquisition</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w w:val="90"/>
              </w:rPr>
              <w:t>Exchange of Class B units for Class A common stock</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240"/>
              <w:spacing w:after="0" w:line="108" w:lineRule="exact"/>
              <w:rPr>
                <w:sz w:val="20"/>
                <w:szCs w:val="20"/>
                <w:color w:val="auto"/>
              </w:rPr>
            </w:pPr>
            <w:r>
              <w:rPr>
                <w:rFonts w:ascii="Arial" w:cs="Arial" w:eastAsia="Arial" w:hAnsi="Arial"/>
                <w:sz w:val="11"/>
                <w:szCs w:val="11"/>
                <w:color w:val="auto"/>
                <w:w w:val="90"/>
              </w:rPr>
              <w:t>and redemption of corresponding Class B common</w:t>
            </w:r>
          </w:p>
        </w:tc>
        <w:tc>
          <w:tcPr>
            <w:tcW w:w="1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ind w:left="520"/>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36"/>
        </w:trPr>
        <w:tc>
          <w:tcPr>
            <w:tcW w:w="2500" w:type="dxa"/>
            <w:vAlign w:val="bottom"/>
          </w:tcPr>
          <w:p>
            <w:pPr>
              <w:ind w:left="240"/>
              <w:spacing w:after="0"/>
              <w:rPr>
                <w:sz w:val="20"/>
                <w:szCs w:val="20"/>
                <w:color w:val="auto"/>
              </w:rPr>
            </w:pPr>
            <w:r>
              <w:rPr>
                <w:rFonts w:ascii="Arial" w:cs="Arial" w:eastAsia="Arial" w:hAnsi="Arial"/>
                <w:sz w:val="11"/>
                <w:szCs w:val="11"/>
                <w:color w:val="auto"/>
              </w:rPr>
              <w:t>shares</w:t>
            </w: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6"/>
              </w:rPr>
              <w:t>Initial consolidation of legacy Greenspring general</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219,086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219,086</w:t>
            </w:r>
          </w:p>
        </w:tc>
        <w:tc>
          <w:tcPr>
            <w:tcW w:w="0" w:type="dxa"/>
            <w:vAlign w:val="bottom"/>
          </w:tcPr>
          <w:p>
            <w:pPr>
              <w:spacing w:after="0"/>
              <w:rPr>
                <w:sz w:val="1"/>
                <w:szCs w:val="1"/>
                <w:color w:val="auto"/>
              </w:rPr>
            </w:pPr>
          </w:p>
        </w:tc>
      </w:tr>
      <w:tr>
        <w:trPr>
          <w:trHeight w:val="138"/>
        </w:trPr>
        <w:tc>
          <w:tcPr>
            <w:tcW w:w="2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partner entities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w w:val="99"/>
              </w:rPr>
              <w:t>Equity reallocation between controlling and non-</w:t>
            </w:r>
          </w:p>
        </w:tc>
        <w:tc>
          <w:tcPr>
            <w:tcW w:w="18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39,159</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914</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(40,104)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500" w:type="dxa"/>
            <w:vAlign w:val="bottom"/>
          </w:tcPr>
          <w:p>
            <w:pPr>
              <w:ind w:left="240"/>
              <w:spacing w:after="0"/>
              <w:rPr>
                <w:sz w:val="20"/>
                <w:szCs w:val="20"/>
                <w:color w:val="auto"/>
              </w:rPr>
            </w:pPr>
            <w:r>
              <w:rPr>
                <w:rFonts w:ascii="Arial" w:cs="Arial" w:eastAsia="Arial" w:hAnsi="Arial"/>
                <w:sz w:val="11"/>
                <w:szCs w:val="11"/>
                <w:color w:val="auto"/>
              </w:rPr>
              <w:t>controlling interests</w:t>
            </w: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Deferred tax effect resulting from transactions</w:t>
            </w: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CEEFF"/>
          </w:tcPr>
          <w:p>
            <w:pPr>
              <w:ind w:left="240"/>
              <w:spacing w:after="0" w:line="108" w:lineRule="exact"/>
              <w:rPr>
                <w:sz w:val="20"/>
                <w:szCs w:val="20"/>
                <w:color w:val="auto"/>
              </w:rPr>
            </w:pPr>
            <w:r>
              <w:rPr>
                <w:rFonts w:ascii="Arial" w:cs="Arial" w:eastAsia="Arial" w:hAnsi="Arial"/>
                <w:sz w:val="11"/>
                <w:szCs w:val="11"/>
                <w:color w:val="auto"/>
                <w:w w:val="95"/>
              </w:rPr>
              <w:t>affecting ownership in the Partnership, including</w:t>
            </w: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00" w:type="dxa"/>
            <w:vAlign w:val="bottom"/>
            <w:shd w:val="clear" w:color="auto" w:fill="CCEEFF"/>
          </w:tcPr>
          <w:p>
            <w:pPr>
              <w:ind w:left="240"/>
              <w:spacing w:after="0" w:line="104" w:lineRule="exact"/>
              <w:rPr>
                <w:sz w:val="20"/>
                <w:szCs w:val="20"/>
                <w:color w:val="auto"/>
              </w:rPr>
            </w:pPr>
            <w:r>
              <w:rPr>
                <w:rFonts w:ascii="Arial" w:cs="Arial" w:eastAsia="Arial" w:hAnsi="Arial"/>
                <w:sz w:val="11"/>
                <w:szCs w:val="11"/>
                <w:color w:val="auto"/>
              </w:rPr>
              <w:t>net amounts payable under Tax Receivable</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(37,750)</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(37,750)</w:t>
            </w: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Agreements</w:t>
            </w:r>
            <w:r>
              <w:rPr>
                <w:rFonts w:ascii="Arial" w:cs="Arial" w:eastAsia="Arial" w:hAnsi="Arial"/>
                <w:sz w:val="14"/>
                <w:szCs w:val="14"/>
                <w:color w:val="auto"/>
                <w:vertAlign w:val="superscript"/>
              </w:rPr>
              <w:t>(1)</w:t>
            </w: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00" w:type="dxa"/>
            <w:vAlign w:val="bottom"/>
          </w:tcPr>
          <w:p>
            <w:pPr>
              <w:ind w:left="20"/>
              <w:spacing w:after="0"/>
              <w:rPr>
                <w:sz w:val="20"/>
                <w:szCs w:val="20"/>
                <w:color w:val="auto"/>
              </w:rPr>
            </w:pPr>
            <w:r>
              <w:rPr>
                <w:rFonts w:ascii="Arial" w:cs="Arial" w:eastAsia="Arial" w:hAnsi="Arial"/>
                <w:sz w:val="11"/>
                <w:szCs w:val="11"/>
                <w:color w:val="auto"/>
              </w:rPr>
              <w:t>Balance at September 30, 2021</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56</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1"/>
                <w:szCs w:val="11"/>
                <w:color w:val="auto"/>
              </w:rPr>
              <w:t>53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525,118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158,131</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268</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24,558</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219,086</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804,483</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1,731,753</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notes 10, 13 and 14 for more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5"/>
              </w:rPr>
              <w:t>Six Months Ended September 30,</w:t>
            </w:r>
          </w:p>
        </w:tc>
      </w:tr>
      <w:tr>
        <w:trPr>
          <w:trHeight w:val="223"/>
        </w:trPr>
        <w:tc>
          <w:tcPr>
            <w:tcW w:w="7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(88,536)</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254,381</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23,245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3,626</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carried interest allocations and investment (income) loss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299,593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(329,031)</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Unrealized legacy Greenspring carried interest allocations and investment loss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349,763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performance fee-related compensation</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(140,679)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159,778</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Unrealized legacy Greenspring performance fee-related compensation</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(322,428)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7,497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6,956</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income taxes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Fair value adjustment for acquisition-related contingent consideration</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7,960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remeasurement of lease liabilities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Other non-cash activities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1,852</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Fees and accounts receivable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(1,897)</w:t>
            </w: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from affiliates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Other assets and receivables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(9,285)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2,788</w:t>
            </w: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35,500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31,268</w:t>
            </w: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carried interest-related compensation</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13,367</w:t>
            </w: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Due to affiliates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right-of-use assets, net and 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78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145,714</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135,500</w:t>
            </w:r>
          </w:p>
        </w:tc>
      </w:tr>
      <w:tr>
        <w:trPr>
          <w:trHeight w:val="250"/>
        </w:trPr>
        <w:tc>
          <w:tcPr>
            <w:tcW w:w="7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 to investments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(10,927)</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Distributions received from investments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3,474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3,749</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 to investments in legacy Greenspring entities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Distributions received from investments in legacy Greenspring entities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2,486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Greenspring acquisition, net of cash acquired</w:t>
            </w: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(181,529)</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(2,095)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(1,321)</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investing activities</w:t>
            </w: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786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(17,312)</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(189,997)</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5"/>
              </w:rPr>
              <w:t>Six Months Ended September 30,</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Proceeds from capital contributions from non-controlling interests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revolving credit facility</w:t>
            </w: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26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non-controlling interests</w:t>
            </w: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Payment of deferred offering costs</w:t>
            </w:r>
          </w:p>
        </w:tc>
        <w:tc>
          <w:tcPr>
            <w:tcW w:w="26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revolving credit facility</w:t>
            </w: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Distributions to non-controlling interests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(73,786)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(55,834)</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capital contributions to legacy Greenspring entities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Distributions to non-controlling interests in legacy Greenspring entities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(5,861)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to common stockholders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(24,507)</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Payments for employee taxes related to net settlement of RSUs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to related parties under Tax Receivable Agreements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Other financing activities</w:t>
            </w:r>
          </w:p>
        </w:tc>
        <w:tc>
          <w:tcPr>
            <w:tcW w:w="26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8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(102,849)</w:t>
            </w:r>
          </w:p>
        </w:tc>
        <w:tc>
          <w:tcPr>
            <w:tcW w:w="2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46,471</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Effect of foreign currency exchange rate changes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27,034</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117,449</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183,863</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144,483</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176,031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Non-cash operating, investing, and financing activities: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dividends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175"/>
        </w:trPr>
        <w:tc>
          <w:tcPr>
            <w:tcW w:w="7860" w:type="dxa"/>
            <w:vAlign w:val="bottom"/>
          </w:tcPr>
          <w:p>
            <w:pPr>
              <w:ind w:left="360"/>
              <w:spacing w:after="0" w:line="176" w:lineRule="exact"/>
              <w:rPr>
                <w:sz w:val="20"/>
                <w:szCs w:val="20"/>
                <w:color w:val="auto"/>
              </w:rPr>
            </w:pPr>
            <w:r>
              <w:rPr>
                <w:rFonts w:ascii="Arial" w:cs="Arial" w:eastAsia="Arial" w:hAnsi="Arial"/>
                <w:sz w:val="18"/>
                <w:szCs w:val="18"/>
                <w:color w:val="auto"/>
                <w:w w:val="95"/>
              </w:rPr>
              <w:t>Deferred tax effect resulting from transactions affecting ownership in the Partnership, including net</w:t>
            </w:r>
          </w:p>
        </w:tc>
        <w:tc>
          <w:tcPr>
            <w:tcW w:w="2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(3,381)</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(37,750)</w:t>
            </w:r>
          </w:p>
        </w:tc>
        <w:tc>
          <w:tcPr>
            <w:tcW w:w="0" w:type="dxa"/>
            <w:vAlign w:val="bottom"/>
          </w:tcPr>
          <w:p>
            <w:pPr>
              <w:spacing w:after="0"/>
              <w:rPr>
                <w:sz w:val="1"/>
                <w:szCs w:val="1"/>
                <w:color w:val="auto"/>
              </w:rPr>
            </w:pPr>
          </w:p>
        </w:tc>
      </w:tr>
      <w:tr>
        <w:trPr>
          <w:trHeight w:val="149"/>
        </w:trPr>
        <w:tc>
          <w:tcPr>
            <w:tcW w:w="7860" w:type="dxa"/>
            <w:vAlign w:val="bottom"/>
            <w:vMerge w:val="restart"/>
          </w:tcPr>
          <w:p>
            <w:pPr>
              <w:ind w:left="680"/>
              <w:spacing w:after="0"/>
              <w:rPr>
                <w:sz w:val="20"/>
                <w:szCs w:val="20"/>
                <w:color w:val="auto"/>
              </w:rPr>
            </w:pPr>
            <w:r>
              <w:rPr>
                <w:rFonts w:ascii="Arial" w:cs="Arial" w:eastAsia="Arial" w:hAnsi="Arial"/>
                <w:sz w:val="18"/>
                <w:szCs w:val="18"/>
                <w:color w:val="auto"/>
              </w:rPr>
              <w:t>amounts payable under Tax Receivable Agreements</w:t>
            </w:r>
          </w:p>
        </w:tc>
        <w:tc>
          <w:tcPr>
            <w:tcW w:w="2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78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Establishment of lease liabilities in exchange for lease right-of-use assets</w:t>
            </w: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25,269</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79,478</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Remeasurement of lease liabilities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(18,166)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A common stock issued for Greenspring acquisition</w:t>
            </w: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558,598</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Class C Partnership units issued for Greenspring acquisition</w:t>
            </w:r>
          </w:p>
        </w:tc>
        <w:tc>
          <w:tcPr>
            <w:tcW w:w="26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135,239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Reconciliation of cash, cash equivalents and restricted cash:</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143,562</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175,015</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23"/>
        </w:trPr>
        <w:tc>
          <w:tcPr>
            <w:tcW w:w="7860" w:type="dxa"/>
            <w:vAlign w:val="bottom"/>
          </w:tcPr>
          <w:p>
            <w:pPr>
              <w:ind w:left="680"/>
              <w:spacing w:after="0"/>
              <w:rPr>
                <w:sz w:val="20"/>
                <w:szCs w:val="20"/>
                <w:color w:val="auto"/>
              </w:rPr>
            </w:pPr>
            <w:r>
              <w:rPr>
                <w:rFonts w:ascii="Arial" w:cs="Arial" w:eastAsia="Arial" w:hAnsi="Arial"/>
                <w:sz w:val="18"/>
                <w:szCs w:val="18"/>
                <w:color w:val="auto"/>
              </w:rPr>
              <w:t>Total cash, cash equivalents and restricted cash</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144,483</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176,031</w:t>
            </w:r>
          </w:p>
        </w:tc>
        <w:tc>
          <w:tcPr>
            <w:tcW w:w="0" w:type="dxa"/>
            <w:vAlign w:val="bottom"/>
          </w:tcPr>
          <w:p>
            <w:pPr>
              <w:spacing w:after="0"/>
              <w:rPr>
                <w:sz w:val="1"/>
                <w:szCs w:val="1"/>
                <w:color w:val="auto"/>
              </w:rPr>
            </w:pPr>
          </w:p>
        </w:tc>
      </w:tr>
      <w:tr>
        <w:trPr>
          <w:trHeight w:val="21"/>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8"/>
          <w:szCs w:val="18"/>
          <w:b w:val="1"/>
          <w:bCs w:val="1"/>
          <w:color w:val="auto"/>
        </w:rPr>
        <w:t>Organization</w:t>
      </w:r>
    </w:p>
    <w:p>
      <w:pPr>
        <w:spacing w:after="0" w:line="23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8"/>
          <w:szCs w:val="18"/>
          <w:color w:val="auto"/>
        </w:rPr>
        <w:t>StepStone Group Inc. (“SSG”) was incorporated in the state of Delaware on November 20, 2019. The company was formed for the purpose of completing an initial public offering (“IPO”) in order to conduct the business of StepStone Group LP (the “Partnership”) as a publicly-traded entity. SSG is the sole managing member of StepStone Group Holdings LLC (the “General Partner”), the general partner of the Partnership. Unless otherwise specified, “StepStone” or the “Company” refers to SSG and its consolidated subsidiaries, including the Partnership, throughout the remainder of these notes to the condensed consolidated financial statements.</w:t>
      </w:r>
    </w:p>
    <w:p>
      <w:pPr>
        <w:spacing w:after="0" w:line="171" w:lineRule="exact"/>
        <w:rPr>
          <w:sz w:val="20"/>
          <w:szCs w:val="20"/>
          <w:color w:val="auto"/>
        </w:rPr>
      </w:pPr>
    </w:p>
    <w:p>
      <w:pPr>
        <w:ind w:right="40" w:firstLine="648"/>
        <w:spacing w:after="0" w:line="265" w:lineRule="auto"/>
        <w:rPr>
          <w:sz w:val="20"/>
          <w:szCs w:val="20"/>
          <w:color w:val="auto"/>
        </w:rPr>
      </w:pPr>
      <w:r>
        <w:rPr>
          <w:rFonts w:ascii="Arial" w:cs="Arial" w:eastAsia="Arial" w:hAnsi="Arial"/>
          <w:sz w:val="19"/>
          <w:szCs w:val="19"/>
          <w:color w:val="auto"/>
        </w:rPr>
        <w:t>The Company is a global private markets investment firm focused on providing customized investment solutions and advisory, data and administrative services to its clients. The Company’s clients include some of the world’s largest public and private defined benefit and 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spacing w:after="0" w:line="176" w:lineRule="exact"/>
        <w:rPr>
          <w:sz w:val="20"/>
          <w:szCs w:val="20"/>
          <w:color w:val="auto"/>
        </w:rPr>
      </w:pPr>
    </w:p>
    <w:p>
      <w:pPr>
        <w:ind w:right="220" w:firstLine="648"/>
        <w:spacing w:after="0" w:line="332" w:lineRule="auto"/>
        <w:rPr>
          <w:sz w:val="20"/>
          <w:szCs w:val="20"/>
          <w:color w:val="auto"/>
        </w:rPr>
      </w:pPr>
      <w:r>
        <w:rPr>
          <w:rFonts w:ascii="Arial" w:cs="Arial" w:eastAsia="Arial" w:hAnsi="Arial"/>
          <w:sz w:val="18"/>
          <w:szCs w:val="18"/>
          <w:color w:val="auto"/>
        </w:rPr>
        <w:t>The Company, through its subsidiaries, acts as the investment advisor and general partner or managing member to separately managed accounts (“SMAs”) and focused commingled funds, including acquired Greenspring funds (collectively, the “StepStone Funds”).</w:t>
      </w:r>
    </w:p>
    <w:p>
      <w:pPr>
        <w:spacing w:after="0" w:line="129" w:lineRule="exact"/>
        <w:rPr>
          <w:sz w:val="20"/>
          <w:szCs w:val="20"/>
          <w:color w:val="auto"/>
        </w:rPr>
      </w:pPr>
    </w:p>
    <w:p>
      <w:pPr>
        <w:ind w:right="100" w:firstLine="648"/>
        <w:spacing w:after="0" w:line="280" w:lineRule="auto"/>
        <w:rPr>
          <w:sz w:val="20"/>
          <w:szCs w:val="20"/>
          <w:color w:val="auto"/>
        </w:rPr>
      </w:pPr>
      <w:r>
        <w:rPr>
          <w:rFonts w:ascii="Arial" w:cs="Arial" w:eastAsia="Arial" w:hAnsi="Arial"/>
          <w:sz w:val="18"/>
          <w:szCs w:val="18"/>
          <w:color w:val="auto"/>
        </w:rPr>
        <w:t>SSG is a holding company whose principal asset is a controlling financial interest in the Partnership through its ownership of all of the Partnership’s Class A units and 100% of the membership interests in the General Partner of the Partnership. SSG acts as the sole managing member of the General Partner of the Partnership and, as a result, indirectly operates and controls all of the Partnership’s business and affairs. As a result, SSG consolidates the financial results of the Partnership and reports non-controlling interests related to the Class B and Class C units of the Partnership which are not owned by SSG. The assets and liabilities of the Partnership represent substantially all of SSG’s consolidated assets and liabilities, with the exception of certain deferred income taxes and payables due to affiliates pursuant to tax receivable agreements (see note 10). Each share of Class A common stock is entitled to one vote and each share of Class B common stock is entitled to five votes. As of September 30, 2022, SSG held approximately 55.6% of the economic interest in the Partnership. As the Partnership’s limited partners exchange their Class B and Class C units into SSG’s Class A common stock in the future, SSG’s economic interest in the Partnership will increase relative to that of the Class B and Class C unitholders.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Greenspring Acquisition</w:t>
      </w:r>
    </w:p>
    <w:p>
      <w:pPr>
        <w:spacing w:after="0" w:line="235" w:lineRule="exact"/>
        <w:rPr>
          <w:sz w:val="20"/>
          <w:szCs w:val="20"/>
          <w:color w:val="auto"/>
        </w:rPr>
      </w:pPr>
    </w:p>
    <w:p>
      <w:pPr>
        <w:ind w:firstLine="648"/>
        <w:spacing w:after="0" w:line="252" w:lineRule="auto"/>
        <w:rPr>
          <w:sz w:val="20"/>
          <w:szCs w:val="20"/>
          <w:color w:val="auto"/>
        </w:rPr>
      </w:pPr>
      <w:r>
        <w:rPr>
          <w:rFonts w:ascii="Arial" w:cs="Arial" w:eastAsia="Arial" w:hAnsi="Arial"/>
          <w:sz w:val="20"/>
          <w:szCs w:val="20"/>
          <w:color w:val="auto"/>
        </w:rPr>
        <w:t>On September 20, 2021, the Company completed the acquisition of 100% of the equity of Greenspring Associates, Inc. and certain of its affiliates (collectively, “Greenspring”). The results of Greenspring’s operations have been included in the condensed consolidated financial statements effective September 20, 2021. In connection with the Greenspring acquisition, the Company issued 12,686,756 shares of its Class A common stock and the Partnership issued 3,071,519 newly created Class C units of the Partnership, with each such unit exchangeable into one share of Class A common stock, subject to certain adjustments and restrictions. See notes 13 and 14 for more information.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Basis of Presentation</w:t>
      </w:r>
    </w:p>
    <w:p>
      <w:pPr>
        <w:spacing w:after="0" w:line="222" w:lineRule="exact"/>
        <w:rPr>
          <w:sz w:val="20"/>
          <w:szCs w:val="20"/>
          <w:color w:val="auto"/>
        </w:rPr>
      </w:pPr>
    </w:p>
    <w:p>
      <w:pPr>
        <w:ind w:right="20" w:firstLine="648"/>
        <w:spacing w:after="0" w:line="321" w:lineRule="auto"/>
        <w:rPr>
          <w:sz w:val="20"/>
          <w:szCs w:val="20"/>
          <w:color w:val="auto"/>
        </w:rPr>
      </w:pPr>
      <w:r>
        <w:rPr>
          <w:rFonts w:ascii="Arial" w:cs="Arial" w:eastAsia="Arial" w:hAnsi="Arial"/>
          <w:sz w:val="16"/>
          <w:szCs w:val="16"/>
          <w:color w:val="auto"/>
        </w:rPr>
        <w:t>The accompanying unaudited condensed consolidated financial statements are prepared in accordance with accounting principles generally accepted in the United States (“GAAP”) for interim financial information. Management believes it has made all necessary adjustments (consisting of only normal recurring items) such that the condensed consolidated financial statements are presented fairly and that estimates made in preparing the condensed consolidated financial statements are reasonable and prudent. The operating results presented for interim periods are not necessarily indicative of the results that may be expected for any other interim period or for the entire year. The condensed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All intercompany balances and transactions have been eliminated in consolidation. These unaudited condensed consolidated financial statements should be read in conjunction with the Company’s audited consolidated financial statements included in its Annual Report on Form 10-K for the fiscal year ended March 31, 2022 filed with the Securities and Exchange Commission (“SEC”).</w:t>
      </w:r>
    </w:p>
    <w:p>
      <w:pPr>
        <w:spacing w:after="0" w:line="377" w:lineRule="exact"/>
        <w:rPr>
          <w:sz w:val="20"/>
          <w:szCs w:val="20"/>
          <w:color w:val="auto"/>
        </w:rPr>
      </w:pPr>
    </w:p>
    <w:p>
      <w:pPr>
        <w:ind w:right="100" w:firstLine="648"/>
        <w:spacing w:after="0" w:line="257" w:lineRule="auto"/>
        <w:rPr>
          <w:sz w:val="20"/>
          <w:szCs w:val="20"/>
          <w:color w:val="auto"/>
        </w:rPr>
      </w:pPr>
      <w:r>
        <w:rPr>
          <w:rFonts w:ascii="Arial" w:cs="Arial" w:eastAsia="Arial" w:hAnsi="Arial"/>
          <w:sz w:val="20"/>
          <w:szCs w:val="20"/>
          <w:color w:val="auto"/>
        </w:rPr>
        <w:t>Certain of the StepStone Funds are investment companies that follow specialized accounting under GAAP and reflect their investments at estimated fair value. Accordingly, the carrying value of the Company’s equity method investments in such entities retains the specialized accounting.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Reclassifications</w:t>
      </w:r>
    </w:p>
    <w:p>
      <w:pPr>
        <w:spacing w:after="0" w:line="235" w:lineRule="exact"/>
        <w:rPr>
          <w:sz w:val="20"/>
          <w:szCs w:val="20"/>
          <w:color w:val="auto"/>
        </w:rPr>
      </w:pPr>
    </w:p>
    <w:p>
      <w:pPr>
        <w:ind w:right="280" w:firstLine="648"/>
        <w:spacing w:after="0" w:line="299" w:lineRule="auto"/>
        <w:rPr>
          <w:sz w:val="20"/>
          <w:szCs w:val="20"/>
          <w:color w:val="auto"/>
        </w:rPr>
      </w:pPr>
      <w:r>
        <w:rPr>
          <w:rFonts w:ascii="Arial" w:cs="Arial" w:eastAsia="Arial" w:hAnsi="Arial"/>
          <w:sz w:val="18"/>
          <w:szCs w:val="18"/>
          <w:color w:val="auto"/>
        </w:rPr>
        <w:t>Certain prior year amounts have been reclassified to conform to the current period presentation. Payments to related parties under Tax Receivable Agreements has been presented separately within cash flows from financing activities in the condensed consolidated statements of cash flows, and was previously included within due to affiliates within cash flows from operating activities.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Consolidation</w:t>
      </w:r>
    </w:p>
    <w:p>
      <w:pPr>
        <w:spacing w:after="0" w:line="208"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that are VIEs could affect the entity’s status as a VIE or the determination of the primary beneficiary.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Under the VIE model, an entity is deemed to be the primary beneficiary of a VIE if it holds a controlling 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spacing w:after="0" w:line="174"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The Company provides investment advisory services to the StepStone Funds, which have third-party clients. These funds are investment companies and are typically organized as limited partnerships or limited liability companies for which the Company, through its operating subsidiaries, acts as the general partner or managing member. A limited partnership or similar entity is a VIE if the unaffiliated limited partners or members do not have substantive rights to terminate or liquidate the fund or remove the general partner or substantive rights to participate. Certain StepStone Funds are VIEs because they have not granted unaffiliated limited partners or members substantive rights to terminate the fund or remove the general partner or substantive rights to participate. The Company does not consolidate these StepStone Funds because it is not the primary beneficiary of those funds, primarily because it does not hold an interest in those funds that is considered more than insignificant and its fee arrangements are considered customary and commensurate.</w:t>
      </w:r>
    </w:p>
    <w:p>
      <w:pPr>
        <w:spacing w:after="0" w:line="174" w:lineRule="exact"/>
        <w:rPr>
          <w:sz w:val="20"/>
          <w:szCs w:val="20"/>
          <w:color w:val="auto"/>
        </w:rPr>
      </w:pPr>
    </w:p>
    <w:p>
      <w:pPr>
        <w:ind w:firstLine="648"/>
        <w:spacing w:after="0" w:line="249" w:lineRule="auto"/>
        <w:rPr>
          <w:sz w:val="20"/>
          <w:szCs w:val="20"/>
          <w:color w:val="auto"/>
        </w:rPr>
      </w:pPr>
      <w:r>
        <w:rPr>
          <w:rFonts w:ascii="Arial" w:cs="Arial" w:eastAsia="Arial" w:hAnsi="Arial"/>
          <w:sz w:val="20"/>
          <w:szCs w:val="20"/>
          <w:color w:val="auto"/>
        </w:rPr>
        <w:t>The Company has determined that certain of its operating subsidiaries, StepStone Group Real Assets LP (“SRA”), StepStone Group Real Estate LP (“SRE”) and Swiss Capital Alternative Investments AG (“Swiss Capital”), are VIEs, and that the Company is the primary beneficiary of each entity because it has a controlling financial interest in each entity; accordingly, the Company consolidates these entities. The assets and liabilities of the consolidated VIEs are presented gross in the condensed consolidated balance sheets. The assets of the consolidated VIEs may only be used to settle obligations of the consolidated VIEs. See note 4 for more information on both consolidated and unconsolidated VIEs.</w:t>
      </w:r>
    </w:p>
    <w:p>
      <w:pPr>
        <w:spacing w:after="0" w:line="202" w:lineRule="exact"/>
        <w:rPr>
          <w:sz w:val="20"/>
          <w:szCs w:val="20"/>
          <w:color w:val="auto"/>
        </w:rPr>
      </w:pPr>
    </w:p>
    <w:p>
      <w:pPr>
        <w:ind w:right="120" w:firstLine="648"/>
        <w:spacing w:after="0" w:line="252" w:lineRule="auto"/>
        <w:rPr>
          <w:sz w:val="20"/>
          <w:szCs w:val="20"/>
          <w:color w:val="auto"/>
        </w:rPr>
      </w:pPr>
      <w:r>
        <w:rPr>
          <w:rFonts w:ascii="Arial" w:cs="Arial" w:eastAsia="Arial" w:hAnsi="Arial"/>
          <w:sz w:val="20"/>
          <w:szCs w:val="20"/>
          <w:color w:val="auto"/>
        </w:rPr>
        <w:t>In connection with the Greenspring acquisition, the Company, indirectly through its subsidiaries, became the sole and/or managing member of certain entities, each of which is the general partner of an investment fund (“legacy Greenspring general partner entities”). The Company did not acquire any direct economic interests attributable to the legacy Greenspring general partner entities, including legacy Greenspring investments in funds and carried interest allocations. However, certain arrangements negotiated as part of the acquisition represent variable interests that could be significant. The Company determined that the legacy Greenspring general partner entities are VIEs and it is the primary beneficiary of each such entity because it has a controlling financial interest in each entity. As a result, the Company consolidates these entities.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Non-Controlling Interests</w:t>
      </w:r>
    </w:p>
    <w:p>
      <w:pPr>
        <w:spacing w:after="0" w:line="235"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Non-controlling interests (“NCI”) reflect the portion of income or loss and the corresponding equity attributable to third-party equity holders and employees in certain consolidated subsidiaries that are not 100% owned by the Company. Non-controlling interests are presented as separate components of stockholders’ equity on the Company’s condensed consolidated balance sheets to clearly distinguish between the Company’s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 See note 13 for more information on ownership interests in the Company.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15" w:name="page16"/>
    <w:bookmarkEnd w:id="15"/>
    <w:p>
      <w:pPr>
        <w:jc w:val="center"/>
        <w:ind w:right="-7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120" w:firstLine="648"/>
        <w:spacing w:after="0" w:line="293" w:lineRule="auto"/>
        <w:rPr>
          <w:sz w:val="20"/>
          <w:szCs w:val="20"/>
          <w:color w:val="auto"/>
        </w:rPr>
      </w:pPr>
      <w:r>
        <w:rPr>
          <w:rFonts w:ascii="Arial" w:cs="Arial" w:eastAsia="Arial" w:hAnsi="Arial"/>
          <w:sz w:val="18"/>
          <w:szCs w:val="18"/>
          <w:i w:val="1"/>
          <w:iCs w:val="1"/>
          <w:color w:val="auto"/>
        </w:rPr>
        <w:t xml:space="preserve">Non-controlling interests in subsidiaries </w:t>
      </w:r>
      <w:r>
        <w:rPr>
          <w:rFonts w:ascii="Arial" w:cs="Arial" w:eastAsia="Arial" w:hAnsi="Arial"/>
          <w:sz w:val="18"/>
          <w:szCs w:val="18"/>
          <w:color w:val="auto"/>
        </w:rPr>
        <w:t>represent the economic interests in SRA, SRE, and Swiss Capital (the variable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included in the Company’s condensed consolidated financial statements) held by 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50" w:lineRule="exact"/>
        <w:rPr>
          <w:sz w:val="20"/>
          <w:szCs w:val="20"/>
          <w:color w:val="auto"/>
        </w:rPr>
      </w:pPr>
    </w:p>
    <w:p>
      <w:pPr>
        <w:ind w:right="60" w:firstLine="648"/>
        <w:spacing w:after="0" w:line="255" w:lineRule="auto"/>
        <w:rPr>
          <w:sz w:val="20"/>
          <w:szCs w:val="20"/>
          <w:color w:val="auto"/>
        </w:rPr>
      </w:pPr>
      <w:r>
        <w:rPr>
          <w:rFonts w:ascii="Arial" w:cs="Arial" w:eastAsia="Arial" w:hAnsi="Arial"/>
          <w:sz w:val="20"/>
          <w:szCs w:val="20"/>
          <w:i w:val="1"/>
          <w:iCs w:val="1"/>
          <w:color w:val="auto"/>
        </w:rPr>
        <w:t xml:space="preserve">Non-controlling interests in legacy Greenspring entities </w:t>
      </w:r>
      <w:r>
        <w:rPr>
          <w:rFonts w:ascii="Arial" w:cs="Arial" w:eastAsia="Arial" w:hAnsi="Arial"/>
          <w:sz w:val="20"/>
          <w:szCs w:val="20"/>
          <w:color w:val="auto"/>
        </w:rPr>
        <w:t>represent the economic interests in the legacy Greenspring general partner</w:t>
      </w:r>
      <w:r>
        <w:rPr>
          <w:rFonts w:ascii="Arial" w:cs="Arial" w:eastAsia="Arial" w:hAnsi="Arial"/>
          <w:sz w:val="20"/>
          <w:szCs w:val="20"/>
          <w:i w:val="1"/>
          <w:iCs w:val="1"/>
          <w:color w:val="auto"/>
        </w:rPr>
        <w:t xml:space="preserve"> </w:t>
      </w:r>
      <w:r>
        <w:rPr>
          <w:rFonts w:ascii="Arial" w:cs="Arial" w:eastAsia="Arial" w:hAnsi="Arial"/>
          <w:sz w:val="20"/>
          <w:szCs w:val="20"/>
          <w:color w:val="auto"/>
        </w:rPr>
        <w:t>entities. The Company did not acquire any direct economic interests in the legacy Greenspring general partner entities. As a result, all of the net income or loss related to the legacy Greenspring general partner entities is allocated to non-controlling interests in legacy Greenspring entities.</w:t>
      </w:r>
    </w:p>
    <w:p>
      <w:pPr>
        <w:spacing w:after="0" w:line="197" w:lineRule="exact"/>
        <w:rPr>
          <w:sz w:val="20"/>
          <w:szCs w:val="20"/>
          <w:color w:val="auto"/>
        </w:rPr>
      </w:pPr>
    </w:p>
    <w:p>
      <w:pPr>
        <w:ind w:right="420" w:firstLine="648"/>
        <w:spacing w:after="0" w:line="255" w:lineRule="auto"/>
        <w:rPr>
          <w:sz w:val="20"/>
          <w:szCs w:val="20"/>
          <w:color w:val="auto"/>
        </w:rPr>
      </w:pPr>
      <w:r>
        <w:rPr>
          <w:rFonts w:ascii="Arial" w:cs="Arial" w:eastAsia="Arial" w:hAnsi="Arial"/>
          <w:sz w:val="20"/>
          <w:szCs w:val="20"/>
          <w:i w:val="1"/>
          <w:iCs w:val="1"/>
          <w:color w:val="auto"/>
        </w:rPr>
        <w:t xml:space="preserve">Non-controlling interests in the Partnership </w:t>
      </w:r>
      <w:r>
        <w:rPr>
          <w:rFonts w:ascii="Arial" w:cs="Arial" w:eastAsia="Arial" w:hAnsi="Arial"/>
          <w:sz w:val="20"/>
          <w:szCs w:val="20"/>
          <w:color w:val="auto"/>
        </w:rPr>
        <w:t>represent the economic interests related to the Class B and Class C units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Partnership which are not owned by SSG.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Accounting for Differing Fiscal Periods</w:t>
      </w:r>
    </w:p>
    <w:p>
      <w:pPr>
        <w:spacing w:after="0" w:line="235" w:lineRule="exact"/>
        <w:rPr>
          <w:sz w:val="20"/>
          <w:szCs w:val="20"/>
          <w:color w:val="auto"/>
        </w:rPr>
      </w:pPr>
    </w:p>
    <w:p>
      <w:pPr>
        <w:ind w:firstLine="648"/>
        <w:spacing w:after="0" w:line="264" w:lineRule="auto"/>
        <w:rPr>
          <w:sz w:val="20"/>
          <w:szCs w:val="20"/>
          <w:color w:val="auto"/>
        </w:rPr>
      </w:pPr>
      <w:r>
        <w:rPr>
          <w:rFonts w:ascii="Arial" w:cs="Arial" w:eastAsia="Arial" w:hAnsi="Arial"/>
          <w:sz w:val="19"/>
          <w:szCs w:val="19"/>
          <w:color w:val="auto"/>
        </w:rPr>
        <w:t>The StepStone Funds primarily have a fiscal year end as of December 31. The Company accounts for its investments in the StepStone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for its fiscal year-end consolidated financial statements as of March 31. The Company further adjusts the reported carrying values of its investments in the StepStone Funds for its share of capital contributions to and distributions from the StepStone Funds during the three-month lag period. For this interim period ending September 30, 2022, the Company used the June 30, 2022 unaudited financial statements of the StepStone Funds, which reflect the underlying private market funds as of June 30, 2022, to record its investments (including any carried interest allocated by those investments), as adjusted for capital contributions and distributions during the three-month lag period ended September 30, 2022.</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does not account for management and advisory fees or incentive fees on a three-month lag.</w:t>
      </w:r>
    </w:p>
    <w:p>
      <w:pPr>
        <w:spacing w:after="0" w:line="229" w:lineRule="exact"/>
        <w:rPr>
          <w:sz w:val="20"/>
          <w:szCs w:val="20"/>
          <w:color w:val="auto"/>
        </w:rPr>
      </w:pPr>
    </w:p>
    <w:p>
      <w:pPr>
        <w:ind w:right="320" w:firstLine="648"/>
        <w:spacing w:after="0" w:line="287" w:lineRule="auto"/>
        <w:rPr>
          <w:sz w:val="20"/>
          <w:szCs w:val="20"/>
          <w:color w:val="auto"/>
        </w:rPr>
      </w:pPr>
      <w:r>
        <w:rPr>
          <w:rFonts w:ascii="Arial" w:cs="Arial" w:eastAsia="Arial" w:hAnsi="Arial"/>
          <w:sz w:val="19"/>
          <w:szCs w:val="19"/>
          <w:color w:val="auto"/>
        </w:rPr>
        <w:t>To the extent that management becomes aware of any material events that affect the StepStone Funds during the three-month lag period, the effect of the events would be disclosed in the notes to the condensed consolidated financial statements.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Current Events</w:t>
      </w:r>
    </w:p>
    <w:p>
      <w:pPr>
        <w:spacing w:after="0" w:line="235" w:lineRule="exact"/>
        <w:rPr>
          <w:sz w:val="20"/>
          <w:szCs w:val="20"/>
          <w:color w:val="auto"/>
        </w:rPr>
      </w:pPr>
    </w:p>
    <w:p>
      <w:pPr>
        <w:ind w:right="240" w:firstLine="648"/>
        <w:spacing w:after="0" w:line="285" w:lineRule="auto"/>
        <w:rPr>
          <w:sz w:val="20"/>
          <w:szCs w:val="20"/>
          <w:color w:val="auto"/>
        </w:rPr>
      </w:pPr>
      <w:r>
        <w:rPr>
          <w:rFonts w:ascii="Arial" w:cs="Arial" w:eastAsia="Arial" w:hAnsi="Arial"/>
          <w:sz w:val="18"/>
          <w:szCs w:val="18"/>
          <w:color w:val="auto"/>
        </w:rPr>
        <w:t>The Company is continuing to closely monitor developments related to COVID-19, inflation, rising interest rates and the ongoing Russia-Ukraine conflict, and assess the impact on financial markets and the Company’s business. The Company’s future results may be adversely affected by slowdowns in fundraising activity and the pace of capital deployment, which could result in delayed or decreased management fees. Further, if fund managers are unable or less able to profitably exit existing investments, such conditions could result in delayed or decreased performance fee revenues. It is currently not possible to predict the ultimate effects of these events on the financial markets, overall economy and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54" w:right="41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Fair Value Measurements</w:t>
      </w:r>
    </w:p>
    <w:p>
      <w:pPr>
        <w:spacing w:after="0" w:line="235" w:lineRule="exact"/>
        <w:rPr>
          <w:sz w:val="20"/>
          <w:szCs w:val="20"/>
          <w:color w:val="auto"/>
        </w:rPr>
      </w:pPr>
    </w:p>
    <w:p>
      <w:pPr>
        <w:ind w:firstLine="648"/>
        <w:spacing w:after="0" w:line="286" w:lineRule="auto"/>
        <w:rPr>
          <w:sz w:val="20"/>
          <w:szCs w:val="20"/>
          <w:color w:val="auto"/>
        </w:rPr>
      </w:pPr>
      <w:r>
        <w:rPr>
          <w:rFonts w:ascii="Arial" w:cs="Arial" w:eastAsia="Arial" w:hAnsi="Arial"/>
          <w:sz w:val="18"/>
          <w:szCs w:val="18"/>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spacing w:after="0" w:line="171"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Financial instruments measured and reported at fair value are classified and disclosed based on the observability of inputs used in the determination of their fair values, as follows:</w:t>
      </w:r>
    </w:p>
    <w:p>
      <w:pPr>
        <w:spacing w:after="0" w:line="190"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I – Pricing inputs are unadjusted, quoted prices in active markets for identical assets or liabilities as of the measurement date.</w:t>
      </w:r>
    </w:p>
    <w:p>
      <w:pPr>
        <w:spacing w:after="0" w:line="238" w:lineRule="exact"/>
        <w:rPr>
          <w:rFonts w:ascii="Arial" w:cs="Arial" w:eastAsia="Arial" w:hAnsi="Arial"/>
          <w:sz w:val="18"/>
          <w:szCs w:val="18"/>
          <w:color w:val="auto"/>
        </w:rPr>
      </w:pPr>
    </w:p>
    <w:p>
      <w:pPr>
        <w:ind w:left="660" w:right="120" w:hanging="328"/>
        <w:spacing w:after="0" w:line="255"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197" w:lineRule="exact"/>
        <w:rPr>
          <w:rFonts w:ascii="Arial" w:cs="Arial" w:eastAsia="Arial" w:hAnsi="Arial"/>
          <w:sz w:val="20"/>
          <w:szCs w:val="20"/>
          <w:color w:val="auto"/>
        </w:rPr>
      </w:pPr>
    </w:p>
    <w:p>
      <w:pPr>
        <w:ind w:left="660" w:right="380" w:hanging="328"/>
        <w:spacing w:after="0" w:line="257"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93" w:lineRule="exact"/>
        <w:rPr>
          <w:sz w:val="20"/>
          <w:szCs w:val="20"/>
          <w:color w:val="auto"/>
        </w:rPr>
      </w:pPr>
    </w:p>
    <w:p>
      <w:pPr>
        <w:ind w:right="60" w:firstLine="648"/>
        <w:spacing w:after="0" w:line="288"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spacing w:after="0" w:line="167" w:lineRule="exact"/>
        <w:rPr>
          <w:sz w:val="20"/>
          <w:szCs w:val="20"/>
          <w:color w:val="auto"/>
        </w:rPr>
      </w:pPr>
    </w:p>
    <w:p>
      <w:pPr>
        <w:ind w:right="60" w:firstLine="648"/>
        <w:spacing w:after="0" w:line="285" w:lineRule="auto"/>
        <w:rPr>
          <w:sz w:val="20"/>
          <w:szCs w:val="20"/>
          <w:color w:val="auto"/>
        </w:rPr>
      </w:pPr>
      <w:r>
        <w:rPr>
          <w:rFonts w:ascii="Arial" w:cs="Arial" w:eastAsia="Arial" w:hAnsi="Arial"/>
          <w:sz w:val="18"/>
          <w:szCs w:val="18"/>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159" w:lineRule="exact"/>
        <w:rPr>
          <w:sz w:val="20"/>
          <w:szCs w:val="20"/>
          <w:color w:val="auto"/>
        </w:rPr>
      </w:pPr>
    </w:p>
    <w:p>
      <w:pPr>
        <w:ind w:right="60" w:firstLine="648"/>
        <w:spacing w:after="0" w:line="255" w:lineRule="auto"/>
        <w:rPr>
          <w:sz w:val="20"/>
          <w:szCs w:val="20"/>
          <w:color w:val="auto"/>
        </w:rPr>
      </w:pPr>
      <w:r>
        <w:rPr>
          <w:rFonts w:ascii="Arial" w:cs="Arial" w:eastAsia="Arial" w:hAnsi="Arial"/>
          <w:sz w:val="20"/>
          <w:szCs w:val="20"/>
          <w:color w:val="auto"/>
        </w:rPr>
        <w:t>The Company considers its cash, cash equivalents, restricted cash, fees and accounts receivable, accounts payable, investments, revolving credit facility and contingent consideration balances to be financial instruments. The carrying amounts of cash, cash equivalents, restricted cash, fees and accounts receivable and accounts payable equal or approximate their fair values due to their nature and/or the relatively short period over which they are held. See notes 6 and 8 for additional details regarding the fair value of the Company’s contingent consideration and revolving credit facility balances, respectively.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Restricted Cash</w:t>
      </w:r>
    </w:p>
    <w:p>
      <w:pPr>
        <w:spacing w:after="0" w:line="235" w:lineRule="exact"/>
        <w:rPr>
          <w:sz w:val="20"/>
          <w:szCs w:val="20"/>
          <w:color w:val="auto"/>
        </w:rPr>
      </w:pPr>
    </w:p>
    <w:p>
      <w:pPr>
        <w:ind w:right="200" w:firstLine="648"/>
        <w:spacing w:after="0" w:line="274" w:lineRule="auto"/>
        <w:rPr>
          <w:sz w:val="20"/>
          <w:szCs w:val="20"/>
          <w:color w:val="auto"/>
        </w:rPr>
      </w:pPr>
      <w:r>
        <w:rPr>
          <w:rFonts w:ascii="Arial" w:cs="Arial" w:eastAsia="Arial" w:hAnsi="Arial"/>
          <w:sz w:val="20"/>
          <w:szCs w:val="20"/>
          <w:color w:val="auto"/>
        </w:rPr>
        <w:t>Restricted cash consists of cash that the Company is contractually obligated to maintain to secure its letters of credit used primarily related to its office facilities and other obligations.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Investments</w:t>
      </w:r>
    </w:p>
    <w:p>
      <w:pPr>
        <w:spacing w:after="0" w:line="235" w:lineRule="exact"/>
        <w:rPr>
          <w:sz w:val="20"/>
          <w:szCs w:val="20"/>
          <w:color w:val="auto"/>
        </w:rPr>
      </w:pPr>
    </w:p>
    <w:p>
      <w:pPr>
        <w:ind w:firstLine="648"/>
        <w:spacing w:after="0" w:line="317" w:lineRule="auto"/>
        <w:rPr>
          <w:sz w:val="20"/>
          <w:szCs w:val="20"/>
          <w:color w:val="auto"/>
        </w:rPr>
      </w:pPr>
      <w:r>
        <w:rPr>
          <w:rFonts w:ascii="Arial" w:cs="Arial" w:eastAsia="Arial" w:hAnsi="Arial"/>
          <w:sz w:val="16"/>
          <w:szCs w:val="16"/>
          <w:color w:val="auto"/>
        </w:rPr>
        <w:t>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Legacy Greenspring investments in funds and accrued carried interest allocations represent the economic interests held by the legacy Greenspring general partner entities in certain funds for which the Company does not have any direct economic interests. All of the economics in respect of such interests are payable to employees and are therefore reflected as non-controlling interests in legacy Greenspring entities and legacy Greenspring performance fee-related compensation. The Company evaluates its equity method investments for impairment whenever events or changes in circumstances indicate that the carrying amounts of such investments may not be recoverable.</w:t>
      </w:r>
    </w:p>
    <w:p>
      <w:pPr>
        <w:spacing w:after="0" w:line="391" w:lineRule="exact"/>
        <w:rPr>
          <w:sz w:val="20"/>
          <w:szCs w:val="20"/>
          <w:color w:val="auto"/>
        </w:rPr>
      </w:pPr>
    </w:p>
    <w:p>
      <w:pPr>
        <w:ind w:right="100" w:firstLine="648"/>
        <w:spacing w:after="0" w:line="255" w:lineRule="auto"/>
        <w:rPr>
          <w:sz w:val="20"/>
          <w:szCs w:val="20"/>
          <w:color w:val="auto"/>
        </w:rPr>
      </w:pPr>
      <w:r>
        <w:rPr>
          <w:rFonts w:ascii="Arial" w:cs="Arial" w:eastAsia="Arial" w:hAnsi="Arial"/>
          <w:sz w:val="20"/>
          <w:szCs w:val="20"/>
          <w:color w:val="auto"/>
        </w:rPr>
        <w:t>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Leases</w:t>
      </w:r>
    </w:p>
    <w:p>
      <w:pPr>
        <w:spacing w:after="0" w:line="235" w:lineRule="exact"/>
        <w:rPr>
          <w:sz w:val="20"/>
          <w:szCs w:val="20"/>
          <w:color w:val="auto"/>
        </w:rPr>
      </w:pPr>
    </w:p>
    <w:p>
      <w:pPr>
        <w:ind w:right="20" w:firstLine="648"/>
        <w:spacing w:after="0" w:line="319" w:lineRule="auto"/>
        <w:rPr>
          <w:sz w:val="20"/>
          <w:szCs w:val="20"/>
          <w:color w:val="auto"/>
        </w:rPr>
      </w:pPr>
      <w:r>
        <w:rPr>
          <w:rFonts w:ascii="Arial" w:cs="Arial" w:eastAsia="Arial" w:hAnsi="Arial"/>
          <w:sz w:val="16"/>
          <w:szCs w:val="16"/>
          <w:color w:val="auto"/>
        </w:rPr>
        <w:t>The Company determines whether an arrangement contains a lease at inception of the arrangement. A lease is a contract that provides the right to control an identified asset for a period of time in exchange for consideration. For identified leases, the Company determines the classification as either an operating or finance lease. The Company’s identified leases primarily consist of operating lease agreements for office space and certain equipment, as the lessee. Operating leases are included in lease right-of-use-assets, net and lease liabilities in the condensed consolidated balance sheets. Certain leases include lease and non-lease components, which the Company accounts for as a single lease component. Lease right-of-use (“ROU”) assets and lease liabilities are measured based on the present value of future minimum lease payments over the lease term at the commencement date. Lease ROU assets include initial direct costs incurred by the Company and are presented net of deferred rent and lease incentives. The Company uses its incremental borrowing rate in determining the present value of future minimum lease payments. The Company’s lease terms may include options to extend or terminate the lease, which are included in the measurement of ROU assets and lease liabilities when it is reasonably certain that the Company will exercise those options.</w:t>
      </w:r>
    </w:p>
    <w:p>
      <w:pPr>
        <w:spacing w:after="0" w:line="391" w:lineRule="exact"/>
        <w:rPr>
          <w:sz w:val="20"/>
          <w:szCs w:val="20"/>
          <w:color w:val="auto"/>
        </w:rPr>
      </w:pPr>
    </w:p>
    <w:p>
      <w:pPr>
        <w:ind w:right="120" w:firstLine="648"/>
        <w:spacing w:after="0" w:line="299" w:lineRule="auto"/>
        <w:rPr>
          <w:sz w:val="20"/>
          <w:szCs w:val="20"/>
          <w:color w:val="auto"/>
        </w:rPr>
      </w:pPr>
      <w:r>
        <w:rPr>
          <w:rFonts w:ascii="Arial" w:cs="Arial" w:eastAsia="Arial" w:hAnsi="Arial"/>
          <w:sz w:val="18"/>
          <w:szCs w:val="18"/>
          <w:color w:val="auto"/>
        </w:rPr>
        <w:t>Operating lease expense associated with minimum lease payments is recognized on a straight-line basis over the lease term in general, administrative and other expenses in the condensed consolidated statements of income. Minimum lease payments for leases with an initial term of twelve months or less are not recorded in the condensed consolidated balance sheets. See note 15 for more information.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Business Combinations</w:t>
      </w:r>
    </w:p>
    <w:p>
      <w:pPr>
        <w:spacing w:after="0" w:line="23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The Company accounts for business combinations using the acquisition method of accounting, under which the purchase price of an acquisition is allocated to the assets acquired and liabilities assumed based on their fair values, as determined by management at the acquisition date. Contingent consideration obligations that are elements of consideration transferred are recognized at the acquisition date as part of the fair value transferred in exchange for the acquired business. Contingent consideration arrangements are revalued to fair value each reporting period. Examples of critical estimates in valuing certain of the intangible assets acquired include, but are not limited to, future expected cash inflows and outflows, future fundraising assumptions, expected useful life, discount rates and income tax rates. Acquisition-related costs incurred in connection with a business combination are expensed as incurred and are included in general, administrative and other expenses in the condensed consolidated statements of income.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Intangibles and Goodwill</w:t>
      </w:r>
    </w:p>
    <w:p>
      <w:pPr>
        <w:spacing w:after="0" w:line="235" w:lineRule="exact"/>
        <w:rPr>
          <w:sz w:val="20"/>
          <w:szCs w:val="20"/>
          <w:color w:val="auto"/>
        </w:rPr>
      </w:pPr>
    </w:p>
    <w:p>
      <w:pPr>
        <w:ind w:right="40" w:firstLine="648"/>
        <w:spacing w:after="0" w:line="277" w:lineRule="auto"/>
        <w:rPr>
          <w:sz w:val="20"/>
          <w:szCs w:val="20"/>
          <w:color w:val="auto"/>
        </w:rPr>
      </w:pPr>
      <w:r>
        <w:rPr>
          <w:rFonts w:ascii="Arial" w:cs="Arial" w:eastAsia="Arial" w:hAnsi="Arial"/>
          <w:sz w:val="19"/>
          <w:szCs w:val="19"/>
          <w:color w:val="auto"/>
        </w:rPr>
        <w:t>The Company’s finite-lived intangible assets consist of acquired contractual rights to earn future management and advisory fee income and client relationships. Finite-lived intangible assets are amortized over their estimated useful lives, which range from 8 to 10 years. The Company did not have any intangible assets that were deemed to have an indefinite life as of September 30, 2022.</w:t>
      </w:r>
    </w:p>
    <w:p>
      <w:pPr>
        <w:spacing w:after="0" w:line="175" w:lineRule="exact"/>
        <w:rPr>
          <w:sz w:val="20"/>
          <w:szCs w:val="20"/>
          <w:color w:val="auto"/>
        </w:rPr>
      </w:pPr>
    </w:p>
    <w:p>
      <w:pPr>
        <w:ind w:right="40" w:firstLine="648"/>
        <w:spacing w:after="0" w:line="257" w:lineRule="auto"/>
        <w:rPr>
          <w:sz w:val="20"/>
          <w:szCs w:val="20"/>
          <w:color w:val="auto"/>
        </w:rPr>
      </w:pPr>
      <w:r>
        <w:rPr>
          <w:rFonts w:ascii="Arial" w:cs="Arial" w:eastAsia="Arial" w:hAnsi="Arial"/>
          <w:sz w:val="20"/>
          <w:szCs w:val="20"/>
          <w:color w:val="auto"/>
        </w:rPr>
        <w:t>Finite-lived intangible assets are reviewed for impairment whenever events or changes in circumstances indicate that the carrying amount of the asset may not be recoverable. There were no impairment charges related to the Company’s finite-lived intangible assets during the three and six months ended September 30, 2022 and 2021.</w:t>
      </w:r>
    </w:p>
    <w:p>
      <w:pPr>
        <w:spacing w:after="0" w:line="193" w:lineRule="exact"/>
        <w:rPr>
          <w:sz w:val="20"/>
          <w:szCs w:val="20"/>
          <w:color w:val="auto"/>
        </w:rPr>
      </w:pPr>
    </w:p>
    <w:p>
      <w:pPr>
        <w:ind w:right="60" w:firstLine="648"/>
        <w:spacing w:after="0" w:line="280" w:lineRule="auto"/>
        <w:rPr>
          <w:sz w:val="20"/>
          <w:szCs w:val="20"/>
          <w:color w:val="auto"/>
        </w:rPr>
      </w:pPr>
      <w:r>
        <w:rPr>
          <w:rFonts w:ascii="Arial" w:cs="Arial" w:eastAsia="Arial" w:hAnsi="Arial"/>
          <w:sz w:val="18"/>
          <w:szCs w:val="18"/>
          <w:color w:val="auto"/>
        </w:rPr>
        <w:t>Goodwill represents the excess amount of consideration transferred in a business combination above the fair value of the identifiable net assets. Goodwill is assessed for impairment at least annually using a qualitative and, if necessary, a quantitative approach. The Company performs its annual goodwill impairment test as of January 1, or more frequently, if events and circumstances indicate that an impairment may exist. Goodwill is tested for impairment at the reporting unit level. The initial assessment for impairment under the qualitative approach is to determine whether it is more likely than not that the fair value of a reporting unit is less than its carrying amount, including goodwill. If the qualitative assessment indicates that it is more likely than not that the fair value of a reporting unit is less than the carrying amount, a quantitative assessment is performed to measure the amount of impairment loss, if any. The quantitative assessment includes comparing the fair value of a reporting unit with its carrying amount, including goodwill. If the carrying amount of the reporting unit exceeds its fair value, an impairment loss is recognized equal to the lesser of (a) the difference between the carrying amount of the reporting unit and its fair value and (b) the total carrying amount of the reporting unit’s goodwill.</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35" w:lineRule="exact"/>
        <w:rPr>
          <w:sz w:val="20"/>
          <w:szCs w:val="20"/>
          <w:color w:val="auto"/>
        </w:rPr>
      </w:pPr>
    </w:p>
    <w:p>
      <w:pPr>
        <w:ind w:firstLine="648"/>
        <w:spacing w:after="0" w:line="265" w:lineRule="auto"/>
        <w:rPr>
          <w:sz w:val="20"/>
          <w:szCs w:val="20"/>
          <w:color w:val="auto"/>
        </w:rPr>
      </w:pPr>
      <w:r>
        <w:rPr>
          <w:rFonts w:ascii="Arial" w:cs="Arial" w:eastAsia="Arial" w:hAnsi="Arial"/>
          <w:sz w:val="19"/>
          <w:szCs w:val="19"/>
          <w:color w:val="auto"/>
        </w:rPr>
        <w:t xml:space="preserve">The Company recognizes revenue in accordance with Accounting Standards Codification Topic 606 (“ASC 606”), </w:t>
      </w:r>
      <w:r>
        <w:rPr>
          <w:rFonts w:ascii="Arial" w:cs="Arial" w:eastAsia="Arial" w:hAnsi="Arial"/>
          <w:sz w:val="19"/>
          <w:szCs w:val="19"/>
          <w:i w:val="1"/>
          <w:iCs w:val="1"/>
          <w:color w:val="auto"/>
        </w:rPr>
        <w:t>Revenue from</w:t>
      </w:r>
      <w:r>
        <w:rPr>
          <w:rFonts w:ascii="Arial" w:cs="Arial" w:eastAsia="Arial" w:hAnsi="Arial"/>
          <w:sz w:val="19"/>
          <w:szCs w:val="19"/>
          <w:color w:val="auto"/>
        </w:rPr>
        <w:t xml:space="preserve"> </w:t>
      </w:r>
      <w:r>
        <w:rPr>
          <w:rFonts w:ascii="Arial" w:cs="Arial" w:eastAsia="Arial" w:hAnsi="Arial"/>
          <w:sz w:val="19"/>
          <w:szCs w:val="19"/>
          <w:i w:val="1"/>
          <w:iCs w:val="1"/>
          <w:color w:val="auto"/>
        </w:rPr>
        <w:t>Contracts with Customers</w:t>
      </w:r>
      <w:r>
        <w:rPr>
          <w:rFonts w:ascii="Arial" w:cs="Arial" w:eastAsia="Arial" w:hAnsi="Arial"/>
          <w:sz w:val="19"/>
          <w:szCs w:val="19"/>
          <w:color w:val="auto"/>
        </w:rPr>
        <w:t>. Revenue is recognized in a manner that depicts the transfer of promised goods or services to customers and for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that reflects the consideration to which the Company 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Management and Advisory Fees, Net</w:t>
      </w:r>
    </w:p>
    <w:p>
      <w:pPr>
        <w:spacing w:after="0" w:line="229" w:lineRule="exact"/>
        <w:rPr>
          <w:sz w:val="20"/>
          <w:szCs w:val="20"/>
          <w:color w:val="auto"/>
        </w:rPr>
      </w:pPr>
    </w:p>
    <w:p>
      <w:pPr>
        <w:ind w:firstLine="648"/>
        <w:spacing w:after="0" w:line="334" w:lineRule="auto"/>
        <w:rPr>
          <w:sz w:val="20"/>
          <w:szCs w:val="20"/>
          <w:color w:val="auto"/>
        </w:rPr>
      </w:pPr>
      <w:r>
        <w:rPr>
          <w:rFonts w:ascii="Arial" w:cs="Arial" w:eastAsia="Arial" w:hAnsi="Arial"/>
          <w:sz w:val="16"/>
          <w:szCs w:val="16"/>
          <w:color w:val="auto"/>
        </w:rPr>
        <w:t>The Company earns management fees for services provided to its SMAs and focused commingled funds. The Company earns advisory fees for services provided to 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w:t>
      </w:r>
    </w:p>
    <w:p>
      <w:pPr>
        <w:spacing w:after="0" w:line="13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the Company and a single client, and are typically structured as a partnership or limited liability company for which a subsidiary of SSG serves as the general partner or managing member. Focused commingled funds are structured as limited partnerships or limited liability companies with multiple clients, for which a subsidiary of the Company serves as the general partner or managing member. The Company determined that the individual client or single limited partner or member is the customer with respect to SMAs and advisory clients, while the investment fund is generally considered to be the customer for arrangements with focused commingled funds.</w:t>
      </w:r>
    </w:p>
    <w:p>
      <w:pPr>
        <w:spacing w:after="0" w:line="174"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spacing w:after="0" w:line="165"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 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spacing w:after="0" w:line="172" w:lineRule="exact"/>
        <w:rPr>
          <w:sz w:val="20"/>
          <w:szCs w:val="20"/>
          <w:color w:val="auto"/>
        </w:rPr>
      </w:pPr>
    </w:p>
    <w:p>
      <w:pPr>
        <w:ind w:right="80" w:firstLine="648"/>
        <w:spacing w:after="0" w:line="251" w:lineRule="auto"/>
        <w:rPr>
          <w:sz w:val="20"/>
          <w:szCs w:val="20"/>
          <w:color w:val="auto"/>
        </w:rPr>
      </w:pPr>
      <w:r>
        <w:rPr>
          <w:rFonts w:ascii="Arial" w:cs="Arial" w:eastAsia="Arial" w:hAnsi="Arial"/>
          <w:sz w:val="20"/>
          <w:szCs w:val="20"/>
          <w:color w:val="auto"/>
        </w:rPr>
        <w:t>The Company and certain investment funds that it manages have distribution and service agreements with third-party financial institutions, whereby the Company pays a portion of the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incur certain costs in connection with satisfying its performance obligations for investment management services</w:t>
      </w:r>
    </w:p>
    <w:p>
      <w:pPr>
        <w:spacing w:after="0" w:line="43"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color w:val="auto"/>
        </w:rPr>
        <w:t>– primarily employee travel costs and certain professional fees – for which it receives reimbursements from its customers. For reimbursable employee travel costs and certain professional fees, the Company concluded it controls the services provided by its employees and other parties and, therefore, is acting as principal. Accordingly, the Company records the reimbursement for these costs incurred on a gross basis – that is, as revenue in management and advisory fees, net and expense in general, administrative and other expenses in the condensed consolidated statements of income. For reimbursable costs incurred in connection with satisfying its performance obligations for administration services, the Company concluded it does not control the services provided by its employees and other parties and, therefore, is acting as agent. Accordingly, the Company records the reimbursement for these costs incurred on a net basis.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Performance Fees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earns two types of performance fee revenues: incentive fees and carried interest allocations, as described below.</w:t>
      </w:r>
    </w:p>
    <w:p>
      <w:pPr>
        <w:spacing w:after="0" w:line="252" w:lineRule="exact"/>
        <w:rPr>
          <w:sz w:val="20"/>
          <w:szCs w:val="20"/>
          <w:color w:val="auto"/>
        </w:rPr>
      </w:pPr>
    </w:p>
    <w:p>
      <w:pPr>
        <w:ind w:right="100" w:firstLine="648"/>
        <w:spacing w:after="0" w:line="267" w:lineRule="auto"/>
        <w:rPr>
          <w:sz w:val="20"/>
          <w:szCs w:val="20"/>
          <w:color w:val="auto"/>
        </w:rPr>
      </w:pPr>
      <w:r>
        <w:rPr>
          <w:rFonts w:ascii="Arial" w:cs="Arial" w:eastAsia="Arial" w:hAnsi="Arial"/>
          <w:sz w:val="19"/>
          <w:szCs w:val="19"/>
          <w:i w:val="1"/>
          <w:iCs w:val="1"/>
          <w:color w:val="auto"/>
        </w:rPr>
        <w:t xml:space="preserve">Incentive fees </w:t>
      </w:r>
      <w:r>
        <w:rPr>
          <w:rFonts w:ascii="Arial" w:cs="Arial" w:eastAsia="Arial" w:hAnsi="Arial"/>
          <w:sz w:val="19"/>
          <w:szCs w:val="19"/>
          <w:color w:val="auto"/>
        </w:rPr>
        <w:t>are generally calculated as a percentage of the profits (up to 10%) earned in respect of certain accounts for which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is 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89" w:lineRule="exact"/>
        <w:rPr>
          <w:sz w:val="20"/>
          <w:szCs w:val="20"/>
          <w:color w:val="auto"/>
        </w:rPr>
      </w:pPr>
    </w:p>
    <w:p>
      <w:pPr>
        <w:ind w:firstLine="648"/>
        <w:spacing w:after="0" w:line="265" w:lineRule="auto"/>
        <w:rPr>
          <w:sz w:val="20"/>
          <w:szCs w:val="20"/>
          <w:color w:val="auto"/>
        </w:rPr>
      </w:pPr>
      <w:r>
        <w:rPr>
          <w:rFonts w:ascii="Arial" w:cs="Arial" w:eastAsia="Arial" w:hAnsi="Arial"/>
          <w:sz w:val="19"/>
          <w:szCs w:val="19"/>
          <w:color w:val="auto"/>
        </w:rPr>
        <w:t>The Company recognizes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88"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i w:val="1"/>
          <w:iCs w:val="1"/>
          <w:color w:val="auto"/>
        </w:rPr>
        <w:t xml:space="preserve">Carried interest allocations </w:t>
      </w:r>
      <w:r>
        <w:rPr>
          <w:rFonts w:ascii="Arial" w:cs="Arial" w:eastAsia="Arial" w:hAnsi="Arial"/>
          <w:sz w:val="20"/>
          <w:szCs w:val="20"/>
          <w:color w:val="auto"/>
        </w:rPr>
        <w:t>include the allocation of performance-based fees, commonly referred to as carried interest, to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from unaffiliated limited partners in the StepStone Funds in which the Company holds an equity interest. The Company is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80" w:firstLine="648"/>
        <w:spacing w:after="0" w:line="280" w:lineRule="auto"/>
        <w:rPr>
          <w:sz w:val="20"/>
          <w:szCs w:val="20"/>
          <w:color w:val="auto"/>
        </w:rPr>
      </w:pPr>
      <w:r>
        <w:rPr>
          <w:rFonts w:ascii="Arial" w:cs="Arial" w:eastAsia="Arial" w:hAnsi="Arial"/>
          <w:sz w:val="18"/>
          <w:szCs w:val="18"/>
          <w:i w:val="1"/>
          <w:iCs w:val="1"/>
          <w:color w:val="231F20"/>
        </w:rPr>
        <w:t xml:space="preserve">Legacy Greenspring carried interest allocations </w:t>
      </w:r>
      <w:r>
        <w:rPr>
          <w:rFonts w:ascii="Arial" w:cs="Arial" w:eastAsia="Arial" w:hAnsi="Arial"/>
          <w:sz w:val="18"/>
          <w:szCs w:val="18"/>
          <w:color w:val="231F20"/>
        </w:rPr>
        <w:t>reflect the allocation of carried interest to legacy Greenspring general partner</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The Company accounts for the investment balances in the legacy Greenspring funds, including carried interest allocations, under the equity method of accounting </w:t>
      </w:r>
      <w:r>
        <w:rPr>
          <w:rFonts w:ascii="Arial" w:cs="Arial" w:eastAsia="Arial" w:hAnsi="Arial"/>
          <w:sz w:val="18"/>
          <w:szCs w:val="18"/>
          <w:color w:val="000000"/>
        </w:rPr>
        <w:t>because it</w:t>
      </w:r>
      <w:r>
        <w:rPr>
          <w:rFonts w:ascii="Arial" w:cs="Arial" w:eastAsia="Arial" w:hAnsi="Arial"/>
          <w:sz w:val="18"/>
          <w:szCs w:val="18"/>
          <w:color w:val="231F20"/>
        </w:rPr>
        <w:t xml:space="preserve"> </w:t>
      </w:r>
      <w:r>
        <w:rPr>
          <w:rFonts w:ascii="Arial" w:cs="Arial" w:eastAsia="Arial" w:hAnsi="Arial"/>
          <w:sz w:val="18"/>
          <w:szCs w:val="18"/>
          <w:color w:val="000000"/>
        </w:rPr>
        <w:t>is presumed to have significant influence as the general partner or managing member</w:t>
      </w:r>
      <w:r>
        <w:rPr>
          <w:rFonts w:ascii="Arial" w:cs="Arial" w:eastAsia="Arial" w:hAnsi="Arial"/>
          <w:sz w:val="18"/>
          <w:szCs w:val="18"/>
          <w:color w:val="231F20"/>
        </w:rPr>
        <w:t>.</w:t>
      </w:r>
      <w:r>
        <w:rPr>
          <w:rFonts w:ascii="Arial" w:cs="Arial" w:eastAsia="Arial" w:hAnsi="Arial"/>
          <w:sz w:val="18"/>
          <w:szCs w:val="18"/>
          <w:color w:val="000000"/>
        </w:rPr>
        <w:t xml:space="preserve"> Accordingly, legacy Greenspring carried interest allocations are not deemed to be within the scope of ASC 606. </w:t>
      </w:r>
      <w:r>
        <w:rPr>
          <w:rFonts w:ascii="Arial" w:cs="Arial" w:eastAsia="Arial" w:hAnsi="Arial"/>
          <w:sz w:val="18"/>
          <w:szCs w:val="18"/>
          <w:color w:val="231F20"/>
        </w:rPr>
        <w:t>The Company does not hold any direct economic interests in the legacy</w:t>
      </w:r>
      <w:r>
        <w:rPr>
          <w:rFonts w:ascii="Arial" w:cs="Arial" w:eastAsia="Arial" w:hAnsi="Arial"/>
          <w:sz w:val="18"/>
          <w:szCs w:val="18"/>
          <w:color w:val="000000"/>
        </w:rPr>
        <w:t xml:space="preserve"> </w:t>
      </w:r>
      <w:r>
        <w:rPr>
          <w:rFonts w:ascii="Arial" w:cs="Arial" w:eastAsia="Arial" w:hAnsi="Arial"/>
          <w:sz w:val="18"/>
          <w:szCs w:val="18"/>
          <w:color w:val="231F20"/>
        </w:rPr>
        <w:t>Greenspring general partner entities and thus is not entitled to any carried interest allocation from the legacy funds. All of the carried interest allocations in respect of the legacy Greenspring funds are payable to employees who are considered affiliates of the Company and are therefore reflected as legacy Greenspring performance fee-related compensation in the condensed consolidated statements of income.</w:t>
      </w:r>
    </w:p>
    <w:p>
      <w:pPr>
        <w:spacing w:after="0" w:line="177" w:lineRule="exact"/>
        <w:rPr>
          <w:sz w:val="20"/>
          <w:szCs w:val="20"/>
          <w:color w:val="auto"/>
        </w:rPr>
      </w:pPr>
    </w:p>
    <w:p>
      <w:pPr>
        <w:ind w:right="40" w:firstLine="648"/>
        <w:spacing w:after="0" w:line="264" w:lineRule="auto"/>
        <w:rPr>
          <w:sz w:val="20"/>
          <w:szCs w:val="20"/>
          <w:color w:val="auto"/>
        </w:rPr>
      </w:pPr>
      <w:r>
        <w:rPr>
          <w:rFonts w:ascii="Arial" w:cs="Arial" w:eastAsia="Arial" w:hAnsi="Arial"/>
          <w:sz w:val="19"/>
          <w:szCs w:val="19"/>
          <w:color w:val="auto"/>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condensed consolidated balance sheets. 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189"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September 30, 2022 and March 31, 2022, no material amounts for potential clawback obligations had been accrued.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Equity-Based Compensation</w:t>
      </w:r>
    </w:p>
    <w:p>
      <w:pPr>
        <w:spacing w:after="0" w:line="235" w:lineRule="exact"/>
        <w:rPr>
          <w:sz w:val="20"/>
          <w:szCs w:val="20"/>
          <w:color w:val="auto"/>
        </w:rPr>
      </w:pPr>
    </w:p>
    <w:p>
      <w:pPr>
        <w:ind w:right="40" w:firstLine="648"/>
        <w:spacing w:after="0" w:line="267" w:lineRule="auto"/>
        <w:rPr>
          <w:sz w:val="20"/>
          <w:szCs w:val="20"/>
          <w:color w:val="auto"/>
        </w:rPr>
      </w:pPr>
      <w:r>
        <w:rPr>
          <w:rFonts w:ascii="Arial" w:cs="Arial" w:eastAsia="Arial" w:hAnsi="Arial"/>
          <w:sz w:val="19"/>
          <w:szCs w:val="19"/>
          <w:color w:val="auto"/>
        </w:rPr>
        <w:t>The Company accounts for grants of equity-based awards, including restricted stock units (“RSUs”), to certain employees and directors at fair value as of the grant date. The Company recognizes non-cash compensation expense attributable to these grants on a straight-line basis over the requisite service period, which is generally the vesting period. Expense related to grants of equity-based awards is recognized as equity-based compensation expense in the condensed consolidated statements of income. The fair value of RSUs is determined by the closing stock price on the grant date. Forfeitures of equity-based awards are recognized as they occur. See note 9 for additional information regarding the Company’s accounting for equity-based awards.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2" w:name="page23"/>
    <w:bookmarkEnd w:id="22"/>
    <w:p>
      <w:pPr>
        <w:jc w:val="center"/>
        <w:ind w:right="-5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Taxes</w:t>
      </w:r>
    </w:p>
    <w:p>
      <w:pPr>
        <w:spacing w:after="0" w:line="235" w:lineRule="exact"/>
        <w:rPr>
          <w:sz w:val="20"/>
          <w:szCs w:val="20"/>
          <w:color w:val="auto"/>
        </w:rPr>
      </w:pPr>
    </w:p>
    <w:p>
      <w:pPr>
        <w:ind w:firstLine="648"/>
        <w:spacing w:after="0" w:line="265" w:lineRule="auto"/>
        <w:rPr>
          <w:sz w:val="20"/>
          <w:szCs w:val="20"/>
          <w:color w:val="auto"/>
        </w:rPr>
      </w:pPr>
      <w:r>
        <w:rPr>
          <w:rFonts w:ascii="Arial" w:cs="Arial" w:eastAsia="Arial" w:hAnsi="Arial"/>
          <w:sz w:val="19"/>
          <w:szCs w:val="19"/>
          <w:color w:val="auto"/>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condensed consolidated statements of income. As a result, the Partnership does not record U.S. federal and state income taxes on income in the Partnership or its subsidiaries, except for certain local and foreign income taxes discussed above.</w:t>
      </w:r>
    </w:p>
    <w:p>
      <w:pPr>
        <w:spacing w:after="0" w:line="176" w:lineRule="exact"/>
        <w:rPr>
          <w:sz w:val="20"/>
          <w:szCs w:val="20"/>
          <w:color w:val="auto"/>
        </w:rPr>
      </w:pPr>
    </w:p>
    <w:p>
      <w:pPr>
        <w:ind w:firstLine="648"/>
        <w:spacing w:after="0" w:line="327" w:lineRule="auto"/>
        <w:rPr>
          <w:sz w:val="20"/>
          <w:szCs w:val="20"/>
          <w:color w:val="auto"/>
        </w:rPr>
      </w:pPr>
      <w:r>
        <w:rPr>
          <w:rFonts w:ascii="Arial" w:cs="Arial" w:eastAsia="Arial" w:hAnsi="Arial"/>
          <w:sz w:val="16"/>
          <w:szCs w:val="16"/>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liabilities are included within accounts payable, accrued expenses and other liabilities in the condensed consolidated balance sheets. The principal items giving rise to temporary differences are certain basis differences resulting from exchanges of Partnership units. See Tax Receivable Agreements below.</w:t>
      </w:r>
    </w:p>
    <w:p>
      <w:pPr>
        <w:spacing w:after="0" w:line="143" w:lineRule="exact"/>
        <w:rPr>
          <w:sz w:val="20"/>
          <w:szCs w:val="20"/>
          <w:color w:val="auto"/>
        </w:rPr>
      </w:pPr>
    </w:p>
    <w:p>
      <w:pPr>
        <w:ind w:right="60" w:firstLine="648"/>
        <w:spacing w:after="0" w:line="251" w:lineRule="auto"/>
        <w:rPr>
          <w:sz w:val="20"/>
          <w:szCs w:val="20"/>
          <w:color w:val="auto"/>
        </w:rPr>
      </w:pPr>
      <w:r>
        <w:rPr>
          <w:rFonts w:ascii="Arial" w:cs="Arial" w:eastAsia="Arial" w:hAnsi="Arial"/>
          <w:sz w:val="20"/>
          <w:szCs w:val="20"/>
          <w:color w:val="auto"/>
        </w:rPr>
        <w:t>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201" w:lineRule="exact"/>
        <w:rPr>
          <w:sz w:val="20"/>
          <w:szCs w:val="20"/>
          <w:color w:val="auto"/>
        </w:rPr>
      </w:pPr>
    </w:p>
    <w:p>
      <w:pPr>
        <w:ind w:firstLine="648"/>
        <w:spacing w:after="0" w:line="321" w:lineRule="auto"/>
        <w:rPr>
          <w:sz w:val="20"/>
          <w:szCs w:val="20"/>
          <w:color w:val="auto"/>
        </w:rPr>
      </w:pPr>
      <w:r>
        <w:rPr>
          <w:rFonts w:ascii="Arial" w:cs="Arial" w:eastAsia="Arial" w:hAnsi="Arial"/>
          <w:sz w:val="16"/>
          <w:szCs w:val="16"/>
          <w:color w:val="auto"/>
        </w:rPr>
        <w:t xml:space="preserve">The Company is subject to the provisions of ASC Subtopic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likely to be realized. If upon performance of an assessment pursuant to this subtopic, management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respectively, in the condensed consolidated statements of income. See note 10 for more information.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4" w:right="39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Tax Receivable Agreements</w:t>
      </w:r>
    </w:p>
    <w:p>
      <w:pPr>
        <w:spacing w:after="0" w:line="235" w:lineRule="exact"/>
        <w:rPr>
          <w:sz w:val="20"/>
          <w:szCs w:val="20"/>
          <w:color w:val="auto"/>
        </w:rPr>
      </w:pPr>
    </w:p>
    <w:p>
      <w:pPr>
        <w:ind w:right="60" w:firstLine="648"/>
        <w:spacing w:after="0" w:line="280" w:lineRule="auto"/>
        <w:rPr>
          <w:sz w:val="20"/>
          <w:szCs w:val="20"/>
          <w:color w:val="auto"/>
        </w:rPr>
      </w:pPr>
      <w:r>
        <w:rPr>
          <w:rFonts w:ascii="Arial" w:cs="Arial" w:eastAsia="Arial" w:hAnsi="Arial"/>
          <w:sz w:val="18"/>
          <w:szCs w:val="18"/>
          <w:color w:val="auto"/>
        </w:rPr>
        <w:t>SSG has entered into an Exchanges Tax Receivable Agreement (the “Exchanges Tax Receivable Agreement”) with the partners of the Partnership as of the date of the IPO and a Reorganization Tax Receivable Agreement with certain pre-IPO institutional investors (together, with the Exchanges Tax Receivable Agreement, the “Tax Receivable Agreements”). The Tax Receivable Agreements provide for payment by SSG to such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 In connection with the Greenspring acquisition, the sellers receiving Class C units of the Partnership became parties to the Exchanges Tax Receivable Agreement. See notes 13 and 14 for more information.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Accumulated Other Comprehensive Income</w:t>
      </w:r>
    </w:p>
    <w:p>
      <w:pPr>
        <w:spacing w:after="0" w:line="222" w:lineRule="exact"/>
        <w:rPr>
          <w:sz w:val="20"/>
          <w:szCs w:val="20"/>
          <w:color w:val="auto"/>
        </w:rPr>
      </w:pPr>
    </w:p>
    <w:p>
      <w:pPr>
        <w:ind w:right="140" w:firstLine="648"/>
        <w:spacing w:after="0" w:line="257" w:lineRule="auto"/>
        <w:rPr>
          <w:sz w:val="20"/>
          <w:szCs w:val="20"/>
          <w:color w:val="auto"/>
        </w:rPr>
      </w:pPr>
      <w:r>
        <w:rPr>
          <w:rFonts w:ascii="Arial" w:cs="Arial" w:eastAsia="Arial" w:hAnsi="Arial"/>
          <w:sz w:val="20"/>
          <w:szCs w:val="20"/>
          <w:color w:val="auto"/>
        </w:rPr>
        <w:t>The Company’s accumulated other comprehensive income consists of foreign currency translation adjustments and unrealized gains and losses on the defined benefit plan sponsored by one of its subsidiaries. The components of accumulated other comprehensive income were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6"/>
                <w:szCs w:val="16"/>
                <w:b w:val="1"/>
                <w:bCs w:val="1"/>
                <w:color w:val="auto"/>
                <w:w w:val="94"/>
              </w:rPr>
              <w:t>March 31, 2022</w:t>
            </w:r>
          </w:p>
        </w:tc>
      </w:tr>
      <w:tr>
        <w:trPr>
          <w:trHeight w:val="22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gain on defined benefit plan, net</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Segments</w:t>
      </w:r>
    </w:p>
    <w:p>
      <w:pPr>
        <w:spacing w:after="0" w:line="222" w:lineRule="exact"/>
        <w:rPr>
          <w:sz w:val="20"/>
          <w:szCs w:val="20"/>
          <w:color w:val="auto"/>
        </w:rPr>
      </w:pPr>
    </w:p>
    <w:p>
      <w:pPr>
        <w:ind w:right="40" w:firstLine="648"/>
        <w:spacing w:after="0" w:line="255" w:lineRule="auto"/>
        <w:rPr>
          <w:sz w:val="20"/>
          <w:szCs w:val="20"/>
          <w:color w:val="auto"/>
        </w:rPr>
      </w:pPr>
      <w:r>
        <w:rPr>
          <w:rFonts w:ascii="Arial" w:cs="Arial" w:eastAsia="Arial" w:hAnsi="Arial"/>
          <w:sz w:val="20"/>
          <w:szCs w:val="20"/>
          <w:color w:val="auto"/>
        </w:rPr>
        <w:t>The Company operates as one business, a fully-integrated private markets solution provider. The Company’s chief operating decision maker, who is the Company’s chief executive officer, utilizes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Recent Accounting Pronouncements</w:t>
      </w:r>
    </w:p>
    <w:p>
      <w:pPr>
        <w:spacing w:after="0" w:line="222" w:lineRule="exact"/>
        <w:rPr>
          <w:sz w:val="20"/>
          <w:szCs w:val="20"/>
          <w:color w:val="auto"/>
        </w:rPr>
      </w:pPr>
    </w:p>
    <w:p>
      <w:pPr>
        <w:ind w:right="280" w:firstLine="648"/>
        <w:spacing w:after="0" w:line="299" w:lineRule="auto"/>
        <w:rPr>
          <w:sz w:val="20"/>
          <w:szCs w:val="20"/>
          <w:color w:val="auto"/>
        </w:rPr>
      </w:pPr>
      <w:r>
        <w:rPr>
          <w:rFonts w:ascii="Arial" w:cs="Arial" w:eastAsia="Arial" w:hAnsi="Arial"/>
          <w:sz w:val="18"/>
          <w:szCs w:val="18"/>
          <w:color w:val="auto"/>
        </w:rPr>
        <w:t>The Company considers the applicability and impact of all Accounting Standards Updates (“ASU”) issued by the Financial Accounting Standards Board (“FASB”). ASUs issued during the current period not listed below were assessed and determined to either be not applicable to the Company, or not expected to have a material impact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firstLine="648"/>
        <w:spacing w:after="0" w:line="284"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w:t>
      </w:r>
      <w:r>
        <w:rPr>
          <w:rFonts w:ascii="Arial" w:cs="Arial" w:eastAsia="Arial" w:hAnsi="Arial"/>
          <w:sz w:val="18"/>
          <w:szCs w:val="18"/>
          <w:color w:val="auto"/>
        </w:rPr>
        <w:t xml:space="preserve"> </w:t>
      </w:r>
      <w:r>
        <w:rPr>
          <w:rFonts w:ascii="Arial" w:cs="Arial" w:eastAsia="Arial" w:hAnsi="Arial"/>
          <w:sz w:val="18"/>
          <w:szCs w:val="18"/>
          <w:i w:val="1"/>
          <w:iCs w:val="1"/>
          <w:color w:val="auto"/>
        </w:rPr>
        <w:t>Reform on Financial Reporting</w:t>
      </w:r>
      <w:r>
        <w:rPr>
          <w:rFonts w:ascii="Arial" w:cs="Arial" w:eastAsia="Arial" w:hAnsi="Arial"/>
          <w:sz w:val="18"/>
          <w:szCs w:val="18"/>
          <w:color w:val="auto"/>
        </w:rPr>
        <w:t>, which amends current guidance to provide optional practical expedients and exceptions, if certain criteria are</w:t>
      </w:r>
      <w:r>
        <w:rPr>
          <w:rFonts w:ascii="Arial" w:cs="Arial" w:eastAsia="Arial" w:hAnsi="Arial"/>
          <w:sz w:val="18"/>
          <w:szCs w:val="18"/>
          <w:i w:val="1"/>
          <w:iCs w:val="1"/>
          <w:color w:val="auto"/>
        </w:rPr>
        <w:t xml:space="preserve"> </w:t>
      </w:r>
      <w:r>
        <w:rPr>
          <w:rFonts w:ascii="Arial" w:cs="Arial" w:eastAsia="Arial" w:hAnsi="Arial"/>
          <w:sz w:val="18"/>
          <w:szCs w:val="18"/>
          <w:color w:val="auto"/>
        </w:rPr>
        <w:t>met, for applying GAAP to contracts, hedging relationships and other transactions that are affected by the reference rate reform. The expedients and exceptions in this update apply only to contracts, hedging relationships and other transactions that reference the London Interbank Offered Rate (“LIBOR”), but do not apply to contract modifications or hedging relationships entered into after December 31, 2022. This guidance is effective for adoption anytime after March 12, 2020, but must be adopted prior to December 31, 2022. The Company is currently evaluating the impact on the condensed consolidated financial statements.</w:t>
      </w:r>
    </w:p>
    <w:p>
      <w:pPr>
        <w:spacing w:after="0" w:line="162"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 xml:space="preserve">In August 2020, the FASB issued ASU 2020-06, </w:t>
      </w:r>
      <w:r>
        <w:rPr>
          <w:rFonts w:ascii="Arial" w:cs="Arial" w:eastAsia="Arial" w:hAnsi="Arial"/>
          <w:sz w:val="20"/>
          <w:szCs w:val="20"/>
          <w:i w:val="1"/>
          <w:iCs w:val="1"/>
          <w:color w:val="auto"/>
        </w:rPr>
        <w:t>Debt—Debt with Conversion and Other Options (Subtopic 470-20) and Derivatives</w:t>
      </w:r>
      <w:r>
        <w:rPr>
          <w:rFonts w:ascii="Arial" w:cs="Arial" w:eastAsia="Arial" w:hAnsi="Arial"/>
          <w:sz w:val="20"/>
          <w:szCs w:val="20"/>
          <w:color w:val="auto"/>
        </w:rPr>
        <w:t xml:space="preserve"> </w:t>
      </w:r>
      <w:r>
        <w:rPr>
          <w:rFonts w:ascii="Arial" w:cs="Arial" w:eastAsia="Arial" w:hAnsi="Arial"/>
          <w:sz w:val="20"/>
          <w:szCs w:val="20"/>
          <w:i w:val="1"/>
          <w:iCs w:val="1"/>
          <w:color w:val="auto"/>
        </w:rPr>
        <w:t>and Hedging—Contracts in Entity’s Own Equity (Subtopic 815-40): Accounting for Convertible Instruments and Contracts in an Entity’s Own Equity</w:t>
      </w:r>
      <w:r>
        <w:rPr>
          <w:rFonts w:ascii="Arial" w:cs="Arial" w:eastAsia="Arial" w:hAnsi="Arial"/>
          <w:sz w:val="20"/>
          <w:szCs w:val="20"/>
          <w:color w:val="auto"/>
        </w:rPr>
        <w:t>, which simplifies the accounting for certain financial instruments with characteristics of liabilities and equity, including</w:t>
      </w:r>
      <w:r>
        <w:rPr>
          <w:rFonts w:ascii="Arial" w:cs="Arial" w:eastAsia="Arial" w:hAnsi="Arial"/>
          <w:sz w:val="20"/>
          <w:szCs w:val="20"/>
          <w:i w:val="1"/>
          <w:iCs w:val="1"/>
          <w:color w:val="auto"/>
        </w:rPr>
        <w:t xml:space="preserve"> </w:t>
      </w:r>
      <w:r>
        <w:rPr>
          <w:rFonts w:ascii="Arial" w:cs="Arial" w:eastAsia="Arial" w:hAnsi="Arial"/>
          <w:sz w:val="20"/>
          <w:szCs w:val="20"/>
          <w:color w:val="auto"/>
        </w:rPr>
        <w:t>convertible instruments and contracts on an entity’s own equity. The Company adopted this guidance on April 1, 2022 under the modified retrospective approach. The Company has changed its accounting policy to reflect the updated equity classification of contracts in an entity’s own equity, and has accounted for freestanding instruments that are indexed to and settled in the Company’s own equity at fair value with changes in fair value recognized in earnings. Adoption of this guidance did not have a material effect on the condensed consolidated financial statements.</w:t>
      </w:r>
    </w:p>
    <w:p>
      <w:pPr>
        <w:spacing w:after="0" w:line="203"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 xml:space="preserve">In July 2021, the FASB issued ASU 2021-05, </w:t>
      </w:r>
      <w:r>
        <w:rPr>
          <w:rFonts w:ascii="Arial" w:cs="Arial" w:eastAsia="Arial" w:hAnsi="Arial"/>
          <w:sz w:val="18"/>
          <w:szCs w:val="18"/>
          <w:i w:val="1"/>
          <w:iCs w:val="1"/>
          <w:color w:val="auto"/>
        </w:rPr>
        <w:t>Leases (Topic 842): Lessors—Certain Leases with Variable Lease Payments</w:t>
      </w:r>
      <w:r>
        <w:rPr>
          <w:rFonts w:ascii="Arial" w:cs="Arial" w:eastAsia="Arial" w:hAnsi="Arial"/>
          <w:sz w:val="18"/>
          <w:szCs w:val="18"/>
          <w:color w:val="auto"/>
        </w:rPr>
        <w:t>, which modifies ASC 842 to amend the lease classification requirements for lessors to align with practice under ASC Topic 840. Lessors should classify and account for a lease with variable lease payments that do not depend on a reference index or a rate as an operating lease if the lease would have been classified as a sales-type lease or a direct financing lease under ASC 842, and the lessor would have otherwise recognized a day-one loss on the investment in the lease. This guidance is effective for annual periods beginning after December 15, 2021 and interim periods within those annual periods. The Company adopted this guidance on April 1, 2022. Adoption of this guidance did not have a material effect on the condensed consolidated financial statements.</w:t>
      </w:r>
    </w:p>
    <w:p>
      <w:pPr>
        <w:spacing w:after="0" w:line="174" w:lineRule="exact"/>
        <w:rPr>
          <w:sz w:val="20"/>
          <w:szCs w:val="20"/>
          <w:color w:val="auto"/>
        </w:rPr>
      </w:pPr>
    </w:p>
    <w:p>
      <w:pPr>
        <w:ind w:right="220" w:firstLine="648"/>
        <w:spacing w:after="0" w:line="265" w:lineRule="auto"/>
        <w:rPr>
          <w:sz w:val="20"/>
          <w:szCs w:val="20"/>
          <w:color w:val="auto"/>
        </w:rPr>
      </w:pPr>
      <w:r>
        <w:rPr>
          <w:rFonts w:ascii="Arial" w:cs="Arial" w:eastAsia="Arial" w:hAnsi="Arial"/>
          <w:sz w:val="19"/>
          <w:szCs w:val="19"/>
          <w:color w:val="auto"/>
        </w:rPr>
        <w:t xml:space="preserve">In November 2021, the FASB issued ASU 2021-08, </w:t>
      </w:r>
      <w:r>
        <w:rPr>
          <w:rFonts w:ascii="Arial" w:cs="Arial" w:eastAsia="Arial" w:hAnsi="Arial"/>
          <w:sz w:val="19"/>
          <w:szCs w:val="19"/>
          <w:i w:val="1"/>
          <w:iCs w:val="1"/>
          <w:color w:val="auto"/>
        </w:rPr>
        <w:t>Business Combinations (Topic 805): Accounting for Contract Assets and</w:t>
      </w:r>
      <w:r>
        <w:rPr>
          <w:rFonts w:ascii="Arial" w:cs="Arial" w:eastAsia="Arial" w:hAnsi="Arial"/>
          <w:sz w:val="19"/>
          <w:szCs w:val="19"/>
          <w:color w:val="auto"/>
        </w:rPr>
        <w:t xml:space="preserve"> </w:t>
      </w:r>
      <w:r>
        <w:rPr>
          <w:rFonts w:ascii="Arial" w:cs="Arial" w:eastAsia="Arial" w:hAnsi="Arial"/>
          <w:sz w:val="19"/>
          <w:szCs w:val="19"/>
          <w:i w:val="1"/>
          <w:iCs w:val="1"/>
          <w:color w:val="auto"/>
        </w:rPr>
        <w:t>Contract Liabilities from Contracts with Customers</w:t>
      </w:r>
      <w:r>
        <w:rPr>
          <w:rFonts w:ascii="Arial" w:cs="Arial" w:eastAsia="Arial" w:hAnsi="Arial"/>
          <w:sz w:val="19"/>
          <w:szCs w:val="19"/>
          <w:color w:val="auto"/>
        </w:rPr>
        <w:t>, which modifies ASC 805 to require an acquiring entity in a business combination to</w:t>
      </w:r>
      <w:r>
        <w:rPr>
          <w:rFonts w:ascii="Arial" w:cs="Arial" w:eastAsia="Arial" w:hAnsi="Arial"/>
          <w:sz w:val="19"/>
          <w:szCs w:val="19"/>
          <w:i w:val="1"/>
          <w:iCs w:val="1"/>
          <w:color w:val="auto"/>
        </w:rPr>
        <w:t xml:space="preserve"> </w:t>
      </w:r>
      <w:r>
        <w:rPr>
          <w:rFonts w:ascii="Arial" w:cs="Arial" w:eastAsia="Arial" w:hAnsi="Arial"/>
          <w:sz w:val="19"/>
          <w:szCs w:val="19"/>
          <w:color w:val="auto"/>
        </w:rPr>
        <w:t>recognize and measure contract assets and contract liabilities acquired in a business combination in accordance with Topic 606. At the acquisition date, an acquirer should account for the related revenue contracts in accordance with Topic 606 as if it had originated the contracts. Under current GAAP, an acquirer generally recognizes such items at fair value on the acquisition date. This guidance is effective for annual and interim periods beginning after December 15, 2022, with early adoption permitted. The Company adopted this guidance on April 1, 2022, and will apply the guidance prospectively to business combinations that occur after this date. The guidance had no effect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6"/>
          <w:szCs w:val="16"/>
          <w:b w:val="1"/>
          <w:bCs w:val="1"/>
          <w:color w:val="auto"/>
        </w:rPr>
        <w:t>Revenues</w:t>
      </w:r>
    </w:p>
    <w:p>
      <w:pPr>
        <w:spacing w:after="0" w:line="235"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The following presents revenues disaggregated by product offering, which aligns with the Company’s performance obligations and the basis for calculating each amount: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gridSpan w:val="8"/>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5"/>
          </w:tcPr>
          <w:p>
            <w:pPr>
              <w:jc w:val="right"/>
              <w:ind w:right="72"/>
              <w:spacing w:after="0"/>
              <w:rPr>
                <w:sz w:val="20"/>
                <w:szCs w:val="20"/>
                <w:color w:val="auto"/>
              </w:rPr>
            </w:pPr>
            <w:r>
              <w:rPr>
                <w:rFonts w:ascii="Arial" w:cs="Arial" w:eastAsia="Arial" w:hAnsi="Arial"/>
                <w:sz w:val="16"/>
                <w:szCs w:val="16"/>
                <w:b w:val="1"/>
                <w:bCs w:val="1"/>
                <w:color w:val="auto"/>
                <w:w w:val="91"/>
              </w:rPr>
              <w:t>Six Months Ended September 30,</w:t>
            </w:r>
          </w:p>
        </w:tc>
      </w:tr>
      <w:tr>
        <w:trPr>
          <w:trHeight w:val="215"/>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Management and Advisory Fees, Net</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Focused commingled funds</w:t>
            </w:r>
          </w:p>
        </w:tc>
        <w:tc>
          <w:tcPr>
            <w:tcW w:w="300" w:type="dxa"/>
            <w:vAlign w:val="bottom"/>
            <w:gridSpan w:val="3"/>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51,553</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2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104,295</w:t>
            </w:r>
          </w:p>
        </w:tc>
        <w:tc>
          <w:tcPr>
            <w:tcW w:w="2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52,650</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SMAs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52,179</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42,510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102,639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83,115</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Advisory and other services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13,788</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12,380</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26,772</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25,635</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Fund reimbursement revenues</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r>
      <w:tr>
        <w:trPr>
          <w:trHeight w:val="248"/>
        </w:trPr>
        <w:tc>
          <w:tcPr>
            <w:tcW w:w="5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management and advisory fees, net</w:t>
            </w:r>
          </w:p>
        </w:tc>
        <w:tc>
          <w:tcPr>
            <w:tcW w:w="300" w:type="dxa"/>
            <w:vAlign w:val="bottom"/>
            <w:tcBorders>
              <w:bottom w:val="single" w:sz="8" w:color="auto"/>
            </w:tcBorders>
            <w:gridSpan w:val="3"/>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119,121</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83,583</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235,853</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161,644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8"/>
        </w:trPr>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gridSpan w:val="8"/>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5"/>
          </w:tcPr>
          <w:p>
            <w:pPr>
              <w:jc w:val="right"/>
              <w:ind w:right="72"/>
              <w:spacing w:after="0"/>
              <w:rPr>
                <w:sz w:val="20"/>
                <w:szCs w:val="20"/>
                <w:color w:val="auto"/>
              </w:rPr>
            </w:pPr>
            <w:r>
              <w:rPr>
                <w:rFonts w:ascii="Arial" w:cs="Arial" w:eastAsia="Arial" w:hAnsi="Arial"/>
                <w:sz w:val="16"/>
                <w:szCs w:val="16"/>
                <w:b w:val="1"/>
                <w:bCs w:val="1"/>
                <w:color w:val="auto"/>
                <w:w w:val="91"/>
              </w:rPr>
              <w:t>Six Months Ended September 30,</w:t>
            </w:r>
          </w:p>
        </w:tc>
      </w:tr>
      <w:tr>
        <w:trPr>
          <w:trHeight w:val="215"/>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Incentive Fees</w:t>
            </w:r>
          </w:p>
        </w:tc>
        <w:tc>
          <w:tcPr>
            <w:tcW w:w="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2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2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Focused commingled funds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48"/>
        </w:trPr>
        <w:tc>
          <w:tcPr>
            <w:tcW w:w="56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incentive fees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22"/>
        </w:trPr>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gridSpan w:val="8"/>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5"/>
          </w:tcPr>
          <w:p>
            <w:pPr>
              <w:jc w:val="right"/>
              <w:ind w:right="72"/>
              <w:spacing w:after="0"/>
              <w:rPr>
                <w:sz w:val="20"/>
                <w:szCs w:val="20"/>
                <w:color w:val="auto"/>
              </w:rPr>
            </w:pPr>
            <w:r>
              <w:rPr>
                <w:rFonts w:ascii="Arial" w:cs="Arial" w:eastAsia="Arial" w:hAnsi="Arial"/>
                <w:sz w:val="16"/>
                <w:szCs w:val="16"/>
                <w:b w:val="1"/>
                <w:bCs w:val="1"/>
                <w:color w:val="auto"/>
                <w:w w:val="91"/>
              </w:rPr>
              <w:t>Six Months Ended September 30,</w:t>
            </w:r>
          </w:p>
        </w:tc>
      </w:tr>
      <w:tr>
        <w:trPr>
          <w:trHeight w:val="215"/>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Carried Interest Allocations</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300" w:type="dxa"/>
            <w:vAlign w:val="bottom"/>
            <w:gridSpan w:val="3"/>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(120,451)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129,829</w:t>
            </w:r>
          </w:p>
        </w:tc>
        <w:tc>
          <w:tcPr>
            <w:tcW w:w="2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(158,576)</w:t>
            </w:r>
          </w:p>
        </w:tc>
        <w:tc>
          <w:tcPr>
            <w:tcW w:w="2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302,622</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Focused commingled funds</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(33,858)</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66,557</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(36,076)</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120,126</w:t>
            </w:r>
          </w:p>
        </w:tc>
      </w:tr>
      <w:tr>
        <w:trPr>
          <w:trHeight w:val="248"/>
        </w:trPr>
        <w:tc>
          <w:tcPr>
            <w:tcW w:w="5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carried interest allocations</w:t>
            </w:r>
          </w:p>
        </w:tc>
        <w:tc>
          <w:tcPr>
            <w:tcW w:w="300" w:type="dxa"/>
            <w:vAlign w:val="bottom"/>
            <w:tcBorders>
              <w:bottom w:val="single" w:sz="8" w:color="auto"/>
            </w:tcBorders>
            <w:gridSpan w:val="3"/>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(154,309)</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196,386</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(194,652)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422,748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22"/>
        </w:trPr>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gridSpan w:val="8"/>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5"/>
          </w:tcPr>
          <w:p>
            <w:pPr>
              <w:jc w:val="right"/>
              <w:ind w:right="72"/>
              <w:spacing w:after="0"/>
              <w:rPr>
                <w:sz w:val="20"/>
                <w:szCs w:val="20"/>
                <w:color w:val="auto"/>
              </w:rPr>
            </w:pPr>
            <w:r>
              <w:rPr>
                <w:rFonts w:ascii="Arial" w:cs="Arial" w:eastAsia="Arial" w:hAnsi="Arial"/>
                <w:sz w:val="16"/>
                <w:szCs w:val="16"/>
                <w:b w:val="1"/>
                <w:bCs w:val="1"/>
                <w:color w:val="auto"/>
                <w:w w:val="91"/>
              </w:rPr>
              <w:t>Six Months Ended September 30,</w:t>
            </w:r>
          </w:p>
        </w:tc>
      </w:tr>
      <w:tr>
        <w:trPr>
          <w:trHeight w:val="215"/>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Legacy Greenspring Carried Interest Allocations</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40" w:type="dxa"/>
            <w:vAlign w:val="bottom"/>
            <w:gridSpan w:val="2"/>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Focused commingled funds</w:t>
            </w:r>
            <w:r>
              <w:rPr>
                <w:rFonts w:ascii="Arial" w:cs="Arial" w:eastAsia="Arial" w:hAnsi="Arial"/>
                <w:sz w:val="23"/>
                <w:szCs w:val="23"/>
                <w:color w:val="auto"/>
                <w:vertAlign w:val="superscript"/>
              </w:rPr>
              <w:t>(1)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(128,672)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(282,279)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6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legacy Greenspring carried interest allocations</w:t>
            </w: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(128,672)</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(282,279)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three and six months ended September 30, 2022 reflect the net effect of gross realized carried interest allocations of $10.6 million and</w:t>
      </w:r>
    </w:p>
    <w:p>
      <w:pPr>
        <w:spacing w:after="0" w:line="20" w:lineRule="exact"/>
        <w:rPr>
          <w:rFonts w:ascii="Arial" w:cs="Arial" w:eastAsia="Arial" w:hAnsi="Arial"/>
          <w:sz w:val="17"/>
          <w:szCs w:val="17"/>
          <w:color w:val="auto"/>
        </w:rPr>
      </w:pPr>
    </w:p>
    <w:p>
      <w:pPr>
        <w:ind w:left="660" w:right="180"/>
        <w:spacing w:after="0" w:line="255" w:lineRule="auto"/>
        <w:rPr>
          <w:rFonts w:ascii="Arial" w:cs="Arial" w:eastAsia="Arial" w:hAnsi="Arial"/>
          <w:sz w:val="17"/>
          <w:szCs w:val="17"/>
          <w:color w:val="auto"/>
        </w:rPr>
      </w:pPr>
      <w:r>
        <w:rPr>
          <w:rFonts w:ascii="Arial" w:cs="Arial" w:eastAsia="Arial" w:hAnsi="Arial"/>
          <w:sz w:val="18"/>
          <w:szCs w:val="18"/>
          <w:color w:val="auto"/>
        </w:rPr>
        <w:t>$40.1 million, respectively, and the reversal of such amounts in unrealized carried interest allocations for such periods. The three and six months ended September 30, 2021 reflect the net effect of gross realized carried interest allocations of $3.0 million and the reversal of such amounts in unrealized carried interest allocations for the period from September 20, 2021 to September 30, 2021.</w:t>
      </w:r>
    </w:p>
    <w:p>
      <w:pPr>
        <w:spacing w:after="0" w:line="187" w:lineRule="exact"/>
        <w:rPr>
          <w:sz w:val="20"/>
          <w:szCs w:val="20"/>
          <w:color w:val="auto"/>
        </w:rPr>
      </w:pPr>
    </w:p>
    <w:p>
      <w:pPr>
        <w:jc w:val="both"/>
        <w:ind w:right="800" w:firstLine="648"/>
        <w:spacing w:after="0" w:line="264" w:lineRule="auto"/>
        <w:rPr>
          <w:sz w:val="20"/>
          <w:szCs w:val="20"/>
          <w:color w:val="auto"/>
        </w:rPr>
      </w:pPr>
      <w:r>
        <w:rPr>
          <w:rFonts w:ascii="Arial" w:cs="Arial" w:eastAsia="Arial" w:hAnsi="Arial"/>
          <w:sz w:val="20"/>
          <w:szCs w:val="20"/>
          <w:color w:val="auto"/>
        </w:rPr>
        <w:t>The decrease in carried interest allocations for the three and six months ended September 30, 2022 and 2021 was primarily attributable to net unrealized depreciation in the fair value of certain underlying fund investments. See note 2 for a discussion of the Company’s accounting policy for investments on a three-month lag.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derives revenues from clients located in both the United States and other countries. The table below presents the</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Company’s revenues by geographic location: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500" w:type="dxa"/>
            <w:vAlign w:val="bottom"/>
            <w:gridSpan w:val="4"/>
          </w:tcPr>
          <w:p>
            <w:pPr>
              <w:jc w:val="right"/>
              <w:ind w:right="73"/>
              <w:spacing w:after="0"/>
              <w:rPr>
                <w:sz w:val="20"/>
                <w:szCs w:val="20"/>
                <w:color w:val="auto"/>
              </w:rPr>
            </w:pPr>
            <w:r>
              <w:rPr>
                <w:rFonts w:ascii="Arial" w:cs="Arial" w:eastAsia="Arial" w:hAnsi="Arial"/>
                <w:sz w:val="16"/>
                <w:szCs w:val="16"/>
                <w:b w:val="1"/>
                <w:bCs w:val="1"/>
                <w:color w:val="auto"/>
                <w:w w:val="91"/>
              </w:rPr>
              <w:t>Six Months Ended September 30,</w:t>
            </w:r>
          </w:p>
        </w:tc>
      </w:tr>
      <w:tr>
        <w:trPr>
          <w:trHeight w:val="215"/>
        </w:trPr>
        <w:tc>
          <w:tcPr>
            <w:tcW w:w="5620" w:type="dxa"/>
            <w:vAlign w:val="bottom"/>
            <w:tcBorders>
              <w:bottom w:val="single" w:sz="8" w:color="CCEEFF"/>
            </w:tcBorders>
          </w:tcPr>
          <w:p>
            <w:pPr>
              <w:ind w:left="20"/>
              <w:spacing w:after="0" w:line="215"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r>
      <w:tr>
        <w:trPr>
          <w:trHeight w:val="223"/>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60,985</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(198,597)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111,640</w:t>
            </w: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Non-U.S. countries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(66,848)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220,780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(37,116)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478,730</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left="660" w:right="460" w:hanging="652"/>
        <w:spacing w:after="0" w:line="260" w:lineRule="auto"/>
        <w:tabs>
          <w:tab w:leader="none" w:pos="6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Revenues are attributed to countries based on client location for SMAs and advisory and other services, or location of investment vehicle for focused commingled funds.</w:t>
      </w:r>
    </w:p>
    <w:p>
      <w:pPr>
        <w:spacing w:after="0" w:line="183" w:lineRule="exact"/>
        <w:rPr>
          <w:sz w:val="20"/>
          <w:szCs w:val="20"/>
          <w:color w:val="auto"/>
        </w:rPr>
      </w:pPr>
    </w:p>
    <w:p>
      <w:pPr>
        <w:ind w:right="240" w:firstLine="648"/>
        <w:spacing w:after="0" w:line="260" w:lineRule="auto"/>
        <w:rPr>
          <w:sz w:val="20"/>
          <w:szCs w:val="20"/>
          <w:color w:val="auto"/>
        </w:rPr>
      </w:pPr>
      <w:r>
        <w:rPr>
          <w:rFonts w:ascii="Arial" w:cs="Arial" w:eastAsia="Arial" w:hAnsi="Arial"/>
          <w:sz w:val="20"/>
          <w:szCs w:val="20"/>
          <w:color w:val="auto"/>
        </w:rPr>
        <w:t>For the three and six months ended September 30, 2022 and 2021, no individual client represented 10% or more of the Company’s net management and advisory fees.</w:t>
      </w:r>
    </w:p>
    <w:p>
      <w:pPr>
        <w:spacing w:after="0" w:line="190" w:lineRule="exact"/>
        <w:rPr>
          <w:sz w:val="20"/>
          <w:szCs w:val="20"/>
          <w:color w:val="auto"/>
        </w:rPr>
      </w:pPr>
    </w:p>
    <w:p>
      <w:pPr>
        <w:ind w:right="100" w:firstLine="648"/>
        <w:spacing w:after="0" w:line="255" w:lineRule="auto"/>
        <w:rPr>
          <w:sz w:val="20"/>
          <w:szCs w:val="20"/>
          <w:color w:val="auto"/>
        </w:rPr>
      </w:pPr>
      <w:r>
        <w:rPr>
          <w:rFonts w:ascii="Arial" w:cs="Arial" w:eastAsia="Arial" w:hAnsi="Arial"/>
          <w:sz w:val="20"/>
          <w:szCs w:val="20"/>
          <w:color w:val="auto"/>
        </w:rPr>
        <w:t>As of September 30, 2022 and March 31, 2022, the Company had $20.8 million and $19.0 million, respectively, of deferred revenues, which is included in accounts payable, accrued expenses and other liabilities in the condensed consolidated balance sheets. During the six months ended September 30, 2022, the Company had recognized $4.9 million as revenue from amounts included in the deferred revenue balance as of March 31, 2022.</w:t>
      </w:r>
    </w:p>
    <w:p>
      <w:pPr>
        <w:spacing w:after="0" w:line="178" w:lineRule="exact"/>
        <w:rPr>
          <w:sz w:val="20"/>
          <w:szCs w:val="20"/>
          <w:color w:val="auto"/>
        </w:rPr>
      </w:pPr>
    </w:p>
    <w:p>
      <w:pPr>
        <w:ind w:left="660" w:right="8760" w:hanging="652"/>
        <w:spacing w:after="0" w:line="535" w:lineRule="auto"/>
        <w:tabs>
          <w:tab w:leader="none" w:pos="35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Consolidated VIEs</w:t>
      </w:r>
    </w:p>
    <w:p>
      <w:pPr>
        <w:spacing w:after="0" w:line="1"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The Company consolidates certain VIEs for which it is the primary beneficiary. Such VIEs consist of certain operating entities not wholly-owned by the Company (e.g., Swiss Capital, SRA and SRE) and legacy Greenspring general partner entities. See note 2 for more information on the Company’s accounting policies related to the consolidation of VIEs. The assets of the consolidated VIEs totaled $1,101.8 million and $1,435.2 million as of September 30, 2022 and March 31, 2022, respectively. The liabilities of the consolidated VIEs totaled $871.7 million and $1,181.2 million as of September 30, 2022 and March 31, 2022, 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September 30, 2022 and March 31, 2022, no material amounts previously distributed have been accrued for clawback liabilities.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Unconsolidated VIEs</w:t>
      </w:r>
    </w:p>
    <w:p>
      <w:pPr>
        <w:spacing w:after="0" w:line="235" w:lineRule="exact"/>
        <w:rPr>
          <w:sz w:val="20"/>
          <w:szCs w:val="20"/>
          <w:color w:val="auto"/>
        </w:rPr>
      </w:pPr>
    </w:p>
    <w:p>
      <w:pPr>
        <w:ind w:right="280" w:firstLine="648"/>
        <w:spacing w:after="0" w:line="288" w:lineRule="auto"/>
        <w:rPr>
          <w:sz w:val="20"/>
          <w:szCs w:val="20"/>
          <w:color w:val="auto"/>
        </w:rPr>
      </w:pPr>
      <w:r>
        <w:rPr>
          <w:rFonts w:ascii="Arial" w:cs="Arial" w:eastAsia="Arial" w:hAnsi="Arial"/>
          <w:sz w:val="18"/>
          <w:szCs w:val="18"/>
          <w:color w:val="auto"/>
        </w:rPr>
        <w:t>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The carrying value of the assets and liabilities recognized in the condensed consolidated balance sheets with respect to the Company’s interests in VIEs that were not consolidated is set forth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820" w:type="dxa"/>
            <w:vAlign w:val="bottom"/>
            <w:gridSpan w:val="5"/>
          </w:tcPr>
          <w:p>
            <w:pPr>
              <w:ind w:left="40"/>
              <w:spacing w:after="0"/>
              <w:rPr>
                <w:sz w:val="20"/>
                <w:szCs w:val="20"/>
                <w:color w:val="auto"/>
              </w:rPr>
            </w:pPr>
            <w:r>
              <w:rPr>
                <w:rFonts w:ascii="Arial" w:cs="Arial" w:eastAsia="Arial" w:hAnsi="Arial"/>
                <w:sz w:val="16"/>
                <w:szCs w:val="16"/>
                <w:b w:val="1"/>
                <w:bCs w:val="1"/>
                <w:color w:val="auto"/>
              </w:rPr>
              <w:t>September 30, 2022</w:t>
            </w:r>
          </w:p>
        </w:tc>
        <w:tc>
          <w:tcPr>
            <w:tcW w:w="1280" w:type="dxa"/>
            <w:vAlign w:val="bottom"/>
          </w:tcPr>
          <w:p>
            <w:pPr>
              <w:jc w:val="right"/>
              <w:ind w:right="91"/>
              <w:spacing w:after="0"/>
              <w:rPr>
                <w:sz w:val="20"/>
                <w:szCs w:val="20"/>
                <w:color w:val="auto"/>
              </w:rPr>
            </w:pPr>
            <w:r>
              <w:rPr>
                <w:rFonts w:ascii="Arial" w:cs="Arial" w:eastAsia="Arial" w:hAnsi="Arial"/>
                <w:sz w:val="16"/>
                <w:szCs w:val="16"/>
                <w:b w:val="1"/>
                <w:bCs w:val="1"/>
                <w:color w:val="auto"/>
                <w:w w:val="94"/>
              </w:rPr>
              <w:t>March 31, 2022</w:t>
            </w:r>
          </w:p>
        </w:tc>
      </w:tr>
      <w:tr>
        <w:trPr>
          <w:trHeight w:val="22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funds</w:t>
            </w: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106,977</w:t>
            </w:r>
          </w:p>
        </w:tc>
        <w:tc>
          <w:tcPr>
            <w:tcW w:w="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107,045</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Legacy Greenspring investments in funds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173,443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194,480</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affiliates, net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18,830</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Less: Amounts attributable to non-controlling interests in subsidiaries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15,601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13,832</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Amounts attributable to non-controlling interests in legacy Greenspring entities</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173,443</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194,480</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Maximum exposure to loss</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103,802</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112,043</w:t>
            </w:r>
          </w:p>
        </w:tc>
      </w:tr>
      <w:tr>
        <w:trPr>
          <w:trHeight w:val="20"/>
        </w:trPr>
        <w:tc>
          <w:tcPr>
            <w:tcW w:w="8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6"/>
          <w:szCs w:val="16"/>
          <w:b w:val="1"/>
          <w:bCs w:val="1"/>
          <w:color w:val="auto"/>
        </w:rPr>
        <w:t>Investments</w:t>
      </w:r>
    </w:p>
    <w:p>
      <w:pPr>
        <w:spacing w:after="0" w:line="222" w:lineRule="exact"/>
        <w:rPr>
          <w:sz w:val="20"/>
          <w:szCs w:val="20"/>
          <w:color w:val="auto"/>
        </w:rPr>
      </w:pPr>
    </w:p>
    <w:p>
      <w:pPr>
        <w:ind w:right="80" w:firstLine="648"/>
        <w:spacing w:after="0" w:line="267" w:lineRule="auto"/>
        <w:rPr>
          <w:sz w:val="20"/>
          <w:szCs w:val="20"/>
          <w:color w:val="auto"/>
        </w:rPr>
      </w:pPr>
      <w:r>
        <w:rPr>
          <w:rFonts w:ascii="Arial" w:cs="Arial" w:eastAsia="Arial" w:hAnsi="Arial"/>
          <w:sz w:val="19"/>
          <w:szCs w:val="19"/>
          <w:color w:val="auto"/>
        </w:rPr>
        <w:t>The Company’s investments consist of equity method investments primarily related to investments in the StepStone Funds for which it serves as general partner or managing member but does not have a controlling financial interest. The Company’s equity interest typically does not exceed 1% in each fund. The Company’s share of the underlying net income or loss attributable to its equity interest in the funds is recorded in investment income in the condensed consolidated statements of income. Investment income attributable to investments in certain legacy Greenspring funds for which the Company has no direct economic interests are recorded in legacy Greenspring investment income in the condensed consolidated statements of income.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Company’s equity method investments consist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6"/>
                <w:szCs w:val="16"/>
                <w:b w:val="1"/>
                <w:bCs w:val="1"/>
                <w:color w:val="auto"/>
                <w:w w:val="94"/>
              </w:rPr>
              <w:t>March 31, 2022</w:t>
            </w:r>
          </w:p>
        </w:tc>
      </w:tr>
      <w:tr>
        <w:trPr>
          <w:trHeight w:val="22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funds</w:t>
            </w: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106,977</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107,045</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Accrued carried interest allocations</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1,189,323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1,480,515</w:t>
            </w:r>
          </w:p>
        </w:tc>
      </w:tr>
      <w:tr>
        <w:trPr>
          <w:trHeight w:val="230"/>
        </w:trPr>
        <w:tc>
          <w:tcPr>
            <w:tcW w:w="8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Legacy Greenspring investments in funds and accrued carried interest allocations</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991,116</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1,334,581</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 investments</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2,287,416</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2,922,141</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left="660" w:right="280" w:hanging="652"/>
        <w:spacing w:after="0" w:line="260" w:lineRule="auto"/>
        <w:tabs>
          <w:tab w:leader="none" w:pos="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investments in funds of $173.4 million and $194.5 million and carried interest allocations of $817.7 million and $1,140.1 million as of September 30, 2022 and March 31, 2022, respectively.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recognized equity method income (loss)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50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1"/>
              </w:rPr>
              <w:t>Six Months Ended September 30,</w:t>
            </w:r>
          </w:p>
        </w:tc>
      </w:tr>
      <w:tr>
        <w:trPr>
          <w:trHeight w:val="210"/>
        </w:trPr>
        <w:tc>
          <w:tcPr>
            <w:tcW w:w="56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r>
      <w:tr>
        <w:trPr>
          <w:trHeight w:val="22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Carried interest allocations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(154,309)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196,386</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(194,652)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422,748</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Investment income (loss)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7,187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(4,792)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13,611</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Legacy Greenspring carried interest allocations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(128,672)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(282,279)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Legacy Greenspring investment loss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(15,357)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(23,961)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6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equity method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(302,029)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203,573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(505,684)</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436,359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right="100" w:firstLine="648"/>
        <w:spacing w:after="0" w:line="299" w:lineRule="auto"/>
        <w:rPr>
          <w:sz w:val="20"/>
          <w:szCs w:val="20"/>
          <w:color w:val="auto"/>
        </w:rPr>
      </w:pPr>
      <w:r>
        <w:rPr>
          <w:rFonts w:ascii="Arial" w:cs="Arial" w:eastAsia="Arial" w:hAnsi="Arial"/>
          <w:sz w:val="18"/>
          <w:szCs w:val="18"/>
          <w:color w:val="auto"/>
        </w:rPr>
        <w:t>The decrease in carried interest allocations for the three and six months ended September 30, 2022 as compared to the three and six months ended September 30, 2021 was primarily attributable to unrealized depreciation in the fair value of the underlying investments in the Company’s private equity funds. See note 2 for a discussion of the Company’s accounting policy for investments on a three-month lag.</w:t>
      </w:r>
    </w:p>
    <w:p>
      <w:pPr>
        <w:spacing w:after="0" w:line="158" w:lineRule="exact"/>
        <w:rPr>
          <w:sz w:val="20"/>
          <w:szCs w:val="20"/>
          <w:color w:val="auto"/>
        </w:rPr>
      </w:pPr>
    </w:p>
    <w:p>
      <w:pPr>
        <w:ind w:right="20" w:firstLine="648"/>
        <w:spacing w:after="0" w:line="252" w:lineRule="auto"/>
        <w:rPr>
          <w:sz w:val="20"/>
          <w:szCs w:val="20"/>
          <w:color w:val="auto"/>
        </w:rPr>
      </w:pPr>
      <w:r>
        <w:rPr>
          <w:rFonts w:ascii="Arial" w:cs="Arial" w:eastAsia="Arial" w:hAnsi="Arial"/>
          <w:sz w:val="20"/>
          <w:szCs w:val="20"/>
          <w:color w:val="auto"/>
        </w:rPr>
        <w:t>As of September 30, 2022 and March 31, 2022, the Company’s investments in two SMAs each individually represented 10% or more of the total accrued carried interest allocations balance, and in the aggregate represented approximately 23% and 25%, respectively, of the total accrued carried interest allocations balance as of those dates. As of September 30, 2022 and March 31, 2022, the Company’s investments in three commingled funds each individually represented 10% or more of the total legacy Greenspring accrued carried interest allocations balance, and in the aggregate represented approximately 37% and 39%, respectively, of the total legacy Greenspring accrued carried interest allocations balances as of those dates.</w:t>
      </w:r>
    </w:p>
    <w:p>
      <w:pPr>
        <w:spacing w:after="0" w:line="19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Of the total accrued carried interest allocations balance as of September 30, 2022 and March 31, 2022, $625.4 million and $770.0 million, respectively, were payable to affiliates and is included in accrued carried interest-related compensation in the condensed consolidated balance sheets. Of the total legacy Greenspring investments in funds and accrued carried interest allocations balance as of September 30,</w:t>
      </w:r>
    </w:p>
    <w:p>
      <w:pPr>
        <w:jc w:val="both"/>
        <w:ind w:right="60"/>
        <w:spacing w:after="0" w:line="250" w:lineRule="auto"/>
        <w:rPr>
          <w:sz w:val="20"/>
          <w:szCs w:val="20"/>
          <w:color w:val="auto"/>
        </w:rPr>
      </w:pPr>
      <w:r>
        <w:rPr>
          <w:rFonts w:ascii="Arial" w:cs="Arial" w:eastAsia="Arial" w:hAnsi="Arial"/>
          <w:sz w:val="20"/>
          <w:szCs w:val="20"/>
          <w:color w:val="auto"/>
        </w:rPr>
        <w:t>2022 and March 31, 2022, $817.7 million and $1,140.1 million, respectively, were payable to employees who are considered affiliates of the Company and is included in legacy Greenspring accrued carried interest-related compensation in the condensed consolidated balance sheets and $173.4 million and $194.5 million, respectively, are reflected as non-controlling interests in legacy Greenspring entities in the condensed consolidated balance sheets.</w:t>
      </w:r>
    </w:p>
    <w:p>
      <w:pPr>
        <w:spacing w:after="0" w:line="200" w:lineRule="exact"/>
        <w:rPr>
          <w:sz w:val="20"/>
          <w:szCs w:val="20"/>
          <w:color w:val="auto"/>
        </w:rPr>
      </w:pPr>
    </w:p>
    <w:p>
      <w:pPr>
        <w:ind w:right="120" w:firstLine="648"/>
        <w:spacing w:after="0" w:line="255" w:lineRule="auto"/>
        <w:rPr>
          <w:sz w:val="20"/>
          <w:szCs w:val="20"/>
          <w:color w:val="auto"/>
        </w:rPr>
      </w:pPr>
      <w:r>
        <w:rPr>
          <w:rFonts w:ascii="Arial" w:cs="Arial" w:eastAsia="Arial" w:hAnsi="Arial"/>
          <w:sz w:val="20"/>
          <w:szCs w:val="20"/>
          <w:color w:val="auto"/>
        </w:rPr>
        <w:t>The Company evaluates each of its equity method investments to determine if any are considered significant as defined by the SEC. As of September 30, 2022 and March 31, 2022 and for the three and six months ended September 30, 2022 and 2021, no individual equity method investment held by the Company met the significance criteria. As a result, the Company is not required to provide separate financial statements for any of its equity method investments.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8"/>
          <w:szCs w:val="18"/>
          <w:b w:val="1"/>
          <w:bCs w:val="1"/>
          <w:color w:val="auto"/>
        </w:rPr>
        <w:t>Fair Value Measurements</w:t>
      </w:r>
    </w:p>
    <w:p>
      <w:pPr>
        <w:spacing w:after="0" w:line="235" w:lineRule="exact"/>
        <w:rPr>
          <w:sz w:val="20"/>
          <w:szCs w:val="20"/>
          <w:color w:val="auto"/>
        </w:rPr>
      </w:pPr>
    </w:p>
    <w:p>
      <w:pPr>
        <w:ind w:right="640" w:firstLine="648"/>
        <w:spacing w:after="0" w:line="260" w:lineRule="auto"/>
        <w:rPr>
          <w:sz w:val="20"/>
          <w:szCs w:val="20"/>
          <w:color w:val="auto"/>
        </w:rPr>
      </w:pPr>
      <w:r>
        <w:rPr>
          <w:rFonts w:ascii="Arial" w:cs="Arial" w:eastAsia="Arial" w:hAnsi="Arial"/>
          <w:sz w:val="20"/>
          <w:szCs w:val="20"/>
          <w:color w:val="auto"/>
        </w:rPr>
        <w:t>The Company measures certain liabilities at fair value on a recurring basis. The following tables provide details regarding the classification of these liabilities within the fair value hierarchy as of the dates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As of September 30, 2022</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I</w:t>
            </w: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II</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III</w:t>
            </w:r>
          </w:p>
        </w:tc>
        <w:tc>
          <w:tcPr>
            <w:tcW w:w="260" w:type="dxa"/>
            <w:vAlign w:val="bottom"/>
          </w:tcPr>
          <w:p>
            <w:pPr>
              <w:spacing w:after="0"/>
              <w:rPr>
                <w:sz w:val="18"/>
                <w:szCs w:val="18"/>
                <w:color w:val="auto"/>
              </w:rPr>
            </w:pPr>
          </w:p>
        </w:tc>
        <w:tc>
          <w:tcPr>
            <w:tcW w:w="940" w:type="dxa"/>
            <w:vAlign w:val="bottom"/>
          </w:tcPr>
          <w:p>
            <w:pPr>
              <w:jc w:val="right"/>
              <w:ind w:right="333"/>
              <w:spacing w:after="0"/>
              <w:rPr>
                <w:sz w:val="20"/>
                <w:szCs w:val="20"/>
                <w:color w:val="auto"/>
              </w:rPr>
            </w:pPr>
            <w:r>
              <w:rPr>
                <w:rFonts w:ascii="Arial" w:cs="Arial" w:eastAsia="Arial" w:hAnsi="Arial"/>
                <w:sz w:val="16"/>
                <w:szCs w:val="16"/>
                <w:b w:val="1"/>
                <w:bCs w:val="1"/>
                <w:color w:val="auto"/>
              </w:rPr>
              <w:t>Total</w:t>
            </w:r>
          </w:p>
        </w:tc>
      </w:tr>
      <w:tr>
        <w:trPr>
          <w:trHeight w:val="212"/>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5720" w:type="dxa"/>
            <w:vAlign w:val="bottom"/>
          </w:tcPr>
          <w:p>
            <w:pPr>
              <w:ind w:left="400"/>
              <w:spacing w:after="0"/>
              <w:rPr>
                <w:sz w:val="20"/>
                <w:szCs w:val="20"/>
                <w:color w:val="auto"/>
              </w:rPr>
            </w:pPr>
            <w:r>
              <w:rPr>
                <w:rFonts w:ascii="Arial" w:cs="Arial" w:eastAsia="Arial" w:hAnsi="Arial"/>
                <w:sz w:val="18"/>
                <w:szCs w:val="18"/>
                <w:color w:val="auto"/>
              </w:rPr>
              <w:t>Contingent consideration obligations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35,656</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35,656</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35,656</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511"/>
        </w:trPr>
        <w:tc>
          <w:tcPr>
            <w:tcW w:w="5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As of March 31, 2022</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10"/>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I</w:t>
            </w: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II</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III</w:t>
            </w:r>
          </w:p>
        </w:tc>
        <w:tc>
          <w:tcPr>
            <w:tcW w:w="260" w:type="dxa"/>
            <w:vAlign w:val="bottom"/>
          </w:tcPr>
          <w:p>
            <w:pPr>
              <w:spacing w:after="0"/>
              <w:rPr>
                <w:sz w:val="18"/>
                <w:szCs w:val="18"/>
                <w:color w:val="auto"/>
              </w:rPr>
            </w:pPr>
          </w:p>
        </w:tc>
        <w:tc>
          <w:tcPr>
            <w:tcW w:w="940" w:type="dxa"/>
            <w:vAlign w:val="bottom"/>
          </w:tcPr>
          <w:p>
            <w:pPr>
              <w:jc w:val="right"/>
              <w:ind w:right="333"/>
              <w:spacing w:after="0"/>
              <w:rPr>
                <w:sz w:val="20"/>
                <w:szCs w:val="20"/>
                <w:color w:val="auto"/>
              </w:rPr>
            </w:pPr>
            <w:r>
              <w:rPr>
                <w:rFonts w:ascii="Arial" w:cs="Arial" w:eastAsia="Arial" w:hAnsi="Arial"/>
                <w:sz w:val="16"/>
                <w:szCs w:val="16"/>
                <w:b w:val="1"/>
                <w:bCs w:val="1"/>
                <w:color w:val="auto"/>
              </w:rPr>
              <w:t>Total</w:t>
            </w:r>
          </w:p>
        </w:tc>
      </w:tr>
      <w:tr>
        <w:trPr>
          <w:trHeight w:val="212"/>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5720" w:type="dxa"/>
            <w:vAlign w:val="bottom"/>
          </w:tcPr>
          <w:p>
            <w:pPr>
              <w:ind w:left="400"/>
              <w:spacing w:after="0"/>
              <w:rPr>
                <w:sz w:val="20"/>
                <w:szCs w:val="20"/>
                <w:color w:val="auto"/>
              </w:rPr>
            </w:pPr>
            <w:r>
              <w:rPr>
                <w:rFonts w:ascii="Arial" w:cs="Arial" w:eastAsia="Arial" w:hAnsi="Arial"/>
                <w:sz w:val="18"/>
                <w:szCs w:val="18"/>
                <w:color w:val="auto"/>
              </w:rPr>
              <w:t>Contingent consideration obligations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28,025</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28,025</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28,025</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180" w:firstLine="648"/>
        <w:spacing w:after="0" w:line="274" w:lineRule="auto"/>
        <w:rPr>
          <w:sz w:val="20"/>
          <w:szCs w:val="20"/>
          <w:color w:val="auto"/>
        </w:rPr>
      </w:pPr>
      <w:r>
        <w:rPr>
          <w:rFonts w:ascii="Arial" w:cs="Arial" w:eastAsia="Arial" w:hAnsi="Arial"/>
          <w:sz w:val="20"/>
          <w:szCs w:val="20"/>
          <w:color w:val="auto"/>
        </w:rPr>
        <w:t>For the liabilities presented in the tables above, there were no changes in fair value hierarchy levels during the three and six months ended September 30, 2022 and 2021.</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changes in the fair value of Level III financial instruments are set forth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296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500" w:type="dxa"/>
            <w:vAlign w:val="bottom"/>
            <w:gridSpan w:val="4"/>
          </w:tcPr>
          <w:p>
            <w:pPr>
              <w:jc w:val="right"/>
              <w:ind w:right="71"/>
              <w:spacing w:after="0"/>
              <w:rPr>
                <w:sz w:val="20"/>
                <w:szCs w:val="20"/>
                <w:color w:val="auto"/>
              </w:rPr>
            </w:pPr>
            <w:r>
              <w:rPr>
                <w:rFonts w:ascii="Arial" w:cs="Arial" w:eastAsia="Arial" w:hAnsi="Arial"/>
                <w:sz w:val="16"/>
                <w:szCs w:val="16"/>
                <w:b w:val="1"/>
                <w:bCs w:val="1"/>
                <w:color w:val="auto"/>
                <w:w w:val="91"/>
              </w:rPr>
              <w:t>Six Months Ended September 30,</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Contingent Consideration Liability</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31,121</w:t>
            </w:r>
          </w:p>
        </w:tc>
        <w:tc>
          <w:tcPr>
            <w:tcW w:w="2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1,306</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28,025</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Additions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17,769</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17,769</w:t>
            </w:r>
          </w:p>
        </w:tc>
        <w:tc>
          <w:tcPr>
            <w:tcW w:w="0" w:type="dxa"/>
            <w:vAlign w:val="bottom"/>
          </w:tcPr>
          <w:p>
            <w:pPr>
              <w:spacing w:after="0"/>
              <w:rPr>
                <w:sz w:val="1"/>
                <w:szCs w:val="1"/>
                <w:color w:val="auto"/>
              </w:rPr>
            </w:pPr>
          </w:p>
        </w:tc>
      </w:tr>
      <w:tr>
        <w:trPr>
          <w:trHeight w:val="230"/>
        </w:trPr>
        <w:tc>
          <w:tcPr>
            <w:tcW w:w="5640" w:type="dxa"/>
            <w:vAlign w:val="bottom"/>
          </w:tcPr>
          <w:p>
            <w:pPr>
              <w:ind w:left="400"/>
              <w:spacing w:after="0"/>
              <w:rPr>
                <w:sz w:val="20"/>
                <w:szCs w:val="20"/>
                <w:color w:val="auto"/>
              </w:rPr>
            </w:pPr>
            <w:r>
              <w:rPr>
                <w:rFonts w:ascii="Arial" w:cs="Arial" w:eastAsia="Arial" w:hAnsi="Arial"/>
                <w:sz w:val="18"/>
                <w:szCs w:val="18"/>
                <w:color w:val="auto"/>
              </w:rPr>
              <w:t>Change in fair value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4,704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7,960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Settlements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35,656</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18,851</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35,656</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18,851</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640" w:type="dxa"/>
            <w:vAlign w:val="bottom"/>
          </w:tcPr>
          <w:p>
            <w:pPr>
              <w:ind w:left="20"/>
              <w:spacing w:after="0" w:line="176" w:lineRule="exact"/>
              <w:rPr>
                <w:sz w:val="20"/>
                <w:szCs w:val="20"/>
                <w:color w:val="auto"/>
              </w:rPr>
            </w:pPr>
            <w:r>
              <w:rPr>
                <w:rFonts w:ascii="Arial" w:cs="Arial" w:eastAsia="Arial" w:hAnsi="Arial"/>
                <w:sz w:val="18"/>
                <w:szCs w:val="18"/>
                <w:color w:val="auto"/>
              </w:rPr>
              <w:t>Changes in unrealized losses included in earnings related to financial</w:t>
            </w:r>
          </w:p>
        </w:tc>
        <w:tc>
          <w:tcPr>
            <w:tcW w:w="280" w:type="dxa"/>
            <w:vAlign w:val="bottom"/>
            <w:vMerge w:val="restart"/>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4,704</w:t>
            </w:r>
          </w:p>
        </w:tc>
        <w:tc>
          <w:tcPr>
            <w:tcW w:w="24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7,960</w:t>
            </w:r>
          </w:p>
        </w:tc>
        <w:tc>
          <w:tcPr>
            <w:tcW w:w="24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liabilities still held at the reporting date</w:t>
            </w:r>
          </w:p>
        </w:tc>
        <w:tc>
          <w:tcPr>
            <w:tcW w:w="2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260" w:firstLine="648"/>
        <w:spacing w:after="0" w:line="260" w:lineRule="auto"/>
        <w:rPr>
          <w:sz w:val="20"/>
          <w:szCs w:val="20"/>
          <w:color w:val="auto"/>
        </w:rPr>
      </w:pPr>
      <w:r>
        <w:rPr>
          <w:rFonts w:ascii="Arial" w:cs="Arial" w:eastAsia="Arial" w:hAnsi="Arial"/>
          <w:sz w:val="20"/>
          <w:szCs w:val="20"/>
          <w:color w:val="auto"/>
        </w:rPr>
        <w:t>In connection with the Greenspring acquisition, the Company recorded a contingent consideration liability of $17.8 million during the three months ended September 30, 2021. See note 14 for more information.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40" w:firstLine="648"/>
        <w:spacing w:after="0" w:line="280" w:lineRule="auto"/>
        <w:rPr>
          <w:sz w:val="20"/>
          <w:szCs w:val="20"/>
          <w:color w:val="auto"/>
        </w:rPr>
      </w:pPr>
      <w:r>
        <w:rPr>
          <w:rFonts w:ascii="Arial" w:cs="Arial" w:eastAsia="Arial" w:hAnsi="Arial"/>
          <w:sz w:val="18"/>
          <w:szCs w:val="18"/>
          <w:color w:val="auto"/>
        </w:rPr>
        <w:t>The fair value of the contingent consideration liabilities are based on a discounted cash flow analysis using a probability-weighted average estimate of certain performance targets, including revenue levels. The assumptions used in the analysis are inherently subjective; therefore, the ultimate amount of the contingent consideration liability may differ materially from the current estimate. The significant unobservable inputs required to value the contingent consideration liabilities primarily relate to the future expected revenues and the discount rates applied to the expected future revenues and payments of obligations, which ranged from 8% to 10% as of September 30, 2022. The contingent consideration liabilities are included in accounts payable, accrued expenses and other liabilities in the condensed consolidated balance sheets. Changes in the fair value of the liabilities are included in general, administrative and other expenses in the condensed consolidated statements of income. In February 2022, the Company amended the contingent consideration arrangement in respect of the Greenspring acquisition whereby a portion of the contingent consideration liability otherwise payable to the sellers will be used to fund compensation arrangements with certain employees of the Company, which will be payable following the end of the earn-out period. As a result, the contingent consideration liability is recorded net of the fair value of amounts payable to certain employees.</w:t>
      </w:r>
    </w:p>
    <w:p>
      <w:pPr>
        <w:spacing w:after="0" w:line="17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6"/>
          <w:szCs w:val="16"/>
          <w:b w:val="1"/>
          <w:bCs w:val="1"/>
          <w:color w:val="auto"/>
        </w:rPr>
        <w:t>Intangibles and Goodwill</w:t>
      </w:r>
    </w:p>
    <w:p>
      <w:pPr>
        <w:spacing w:after="0" w:line="222" w:lineRule="exact"/>
        <w:rPr>
          <w:sz w:val="20"/>
          <w:szCs w:val="20"/>
          <w:color w:val="auto"/>
        </w:rPr>
      </w:pPr>
    </w:p>
    <w:p>
      <w:pPr>
        <w:ind w:right="980" w:firstLine="648"/>
        <w:spacing w:after="0" w:line="301" w:lineRule="auto"/>
        <w:rPr>
          <w:sz w:val="20"/>
          <w:szCs w:val="20"/>
          <w:color w:val="auto"/>
        </w:rPr>
      </w:pPr>
      <w:r>
        <w:rPr>
          <w:rFonts w:ascii="Arial" w:cs="Arial" w:eastAsia="Arial" w:hAnsi="Arial"/>
          <w:sz w:val="19"/>
          <w:szCs w:val="19"/>
          <w:color w:val="auto"/>
        </w:rPr>
        <w:t>Intangible assets consist of management contracts providing economic rights to management and advisory fees and client relationships related to future fundraising, as obtained through the Company’s acquisitions of other businesses.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Intangible assets, net consists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6"/>
                <w:szCs w:val="16"/>
                <w:b w:val="1"/>
                <w:bCs w:val="1"/>
                <w:color w:val="auto"/>
                <w:w w:val="94"/>
              </w:rPr>
              <w:t>March 31, 2022</w:t>
            </w:r>
          </w:p>
        </w:tc>
      </w:tr>
      <w:tr>
        <w:trPr>
          <w:trHeight w:val="22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contracts</w:t>
            </w: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352,002</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352,002</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Client relationships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96,650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96,650</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agreements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(81,804)</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(60,063)</w:t>
            </w:r>
          </w:p>
        </w:tc>
      </w:tr>
      <w:tr>
        <w:trPr>
          <w:trHeight w:val="248"/>
        </w:trPr>
        <w:tc>
          <w:tcPr>
            <w:tcW w:w="8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Intangible assets, net</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376,385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398,126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60" w:firstLine="648"/>
        <w:spacing w:after="0" w:line="299" w:lineRule="auto"/>
        <w:rPr>
          <w:sz w:val="20"/>
          <w:szCs w:val="20"/>
          <w:color w:val="auto"/>
        </w:rPr>
      </w:pPr>
      <w:r>
        <w:rPr>
          <w:rFonts w:ascii="Arial" w:cs="Arial" w:eastAsia="Arial" w:hAnsi="Arial"/>
          <w:sz w:val="18"/>
          <w:szCs w:val="18"/>
          <w:color w:val="auto"/>
        </w:rPr>
        <w:t>Amortization expense related to intangible assets was $10.9 million and $1.9 million for the three months ended September 30, 2022 and 2021, respectively, and $21.7 million and $2.5 million for the six months ended September 30, 2022 and 2021, respectively. These amounts are included in general, administrative and other expenses in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9800" w:type="dxa"/>
            <w:vAlign w:val="bottom"/>
          </w:tcPr>
          <w:p>
            <w:pPr>
              <w:jc w:val="center"/>
              <w:ind w:left="1368"/>
              <w:spacing w:after="0"/>
              <w:rPr>
                <w:sz w:val="20"/>
                <w:szCs w:val="20"/>
                <w:color w:val="auto"/>
              </w:rPr>
            </w:pPr>
            <w:r>
              <w:rPr>
                <w:rFonts w:ascii="Arial" w:cs="Arial" w:eastAsia="Arial" w:hAnsi="Arial"/>
                <w:sz w:val="20"/>
                <w:szCs w:val="20"/>
                <w:b w:val="1"/>
                <w:bCs w:val="1"/>
                <w:color w:val="auto"/>
                <w:w w:val="88"/>
              </w:rPr>
              <w:t>StepStone Group Inc.</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6"/>
        </w:trPr>
        <w:tc>
          <w:tcPr>
            <w:tcW w:w="9800" w:type="dxa"/>
            <w:vAlign w:val="bottom"/>
          </w:tcPr>
          <w:p>
            <w:pPr>
              <w:jc w:val="center"/>
              <w:ind w:left="1348"/>
              <w:spacing w:after="0"/>
              <w:rPr>
                <w:sz w:val="20"/>
                <w:szCs w:val="20"/>
                <w:color w:val="auto"/>
              </w:rPr>
            </w:pPr>
            <w:r>
              <w:rPr>
                <w:rFonts w:ascii="Arial" w:cs="Arial" w:eastAsia="Arial" w:hAnsi="Arial"/>
                <w:sz w:val="20"/>
                <w:szCs w:val="20"/>
                <w:b w:val="1"/>
                <w:bCs w:val="1"/>
                <w:color w:val="auto"/>
                <w:w w:val="88"/>
              </w:rPr>
              <w:t>Notes to Condensed Consolidated Financial Statements (Unaudited)</w:t>
            </w: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9"/>
        </w:trPr>
        <w:tc>
          <w:tcPr>
            <w:tcW w:w="9800" w:type="dxa"/>
            <w:vAlign w:val="bottom"/>
          </w:tcPr>
          <w:p>
            <w:pPr>
              <w:jc w:val="center"/>
              <w:ind w:left="1368"/>
              <w:spacing w:after="0"/>
              <w:rPr>
                <w:sz w:val="20"/>
                <w:szCs w:val="20"/>
                <w:color w:val="auto"/>
              </w:rPr>
            </w:pPr>
            <w:r>
              <w:rPr>
                <w:rFonts w:ascii="Arial" w:cs="Arial" w:eastAsia="Arial" w:hAnsi="Arial"/>
                <w:sz w:val="16"/>
                <w:szCs w:val="16"/>
                <w:i w:val="1"/>
                <w:iCs w:val="1"/>
                <w:color w:val="auto"/>
                <w:w w:val="90"/>
              </w:rPr>
              <w:t>(in thousands, except share and per share amounts and where noted)</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672"/>
        </w:trPr>
        <w:tc>
          <w:tcPr>
            <w:tcW w:w="9800" w:type="dxa"/>
            <w:vAlign w:val="bottom"/>
          </w:tcPr>
          <w:p>
            <w:pPr>
              <w:ind w:left="660"/>
              <w:spacing w:after="0"/>
              <w:rPr>
                <w:sz w:val="20"/>
                <w:szCs w:val="20"/>
                <w:color w:val="auto"/>
              </w:rPr>
            </w:pPr>
            <w:r>
              <w:rPr>
                <w:rFonts w:ascii="Arial" w:cs="Arial" w:eastAsia="Arial" w:hAnsi="Arial"/>
                <w:sz w:val="20"/>
                <w:szCs w:val="20"/>
                <w:color w:val="auto"/>
              </w:rPr>
              <w:t>At September 30, 2022, the expected future amortization of finite-lived intangible assets is as follows: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3"/>
        </w:trPr>
        <w:tc>
          <w:tcPr>
            <w:tcW w:w="9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FY2023</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21,741</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FY2024</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42,645</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FY2025</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41,955</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FY2026</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41,764</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FY2027</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41,730</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186,550</w:t>
            </w:r>
          </w:p>
        </w:tc>
      </w:tr>
      <w:tr>
        <w:trPr>
          <w:trHeight w:val="248"/>
        </w:trPr>
        <w:tc>
          <w:tcPr>
            <w:tcW w:w="98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376,385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800" w:firstLine="648"/>
        <w:spacing w:after="0" w:line="332" w:lineRule="auto"/>
        <w:rPr>
          <w:sz w:val="20"/>
          <w:szCs w:val="20"/>
          <w:color w:val="auto"/>
        </w:rPr>
      </w:pPr>
      <w:r>
        <w:rPr>
          <w:rFonts w:ascii="Arial" w:cs="Arial" w:eastAsia="Arial" w:hAnsi="Arial"/>
          <w:sz w:val="18"/>
          <w:szCs w:val="18"/>
          <w:color w:val="auto"/>
        </w:rPr>
        <w:t>The carrying value of goodwill was $580.5 million as of September 30, 2022 and $580.5 million as of March 31, 2022. The Company determined there was no indication of goodwill impairment as of September 30, 2022 and March 31, 2022.</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Debt Obligations</w:t>
      </w:r>
    </w:p>
    <w:p>
      <w:pPr>
        <w:spacing w:after="0" w:line="235" w:lineRule="exact"/>
        <w:rPr>
          <w:sz w:val="20"/>
          <w:szCs w:val="20"/>
          <w:color w:val="auto"/>
        </w:rPr>
      </w:pPr>
    </w:p>
    <w:p>
      <w:pPr>
        <w:ind w:right="140" w:firstLine="648"/>
        <w:spacing w:after="0" w:line="255" w:lineRule="auto"/>
        <w:rPr>
          <w:sz w:val="20"/>
          <w:szCs w:val="20"/>
          <w:color w:val="auto"/>
        </w:rPr>
      </w:pPr>
      <w:r>
        <w:rPr>
          <w:rFonts w:ascii="Arial" w:cs="Arial" w:eastAsia="Arial" w:hAnsi="Arial"/>
          <w:sz w:val="20"/>
          <w:szCs w:val="20"/>
          <w:color w:val="auto"/>
        </w:rPr>
        <w:t>In September 2021, the Company entered into a credit agreement with various lenders (the “Credit Agreement”) in connection with the Greenspring acquisition. The Credit Agreement was arranged by JPMorgan Chase Bank, N.A., as the administrative agent, and provides for a $225.0 million multicurrency revolving credit facility (the “Revolver”) with a five-year maturity. As of September 30, 2022, the Company had $63.1 million outstanding on the Revolver, net of debt issuance costs.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Company’s debt obligations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ind w:left="1920"/>
              <w:spacing w:after="0"/>
              <w:rPr>
                <w:sz w:val="20"/>
                <w:szCs w:val="20"/>
                <w:color w:val="auto"/>
              </w:rPr>
            </w:pPr>
            <w:r>
              <w:rPr>
                <w:rFonts w:ascii="Arial" w:cs="Arial" w:eastAsia="Arial" w:hAnsi="Arial"/>
                <w:sz w:val="18"/>
                <w:szCs w:val="18"/>
                <w:b w:val="1"/>
                <w:bCs w:val="1"/>
                <w:color w:val="auto"/>
              </w:rPr>
              <w:t>As of</w:t>
            </w:r>
          </w:p>
        </w:tc>
        <w:tc>
          <w:tcPr>
            <w:tcW w:w="1920" w:type="dxa"/>
            <w:vAlign w:val="bottom"/>
            <w:tcBorders>
              <w:bottom w:val="single" w:sz="8" w:color="auto"/>
            </w:tcBorders>
          </w:tcPr>
          <w:p>
            <w:pPr>
              <w:spacing w:after="0"/>
              <w:rPr>
                <w:sz w:val="20"/>
                <w:szCs w:val="20"/>
                <w:color w:val="auto"/>
              </w:rPr>
            </w:pPr>
          </w:p>
        </w:tc>
      </w:tr>
      <w:tr>
        <w:trPr>
          <w:trHeight w:val="223"/>
        </w:trPr>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2022</w:t>
            </w:r>
          </w:p>
        </w:tc>
        <w:tc>
          <w:tcPr>
            <w:tcW w:w="320" w:type="dxa"/>
            <w:vAlign w:val="bottom"/>
          </w:tcPr>
          <w:p>
            <w:pPr>
              <w:spacing w:after="0"/>
              <w:rPr>
                <w:sz w:val="19"/>
                <w:szCs w:val="19"/>
                <w:color w:val="auto"/>
              </w:rPr>
            </w:pPr>
          </w:p>
        </w:tc>
        <w:tc>
          <w:tcPr>
            <w:tcW w:w="1920" w:type="dxa"/>
            <w:vAlign w:val="bottom"/>
          </w:tcPr>
          <w:p>
            <w:pPr>
              <w:ind w:left="200"/>
              <w:spacing w:after="0"/>
              <w:rPr>
                <w:sz w:val="20"/>
                <w:szCs w:val="20"/>
                <w:color w:val="auto"/>
              </w:rPr>
            </w:pPr>
            <w:r>
              <w:rPr>
                <w:rFonts w:ascii="Arial" w:cs="Arial" w:eastAsia="Arial" w:hAnsi="Arial"/>
                <w:sz w:val="18"/>
                <w:szCs w:val="18"/>
                <w:b w:val="1"/>
                <w:bCs w:val="1"/>
                <w:color w:val="auto"/>
              </w:rPr>
              <w:t>March 31, 2022</w:t>
            </w: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Revolver</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65,000</w:t>
            </w:r>
          </w:p>
        </w:tc>
        <w:tc>
          <w:tcPr>
            <w:tcW w:w="2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w w:val="98"/>
              </w:rPr>
              <w:t>65,000</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Debt issuance costs</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w w:val="94"/>
              </w:rPr>
              <w:t>(1,885)</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w w:val="94"/>
              </w:rPr>
              <w:t>(2,121)</w:t>
            </w:r>
          </w:p>
        </w:tc>
      </w:tr>
      <w:tr>
        <w:trPr>
          <w:trHeight w:val="248"/>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debt obligations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w w:val="98"/>
              </w:rPr>
              <w:t>63,115</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w w:val="98"/>
              </w:rPr>
              <w:t>62,879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60" w:firstLine="648"/>
        <w:spacing w:after="0" w:line="263" w:lineRule="auto"/>
        <w:rPr>
          <w:sz w:val="20"/>
          <w:szCs w:val="20"/>
          <w:color w:val="auto"/>
        </w:rPr>
      </w:pPr>
      <w:r>
        <w:rPr>
          <w:rFonts w:ascii="Arial" w:cs="Arial" w:eastAsia="Arial" w:hAnsi="Arial"/>
          <w:sz w:val="19"/>
          <w:szCs w:val="19"/>
          <w:color w:val="auto"/>
        </w:rPr>
        <w:t>Borrowings under the Revolver bear interest at a variable rate per annum. The Company may designate each borrowing as (i) in the case of any borrowing in U.S. dollars, a base rate loan or a LIBOR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LIBOR, multiplied by the Statutory Reserve Rate (as defined in the Credit Agreement), plus 1.00%, (ii) in the case of a LIBOR rate loan, the LIBOR rate multiplied by the Statutory Reserve Rate plus 2.00%, (iii) in the case of a EURIBOR rate loan, the EURIBOR rate multiplied by the Statutory Reserve Rate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The weighted-average interest rate in effect for the Revolver as of September 30, 2022 was 5.13%.</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9"/>
          <w:szCs w:val="19"/>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September 20, 2026.</w:t>
      </w:r>
    </w:p>
    <w:p>
      <w:pPr>
        <w:spacing w:after="0" w:line="175"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66" w:lineRule="exact"/>
        <w:rPr>
          <w:sz w:val="20"/>
          <w:szCs w:val="20"/>
          <w:color w:val="auto"/>
        </w:rPr>
      </w:pPr>
    </w:p>
    <w:p>
      <w:pPr>
        <w:ind w:right="60" w:firstLine="648"/>
        <w:spacing w:after="0" w:line="257" w:lineRule="auto"/>
        <w:rPr>
          <w:sz w:val="20"/>
          <w:szCs w:val="20"/>
          <w:color w:val="auto"/>
        </w:rPr>
      </w:pPr>
      <w:r>
        <w:rPr>
          <w:rFonts w:ascii="Arial" w:cs="Arial" w:eastAsia="Arial" w:hAnsi="Arial"/>
          <w:sz w:val="20"/>
          <w:szCs w:val="20"/>
          <w:color w:val="auto"/>
        </w:rPr>
        <w:t>The carrying value of the Revolver approximates fair value, as the loan is subject to variable interest rates that adjust with changes in market rates and market conditions and the current interest rate approximates that which would be available under similar financial arrangements.</w:t>
      </w:r>
    </w:p>
    <w:p>
      <w:pPr>
        <w:spacing w:after="0" w:line="193" w:lineRule="exact"/>
        <w:rPr>
          <w:sz w:val="20"/>
          <w:szCs w:val="20"/>
          <w:color w:val="auto"/>
        </w:rPr>
      </w:pPr>
    </w:p>
    <w:p>
      <w:pPr>
        <w:ind w:right="120" w:firstLine="648"/>
        <w:spacing w:after="0" w:line="285" w:lineRule="auto"/>
        <w:rPr>
          <w:sz w:val="20"/>
          <w:szCs w:val="20"/>
          <w:color w:val="auto"/>
        </w:rPr>
      </w:pPr>
      <w:r>
        <w:rPr>
          <w:rFonts w:ascii="Arial" w:cs="Arial" w:eastAsia="Arial" w:hAnsi="Arial"/>
          <w:sz w:val="18"/>
          <w:szCs w:val="18"/>
          <w:color w:val="auto"/>
        </w:rPr>
        <w:t>Under the terms of the Credit Agreement, certain of the Company’s assets serve as pledged collateral. In addition, the Credit Agreement contains covenants that, among other things: limit the Company’s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the Company to maintain a total net leverage ratio and a minimum total of fee-earning assets under management. As of September 30, 2022, the Company was in compliance with the total net leverage ratio and minimum fee-earning assets under management covenants.</w:t>
      </w:r>
    </w:p>
    <w:p>
      <w:pPr>
        <w:spacing w:after="0" w:line="159" w:lineRule="exact"/>
        <w:rPr>
          <w:sz w:val="20"/>
          <w:szCs w:val="20"/>
          <w:color w:val="auto"/>
        </w:rPr>
      </w:pPr>
    </w:p>
    <w:p>
      <w:pPr>
        <w:ind w:right="220" w:firstLine="648"/>
        <w:spacing w:after="0" w:line="264" w:lineRule="auto"/>
        <w:rPr>
          <w:sz w:val="20"/>
          <w:szCs w:val="20"/>
          <w:color w:val="auto"/>
        </w:rPr>
      </w:pPr>
      <w:r>
        <w:rPr>
          <w:rFonts w:ascii="Arial" w:cs="Arial" w:eastAsia="Arial" w:hAnsi="Arial"/>
          <w:sz w:val="20"/>
          <w:szCs w:val="20"/>
          <w:color w:val="auto"/>
        </w:rPr>
        <w:t>The Company can use available funding capacity under the Revolver to satisfy letters of credit in amounts up to $10.0 million. Amounts used to satisfy the letters of credit reduce the available capacity under the Revolver. As of September 30, 2022, the Company had outstanding letters of credit totaling $2.6 million.</w:t>
      </w:r>
    </w:p>
    <w:p>
      <w:pPr>
        <w:spacing w:after="0" w:line="16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6"/>
          <w:szCs w:val="16"/>
          <w:b w:val="1"/>
          <w:bCs w:val="1"/>
          <w:color w:val="auto"/>
        </w:rPr>
        <w:t>Equity-Based Compensation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change in unvested RSUs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20" w:type="dxa"/>
            <w:vAlign w:val="bottom"/>
            <w:gridSpan w:val="2"/>
            <w:vMerge w:val="restart"/>
          </w:tcPr>
          <w:p>
            <w:pPr>
              <w:ind w:left="460"/>
              <w:spacing w:after="0"/>
              <w:rPr>
                <w:sz w:val="20"/>
                <w:szCs w:val="20"/>
                <w:color w:val="auto"/>
              </w:rPr>
            </w:pPr>
            <w:r>
              <w:rPr>
                <w:rFonts w:ascii="Arial" w:cs="Arial" w:eastAsia="Arial" w:hAnsi="Arial"/>
                <w:sz w:val="16"/>
                <w:szCs w:val="16"/>
                <w:b w:val="1"/>
                <w:bCs w:val="1"/>
                <w:color w:val="auto"/>
              </w:rPr>
              <w:t>Number of RSUs</w:t>
            </w:r>
          </w:p>
        </w:tc>
        <w:tc>
          <w:tcPr>
            <w:tcW w:w="140" w:type="dxa"/>
            <w:vAlign w:val="bottom"/>
          </w:tcPr>
          <w:p>
            <w:pPr>
              <w:spacing w:after="0"/>
              <w:rPr>
                <w:sz w:val="16"/>
                <w:szCs w:val="16"/>
                <w:color w:val="auto"/>
              </w:rPr>
            </w:pPr>
          </w:p>
        </w:tc>
        <w:tc>
          <w:tcPr>
            <w:tcW w:w="1960" w:type="dxa"/>
            <w:vAlign w:val="bottom"/>
          </w:tcPr>
          <w:p>
            <w:pPr>
              <w:jc w:val="center"/>
              <w:ind w:right="53"/>
              <w:spacing w:after="0"/>
              <w:rPr>
                <w:sz w:val="20"/>
                <w:szCs w:val="20"/>
                <w:color w:val="auto"/>
              </w:rPr>
            </w:pPr>
            <w:r>
              <w:rPr>
                <w:rFonts w:ascii="Arial" w:cs="Arial" w:eastAsia="Arial" w:hAnsi="Arial"/>
                <w:sz w:val="16"/>
                <w:szCs w:val="16"/>
                <w:b w:val="1"/>
                <w:bCs w:val="1"/>
                <w:color w:val="auto"/>
                <w:w w:val="92"/>
              </w:rPr>
              <w:t>Weighted-Average Grant-</w:t>
            </w:r>
          </w:p>
        </w:tc>
        <w:tc>
          <w:tcPr>
            <w:tcW w:w="0" w:type="dxa"/>
            <w:vAlign w:val="bottom"/>
          </w:tcPr>
          <w:p>
            <w:pPr>
              <w:spacing w:after="0"/>
              <w:rPr>
                <w:sz w:val="1"/>
                <w:szCs w:val="1"/>
                <w:color w:val="auto"/>
              </w:rPr>
            </w:pPr>
          </w:p>
        </w:tc>
      </w:tr>
      <w:tr>
        <w:trPr>
          <w:trHeight w:val="213"/>
        </w:trPr>
        <w:tc>
          <w:tcPr>
            <w:tcW w:w="6920" w:type="dxa"/>
            <w:vAlign w:val="bottom"/>
          </w:tcPr>
          <w:p>
            <w:pPr>
              <w:spacing w:after="0"/>
              <w:rPr>
                <w:sz w:val="18"/>
                <w:szCs w:val="18"/>
                <w:color w:val="auto"/>
              </w:rPr>
            </w:pPr>
          </w:p>
        </w:tc>
        <w:tc>
          <w:tcPr>
            <w:tcW w:w="2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center"/>
              <w:ind w:right="53"/>
              <w:spacing w:after="0"/>
              <w:rPr>
                <w:sz w:val="20"/>
                <w:szCs w:val="20"/>
                <w:color w:val="auto"/>
              </w:rPr>
            </w:pPr>
            <w:r>
              <w:rPr>
                <w:rFonts w:ascii="Arial" w:cs="Arial" w:eastAsia="Arial" w:hAnsi="Arial"/>
                <w:sz w:val="16"/>
                <w:szCs w:val="16"/>
                <w:b w:val="1"/>
                <w:bCs w:val="1"/>
                <w:color w:val="auto"/>
                <w:w w:val="94"/>
              </w:rPr>
              <w:t>Date Fair Value Per RSU</w:t>
            </w:r>
          </w:p>
        </w:tc>
        <w:tc>
          <w:tcPr>
            <w:tcW w:w="0" w:type="dxa"/>
            <w:vAlign w:val="bottom"/>
          </w:tcPr>
          <w:p>
            <w:pPr>
              <w:spacing w:after="0"/>
              <w:rPr>
                <w:sz w:val="1"/>
                <w:szCs w:val="1"/>
                <w:color w:val="auto"/>
              </w:rPr>
            </w:pPr>
          </w:p>
        </w:tc>
      </w:tr>
      <w:tr>
        <w:trPr>
          <w:trHeight w:val="226"/>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2022</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2,087,324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center"/>
              <w:ind w:left="1313"/>
              <w:spacing w:after="0"/>
              <w:rPr>
                <w:sz w:val="20"/>
                <w:szCs w:val="20"/>
                <w:color w:val="auto"/>
              </w:rPr>
            </w:pPr>
            <w:r>
              <w:rPr>
                <w:rFonts w:ascii="Arial" w:cs="Arial" w:eastAsia="Arial" w:hAnsi="Arial"/>
                <w:sz w:val="18"/>
                <w:szCs w:val="18"/>
                <w:color w:val="auto"/>
                <w:w w:val="88"/>
              </w:rPr>
              <w:t>20.40</w:t>
            </w:r>
          </w:p>
        </w:tc>
        <w:tc>
          <w:tcPr>
            <w:tcW w:w="0" w:type="dxa"/>
            <w:vAlign w:val="bottom"/>
          </w:tcPr>
          <w:p>
            <w:pPr>
              <w:spacing w:after="0"/>
              <w:rPr>
                <w:sz w:val="1"/>
                <w:szCs w:val="1"/>
                <w:color w:val="auto"/>
              </w:rPr>
            </w:pPr>
          </w:p>
        </w:tc>
      </w:tr>
      <w:tr>
        <w:trPr>
          <w:trHeight w:val="229"/>
        </w:trPr>
        <w:tc>
          <w:tcPr>
            <w:tcW w:w="6920" w:type="dxa"/>
            <w:vAlign w:val="bottom"/>
          </w:tcPr>
          <w:p>
            <w:pPr>
              <w:ind w:left="360"/>
              <w:spacing w:after="0"/>
              <w:rPr>
                <w:sz w:val="20"/>
                <w:szCs w:val="20"/>
                <w:color w:val="auto"/>
              </w:rPr>
            </w:pPr>
            <w:r>
              <w:rPr>
                <w:rFonts w:ascii="Arial" w:cs="Arial" w:eastAsia="Arial" w:hAnsi="Arial"/>
                <w:sz w:val="18"/>
                <w:szCs w:val="18"/>
                <w:color w:val="auto"/>
              </w:rPr>
              <w:t>Granted</w:t>
            </w:r>
          </w:p>
        </w:tc>
        <w:tc>
          <w:tcPr>
            <w:tcW w:w="2100" w:type="dxa"/>
            <w:vAlign w:val="bottom"/>
          </w:tcPr>
          <w:p>
            <w:pPr>
              <w:jc w:val="right"/>
              <w:spacing w:after="0"/>
              <w:rPr>
                <w:sz w:val="20"/>
                <w:szCs w:val="20"/>
                <w:color w:val="auto"/>
              </w:rPr>
            </w:pPr>
            <w:r>
              <w:rPr>
                <w:rFonts w:ascii="Arial" w:cs="Arial" w:eastAsia="Arial" w:hAnsi="Arial"/>
                <w:sz w:val="18"/>
                <w:szCs w:val="18"/>
                <w:color w:val="auto"/>
              </w:rPr>
              <w:t>16,429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center"/>
              <w:ind w:left="1313"/>
              <w:spacing w:after="0"/>
              <w:rPr>
                <w:sz w:val="20"/>
                <w:szCs w:val="20"/>
                <w:color w:val="auto"/>
              </w:rPr>
            </w:pPr>
            <w:r>
              <w:rPr>
                <w:rFonts w:ascii="Arial" w:cs="Arial" w:eastAsia="Arial" w:hAnsi="Arial"/>
                <w:sz w:val="18"/>
                <w:szCs w:val="18"/>
                <w:color w:val="auto"/>
                <w:w w:val="88"/>
              </w:rPr>
              <w:t>28.91</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center"/>
              <w:ind w:left="1293"/>
              <w:spacing w:after="0"/>
              <w:rPr>
                <w:sz w:val="20"/>
                <w:szCs w:val="20"/>
                <w:color w:val="auto"/>
              </w:rPr>
            </w:pPr>
            <w:r>
              <w:rPr>
                <w:rFonts w:ascii="Arial" w:cs="Arial" w:eastAsia="Arial" w:hAnsi="Arial"/>
                <w:sz w:val="18"/>
                <w:szCs w:val="18"/>
                <w:color w:val="auto"/>
                <w:w w:val="94"/>
              </w:rPr>
              <w:t>(18.49)</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(33,891)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center"/>
              <w:ind w:left="1293"/>
              <w:spacing w:after="0"/>
              <w:rPr>
                <w:sz w:val="20"/>
                <w:szCs w:val="20"/>
                <w:color w:val="auto"/>
              </w:rPr>
            </w:pPr>
            <w:r>
              <w:rPr>
                <w:rFonts w:ascii="Arial" w:cs="Arial" w:eastAsia="Arial" w:hAnsi="Arial"/>
                <w:sz w:val="18"/>
                <w:szCs w:val="18"/>
                <w:color w:val="auto"/>
                <w:w w:val="94"/>
              </w:rPr>
              <w:t>(21.91)</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2022</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1,472,164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center"/>
              <w:ind w:left="1313"/>
              <w:spacing w:after="0"/>
              <w:rPr>
                <w:sz w:val="20"/>
                <w:szCs w:val="20"/>
                <w:color w:val="auto"/>
              </w:rPr>
            </w:pPr>
            <w:r>
              <w:rPr>
                <w:rFonts w:ascii="Arial" w:cs="Arial" w:eastAsia="Arial" w:hAnsi="Arial"/>
                <w:sz w:val="18"/>
                <w:szCs w:val="18"/>
                <w:color w:val="auto"/>
                <w:w w:val="88"/>
              </w:rPr>
              <w:t>21.36</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Unvested Partnership Units</w:t>
      </w:r>
    </w:p>
    <w:p>
      <w:pPr>
        <w:spacing w:after="0" w:line="23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9"/>
          <w:szCs w:val="19"/>
          <w:color w:val="auto"/>
        </w:rPr>
        <w:t>All Class B2 units will automatically convert into Class B units upon final vesting in 2024 and unitholders will be entitled to purchase from the Company one share of Class B common stock for each Class B unit at its par value. Prior to vesting, holders of Class B2 units do not have the right to receive any distributions from the Partnership, other than tax-related distributions.</w:t>
      </w:r>
    </w:p>
    <w:p>
      <w:pPr>
        <w:spacing w:after="0" w:line="16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20"/>
          <w:szCs w:val="20"/>
          <w:color w:val="auto"/>
        </w:rPr>
        <w:t>As of September 30, 2022, there were 2,566,566 Class B2 units outstanding. During the six months ended September 30, 2022, none of the outstanding Class B2 units were forfeited. As of September 30, 2022, 1,048,014 Class B2 units were unvested and 1,518,552 Class B2 units were vested.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340" w:firstLine="648"/>
        <w:spacing w:after="0" w:line="274" w:lineRule="auto"/>
        <w:rPr>
          <w:sz w:val="20"/>
          <w:szCs w:val="20"/>
          <w:color w:val="auto"/>
        </w:rPr>
      </w:pPr>
      <w:r>
        <w:rPr>
          <w:rFonts w:ascii="Arial" w:cs="Arial" w:eastAsia="Arial" w:hAnsi="Arial"/>
          <w:sz w:val="20"/>
          <w:szCs w:val="20"/>
          <w:color w:val="auto"/>
        </w:rPr>
        <w:t>As of September 30, 2022, $33.2 million of unrecognized non-cash compensation expense in respect of RSUs and Class B2 units remained to be recognized over a weighted-average period of approximately 3.1 years.</w:t>
      </w:r>
    </w:p>
    <w:p>
      <w:pPr>
        <w:spacing w:after="0" w:line="15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6"/>
          <w:szCs w:val="16"/>
          <w:b w:val="1"/>
          <w:bCs w:val="1"/>
          <w:color w:val="auto"/>
        </w:rPr>
        <w:t>Income Taxes</w:t>
      </w:r>
    </w:p>
    <w:p>
      <w:pPr>
        <w:spacing w:after="0" w:line="235" w:lineRule="exact"/>
        <w:rPr>
          <w:sz w:val="20"/>
          <w:szCs w:val="20"/>
          <w:color w:val="auto"/>
        </w:rPr>
      </w:pPr>
    </w:p>
    <w:p>
      <w:pPr>
        <w:ind w:right="360" w:firstLine="648"/>
        <w:spacing w:after="0" w:line="278" w:lineRule="auto"/>
        <w:rPr>
          <w:sz w:val="20"/>
          <w:szCs w:val="20"/>
          <w:color w:val="auto"/>
        </w:rPr>
      </w:pPr>
      <w:r>
        <w:rPr>
          <w:rFonts w:ascii="Arial" w:cs="Arial" w:eastAsia="Arial" w:hAnsi="Arial"/>
          <w:sz w:val="18"/>
          <w:szCs w:val="18"/>
          <w:color w:val="auto"/>
        </w:rPr>
        <w:t>In connection with the exchanges of Class B units of the Partnership for Class A common stock by certain limited partners of the Partnership, the Company recorded an increase to deferred tax assets of $0.9 million, and a net increase in the valuation allowance of</w:t>
      </w:r>
    </w:p>
    <w:p>
      <w:pPr>
        <w:spacing w:after="0" w:line="284" w:lineRule="auto"/>
        <w:rPr>
          <w:sz w:val="20"/>
          <w:szCs w:val="20"/>
          <w:color w:val="auto"/>
        </w:rPr>
      </w:pPr>
      <w:r>
        <w:rPr>
          <w:rFonts w:ascii="Arial" w:cs="Arial" w:eastAsia="Arial" w:hAnsi="Arial"/>
          <w:sz w:val="18"/>
          <w:szCs w:val="18"/>
          <w:color w:val="auto"/>
        </w:rPr>
        <w:t>$0.5 million. Additionally, in connection with the exchange transactions, the Company recorded a corresponding Tax Receivable Agreements liability of $0.9 million, representing 85% of the incremental net cash tax savings for the Company due to the exchanging limited partners. The Company made no payments during the three months ended September 30, 2022 and 2021, and $4.8 million and $0.6 million during the six months ended September 30, 2022 and 2021, respectively, under the Tax Receivable Agreements. As of September 30, 2022, the Company’s total Tax Receivable Agreements liability was $194.8 million. See note 12 for more information.</w:t>
      </w:r>
    </w:p>
    <w:p>
      <w:pPr>
        <w:spacing w:after="0" w:line="172" w:lineRule="exact"/>
        <w:rPr>
          <w:sz w:val="20"/>
          <w:szCs w:val="20"/>
          <w:color w:val="auto"/>
        </w:rPr>
      </w:pPr>
    </w:p>
    <w:p>
      <w:pPr>
        <w:ind w:right="20" w:firstLine="648"/>
        <w:spacing w:after="0" w:line="267" w:lineRule="auto"/>
        <w:rPr>
          <w:sz w:val="20"/>
          <w:szCs w:val="20"/>
          <w:color w:val="auto"/>
        </w:rPr>
      </w:pPr>
      <w:r>
        <w:rPr>
          <w:rFonts w:ascii="Arial" w:cs="Arial" w:eastAsia="Arial" w:hAnsi="Arial"/>
          <w:sz w:val="19"/>
          <w:szCs w:val="19"/>
          <w:color w:val="auto"/>
        </w:rPr>
        <w:t>The Company’s effective tax rate was 10.0% and (12.4)% for the three months ended September 30, 2022 and 2021, respectively, and 6.5% and 0.1% for the six months ended September 30, 2022 and 2021, respectively. The Company’s overall effective tax rate in each of the periods described above is less than the statutory rate. The primary rate difference for the three and six months ended September 30, 2022 and 2021 relates to a portion of income that was allocated to non-controlling interests, as the tax liability on such income is borne by the holders of such non-controlling interests. Additionally, during the three and six months ended September 30, 2021, the Company recorded a benefit of $25.3 million, or 22.2% and 9.9%, respectively, related to the full release of the valuation allowance as a result of the deferred tax liability recorded in connection with the Greenspring acquisition.</w:t>
      </w:r>
    </w:p>
    <w:p>
      <w:pPr>
        <w:spacing w:after="0" w:line="175" w:lineRule="exact"/>
        <w:rPr>
          <w:sz w:val="20"/>
          <w:szCs w:val="20"/>
          <w:color w:val="auto"/>
        </w:rPr>
      </w:pPr>
    </w:p>
    <w:p>
      <w:pPr>
        <w:ind w:right="140" w:firstLine="648"/>
        <w:spacing w:after="0" w:line="274" w:lineRule="auto"/>
        <w:rPr>
          <w:sz w:val="20"/>
          <w:szCs w:val="20"/>
          <w:color w:val="auto"/>
        </w:rPr>
      </w:pPr>
      <w:r>
        <w:rPr>
          <w:rFonts w:ascii="Arial" w:cs="Arial" w:eastAsia="Arial" w:hAnsi="Arial"/>
          <w:sz w:val="20"/>
          <w:szCs w:val="20"/>
          <w:color w:val="auto"/>
        </w:rPr>
        <w:t>The Company evaluates the realizability of its deferred tax assets on a quarterly basis and adjusts the valuation allowance when it is more-likely-than-not that all or a portion of the deferred tax assets may not be realized.</w:t>
      </w:r>
    </w:p>
    <w:p>
      <w:pPr>
        <w:spacing w:after="0" w:line="163" w:lineRule="exact"/>
        <w:rPr>
          <w:sz w:val="20"/>
          <w:szCs w:val="20"/>
          <w:color w:val="auto"/>
        </w:rPr>
      </w:pPr>
    </w:p>
    <w:p>
      <w:pPr>
        <w:ind w:right="20" w:firstLine="648"/>
        <w:spacing w:after="0" w:line="274" w:lineRule="auto"/>
        <w:rPr>
          <w:sz w:val="20"/>
          <w:szCs w:val="20"/>
          <w:color w:val="auto"/>
        </w:rPr>
      </w:pPr>
      <w:r>
        <w:rPr>
          <w:rFonts w:ascii="Arial" w:cs="Arial" w:eastAsia="Arial" w:hAnsi="Arial"/>
          <w:sz w:val="20"/>
          <w:szCs w:val="20"/>
          <w:color w:val="auto"/>
        </w:rPr>
        <w:t>As of September 30, 2022, the Company has not recorded any unrecognized tax benefits and does not expect there to be any material changes to uncertain tax positions within the next 12 months.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6"/>
          <w:szCs w:val="16"/>
          <w:b w:val="1"/>
          <w:bCs w:val="1"/>
          <w:color w:val="auto"/>
        </w:rPr>
        <w:t>Earnings Per Share</w:t>
      </w:r>
    </w:p>
    <w:p>
      <w:pPr>
        <w:spacing w:after="0" w:line="235" w:lineRule="exact"/>
        <w:rPr>
          <w:sz w:val="20"/>
          <w:szCs w:val="20"/>
          <w:color w:val="auto"/>
        </w:rPr>
      </w:pPr>
    </w:p>
    <w:p>
      <w:pPr>
        <w:jc w:val="both"/>
        <w:ind w:right="100" w:firstLine="648"/>
        <w:spacing w:after="0" w:line="257" w:lineRule="auto"/>
        <w:rPr>
          <w:sz w:val="20"/>
          <w:szCs w:val="20"/>
          <w:color w:val="auto"/>
        </w:rPr>
      </w:pPr>
      <w:r>
        <w:rPr>
          <w:rFonts w:ascii="Arial" w:cs="Arial" w:eastAsia="Arial" w:hAnsi="Arial"/>
          <w:sz w:val="20"/>
          <w:szCs w:val="20"/>
          <w:color w:val="auto"/>
        </w:rPr>
        <w:t>Basic and diluted earnings per share of Class A common stock are presented for the three and six months ended September 30, 2022 and 2021. The following table sets forth reconciliations of the numerators and denominators used to compute basic and diluted earnings per share of Class A common stock:</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5"/>
          </w:tcPr>
          <w:p>
            <w:pPr>
              <w:ind w:left="40"/>
              <w:spacing w:after="0"/>
              <w:rPr>
                <w:sz w:val="20"/>
                <w:szCs w:val="20"/>
                <w:color w:val="auto"/>
              </w:rPr>
            </w:pPr>
            <w:r>
              <w:rPr>
                <w:rFonts w:ascii="Arial" w:cs="Arial" w:eastAsia="Arial" w:hAnsi="Arial"/>
                <w:sz w:val="18"/>
                <w:szCs w:val="18"/>
                <w:b w:val="1"/>
                <w:bCs w:val="1"/>
                <w:color w:val="auto"/>
                <w:w w:val="99"/>
              </w:rPr>
              <w:t>Three Months Ended September 30,</w:t>
            </w:r>
          </w:p>
        </w:tc>
        <w:tc>
          <w:tcPr>
            <w:tcW w:w="220" w:type="dxa"/>
            <w:vAlign w:val="bottom"/>
          </w:tcPr>
          <w:p>
            <w:pPr>
              <w:spacing w:after="0"/>
              <w:rPr>
                <w:sz w:val="20"/>
                <w:szCs w:val="20"/>
                <w:color w:val="auto"/>
              </w:rPr>
            </w:pPr>
          </w:p>
        </w:tc>
        <w:tc>
          <w:tcPr>
            <w:tcW w:w="29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2"/>
              </w:rPr>
              <w:t>Six Months Ended September 30,</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 except share and per share amounts)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Numerator:</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(loss) attributable to StepStone Group Inc. –</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103,724</w:t>
            </w:r>
          </w:p>
        </w:tc>
        <w:tc>
          <w:tcPr>
            <w:tcW w:w="0" w:type="dxa"/>
            <w:vAlign w:val="bottom"/>
          </w:tcPr>
          <w:p>
            <w:pPr>
              <w:spacing w:after="0"/>
              <w:rPr>
                <w:sz w:val="1"/>
                <w:szCs w:val="1"/>
                <w:color w:val="auto"/>
              </w:rPr>
            </w:pPr>
          </w:p>
        </w:tc>
      </w:tr>
      <w:tr>
        <w:trPr>
          <w:trHeight w:val="230"/>
        </w:trPr>
        <w:tc>
          <w:tcPr>
            <w:tcW w:w="4760" w:type="dxa"/>
            <w:vAlign w:val="bottom"/>
          </w:tcPr>
          <w:p>
            <w:pPr>
              <w:ind w:left="460"/>
              <w:spacing w:after="0"/>
              <w:rPr>
                <w:sz w:val="20"/>
                <w:szCs w:val="20"/>
                <w:color w:val="auto"/>
              </w:rPr>
            </w:pPr>
            <w:r>
              <w:rPr>
                <w:rFonts w:ascii="Arial" w:cs="Arial" w:eastAsia="Arial" w:hAnsi="Arial"/>
                <w:sz w:val="18"/>
                <w:szCs w:val="18"/>
                <w:color w:val="auto"/>
              </w:rPr>
              <w:t>Incremental income from assumed vesting of RSUs</w:t>
            </w:r>
          </w:p>
        </w:tc>
        <w:tc>
          <w:tcPr>
            <w:tcW w:w="1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188"/>
        </w:trPr>
        <w:tc>
          <w:tcPr>
            <w:tcW w:w="4760" w:type="dxa"/>
            <w:vAlign w:val="bottom"/>
            <w:shd w:val="clear" w:color="auto" w:fill="CCEEFF"/>
          </w:tcPr>
          <w:p>
            <w:pPr>
              <w:ind w:left="460"/>
              <w:spacing w:after="0" w:line="189" w:lineRule="exact"/>
              <w:rPr>
                <w:sz w:val="20"/>
                <w:szCs w:val="20"/>
                <w:color w:val="auto"/>
              </w:rPr>
            </w:pPr>
            <w:r>
              <w:rPr>
                <w:rFonts w:ascii="Arial" w:cs="Arial" w:eastAsia="Arial" w:hAnsi="Arial"/>
                <w:sz w:val="18"/>
                <w:szCs w:val="18"/>
                <w:color w:val="auto"/>
                <w:w w:val="89"/>
              </w:rPr>
              <w:t>Incremental income from assumed vesting and exchange of</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Class B2 units</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0" w:type="dxa"/>
            <w:vAlign w:val="bottom"/>
          </w:tcPr>
          <w:p>
            <w:pPr>
              <w:spacing w:after="0"/>
              <w:rPr>
                <w:sz w:val="1"/>
                <w:szCs w:val="1"/>
                <w:color w:val="auto"/>
              </w:rPr>
            </w:pPr>
          </w:p>
        </w:tc>
      </w:tr>
      <w:tr>
        <w:trPr>
          <w:trHeight w:val="209"/>
        </w:trPr>
        <w:tc>
          <w:tcPr>
            <w:tcW w:w="4760" w:type="dxa"/>
            <w:vAlign w:val="bottom"/>
          </w:tcPr>
          <w:p>
            <w:pPr>
              <w:ind w:left="240"/>
              <w:spacing w:after="0"/>
              <w:rPr>
                <w:sz w:val="20"/>
                <w:szCs w:val="20"/>
                <w:color w:val="auto"/>
              </w:rPr>
            </w:pPr>
            <w:r>
              <w:rPr>
                <w:rFonts w:ascii="Arial" w:cs="Arial" w:eastAsia="Arial" w:hAnsi="Arial"/>
                <w:sz w:val="18"/>
                <w:szCs w:val="18"/>
                <w:color w:val="auto"/>
              </w:rPr>
              <w:t>Net income (loss) attributable to StepStone Group Inc. –</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(29,221)</w:t>
            </w:r>
          </w:p>
        </w:tc>
        <w:tc>
          <w:tcPr>
            <w:tcW w:w="8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66,623</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(40,261)</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111,040</w:t>
            </w:r>
          </w:p>
        </w:tc>
        <w:tc>
          <w:tcPr>
            <w:tcW w:w="0" w:type="dxa"/>
            <w:vAlign w:val="bottom"/>
          </w:tcPr>
          <w:p>
            <w:pPr>
              <w:spacing w:after="0"/>
              <w:rPr>
                <w:sz w:val="1"/>
                <w:szCs w:val="1"/>
                <w:color w:val="auto"/>
              </w:rPr>
            </w:pPr>
          </w:p>
        </w:tc>
      </w:tr>
      <w:tr>
        <w:trPr>
          <w:trHeight w:val="222"/>
        </w:trPr>
        <w:tc>
          <w:tcPr>
            <w:tcW w:w="4760" w:type="dxa"/>
            <w:vAlign w:val="bottom"/>
          </w:tcPr>
          <w:p>
            <w:pPr>
              <w:ind w:left="46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Weighted-average shares of Class A common stock</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outstanding – Basic</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61,407,834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41,745,492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61,276,707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40,401,379</w:t>
            </w:r>
          </w:p>
        </w:tc>
        <w:tc>
          <w:tcPr>
            <w:tcW w:w="0" w:type="dxa"/>
            <w:vAlign w:val="bottom"/>
          </w:tcPr>
          <w:p>
            <w:pPr>
              <w:spacing w:after="0"/>
              <w:rPr>
                <w:sz w:val="1"/>
                <w:szCs w:val="1"/>
                <w:color w:val="auto"/>
              </w:rPr>
            </w:pPr>
          </w:p>
        </w:tc>
      </w:tr>
      <w:tr>
        <w:trPr>
          <w:trHeight w:val="230"/>
        </w:trPr>
        <w:tc>
          <w:tcPr>
            <w:tcW w:w="4760" w:type="dxa"/>
            <w:vAlign w:val="bottom"/>
          </w:tcPr>
          <w:p>
            <w:pPr>
              <w:ind w:left="460"/>
              <w:spacing w:after="0"/>
              <w:rPr>
                <w:sz w:val="20"/>
                <w:szCs w:val="20"/>
                <w:color w:val="auto"/>
              </w:rPr>
            </w:pPr>
            <w:r>
              <w:rPr>
                <w:rFonts w:ascii="Arial" w:cs="Arial" w:eastAsia="Arial" w:hAnsi="Arial"/>
                <w:sz w:val="18"/>
                <w:szCs w:val="18"/>
                <w:color w:val="auto"/>
              </w:rPr>
              <w:t>Assumed vesting of RSUs</w:t>
            </w:r>
          </w:p>
        </w:tc>
        <w:tc>
          <w:tcPr>
            <w:tcW w:w="1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1,691,661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1,523,631</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Assumed vesting and exchange of Class B2 units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2,471,208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2,480,045</w:t>
            </w:r>
          </w:p>
        </w:tc>
        <w:tc>
          <w:tcPr>
            <w:tcW w:w="0" w:type="dxa"/>
            <w:vAlign w:val="bottom"/>
          </w:tcPr>
          <w:p>
            <w:pPr>
              <w:spacing w:after="0"/>
              <w:rPr>
                <w:sz w:val="1"/>
                <w:szCs w:val="1"/>
                <w:color w:val="auto"/>
              </w:rPr>
            </w:pPr>
          </w:p>
        </w:tc>
      </w:tr>
      <w:tr>
        <w:trPr>
          <w:trHeight w:val="209"/>
        </w:trPr>
        <w:tc>
          <w:tcPr>
            <w:tcW w:w="4760" w:type="dxa"/>
            <w:vAlign w:val="bottom"/>
          </w:tcPr>
          <w:p>
            <w:pPr>
              <w:ind w:left="240"/>
              <w:spacing w:after="0"/>
              <w:rPr>
                <w:sz w:val="20"/>
                <w:szCs w:val="20"/>
                <w:color w:val="auto"/>
              </w:rPr>
            </w:pPr>
            <w:r>
              <w:rPr>
                <w:rFonts w:ascii="Arial" w:cs="Arial" w:eastAsia="Arial" w:hAnsi="Arial"/>
                <w:sz w:val="18"/>
                <w:szCs w:val="18"/>
                <w:color w:val="auto"/>
              </w:rPr>
              <w:t>Weighted-average shares of Class A common stock</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61,407,834</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45,908,361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61,276,707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44,405,055</w:t>
            </w:r>
          </w:p>
        </w:tc>
        <w:tc>
          <w:tcPr>
            <w:tcW w:w="0" w:type="dxa"/>
            <w:vAlign w:val="bottom"/>
          </w:tcPr>
          <w:p>
            <w:pPr>
              <w:spacing w:after="0"/>
              <w:rPr>
                <w:sz w:val="1"/>
                <w:szCs w:val="1"/>
                <w:color w:val="auto"/>
              </w:rPr>
            </w:pPr>
          </w:p>
        </w:tc>
      </w:tr>
      <w:tr>
        <w:trPr>
          <w:trHeight w:val="217"/>
        </w:trPr>
        <w:tc>
          <w:tcPr>
            <w:tcW w:w="4760" w:type="dxa"/>
            <w:vAlign w:val="bottom"/>
          </w:tcPr>
          <w:p>
            <w:pPr>
              <w:ind w:left="460"/>
              <w:spacing w:after="0"/>
              <w:rPr>
                <w:sz w:val="20"/>
                <w:szCs w:val="20"/>
                <w:color w:val="auto"/>
              </w:rPr>
            </w:pPr>
            <w:r>
              <w:rPr>
                <w:rFonts w:ascii="Arial" w:cs="Arial" w:eastAsia="Arial" w:hAnsi="Arial"/>
                <w:sz w:val="18"/>
                <w:szCs w:val="18"/>
                <w:color w:val="auto"/>
              </w:rPr>
              <w:t>outstanding – Diluted</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Net income (loss) per share of Class A common stock:</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4760" w:type="dxa"/>
            <w:vAlign w:val="bottom"/>
          </w:tcPr>
          <w:p>
            <w:pPr>
              <w:ind w:left="24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(0.48)</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360" w:firstLine="648"/>
        <w:spacing w:after="0" w:line="299" w:lineRule="auto"/>
        <w:rPr>
          <w:sz w:val="20"/>
          <w:szCs w:val="20"/>
          <w:color w:val="auto"/>
        </w:rPr>
      </w:pPr>
      <w:r>
        <w:rPr>
          <w:rFonts w:ascii="Arial" w:cs="Arial" w:eastAsia="Arial" w:hAnsi="Arial"/>
          <w:sz w:val="18"/>
          <w:szCs w:val="18"/>
          <w:color w:val="auto"/>
        </w:rPr>
        <w:t>Diluted earnings per share of Class A common stock is computed by dividing net income (loss) attributable to SSG, giving consideration to the reallocation of net income between holders of Class A common stock and non-controlling interests, by the weighted-average number of shares of Class A common stock outstanding adjusted to give effect to potentially dilutive securities, if any.</w:t>
      </w:r>
    </w:p>
    <w:p>
      <w:pPr>
        <w:spacing w:after="0" w:line="158" w:lineRule="exact"/>
        <w:rPr>
          <w:sz w:val="20"/>
          <w:szCs w:val="20"/>
          <w:color w:val="auto"/>
        </w:rPr>
      </w:pPr>
    </w:p>
    <w:p>
      <w:pPr>
        <w:ind w:right="220" w:firstLine="648"/>
        <w:spacing w:after="0" w:line="257" w:lineRule="auto"/>
        <w:rPr>
          <w:sz w:val="20"/>
          <w:szCs w:val="20"/>
          <w:color w:val="auto"/>
        </w:rPr>
      </w:pPr>
      <w:r>
        <w:rPr>
          <w:rFonts w:ascii="Arial" w:cs="Arial" w:eastAsia="Arial" w:hAnsi="Arial"/>
          <w:sz w:val="20"/>
          <w:szCs w:val="20"/>
          <w:color w:val="auto"/>
        </w:rPr>
        <w:t>Shares of the Company’s Class B common stock do not share in the earnings or losses attributable to SSG and therefore are not participating securities. As a result, a separate presentation of basic and diluted earnings per share of Class B common stock under the two-class method has not been included.</w:t>
      </w:r>
    </w:p>
    <w:p>
      <w:pPr>
        <w:spacing w:after="0" w:line="193" w:lineRule="exact"/>
        <w:rPr>
          <w:sz w:val="20"/>
          <w:szCs w:val="20"/>
          <w:color w:val="auto"/>
        </w:rPr>
      </w:pPr>
    </w:p>
    <w:p>
      <w:pPr>
        <w:ind w:right="460" w:firstLine="648"/>
        <w:spacing w:after="0" w:line="251" w:lineRule="auto"/>
        <w:rPr>
          <w:sz w:val="20"/>
          <w:szCs w:val="20"/>
          <w:color w:val="auto"/>
        </w:rPr>
      </w:pPr>
      <w:r>
        <w:rPr>
          <w:rFonts w:ascii="Arial" w:cs="Arial" w:eastAsia="Arial" w:hAnsi="Arial"/>
          <w:sz w:val="20"/>
          <w:szCs w:val="20"/>
          <w:color w:val="auto"/>
        </w:rPr>
        <w:t>The calculation of diluted earnings per share excludes 46,716,897 Class B units and 2,928,824 Class C units of the Partnership outstanding as of September 30, 2022, and 52,393,112 Class B units and 3,071,519 Class C units of the Partnership outstanding as of September 30, 2021, which are exchangeable into Class A common stock under the if-converted method, as the inclusion of such shares would be anti-dilutive.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300" w:firstLine="648"/>
        <w:spacing w:after="0" w:line="255" w:lineRule="auto"/>
        <w:rPr>
          <w:sz w:val="20"/>
          <w:szCs w:val="20"/>
          <w:color w:val="auto"/>
        </w:rPr>
      </w:pPr>
      <w:r>
        <w:rPr>
          <w:rFonts w:ascii="Arial" w:cs="Arial" w:eastAsia="Arial" w:hAnsi="Arial"/>
          <w:sz w:val="20"/>
          <w:szCs w:val="20"/>
          <w:color w:val="auto"/>
        </w:rPr>
        <w:t>The calculation of diluted earnings per share for the three and six months ended September 30, 2022 excludes 1,472,164 shares of Class A common stock, 2,566,566 Class B2 units and 23,418 Class B units issuable pursuant to anti-dilution rights in connection with the vesting of Class B2 units that are convertible into Class A common stock under the if-converted method, as the inclusion of such shares would be anti-dilutive.</w:t>
      </w:r>
    </w:p>
    <w:p>
      <w:pPr>
        <w:spacing w:after="0" w:line="17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6"/>
          <w:szCs w:val="16"/>
          <w:b w:val="1"/>
          <w:bCs w:val="1"/>
          <w:color w:val="auto"/>
        </w:rPr>
        <w:t>Related Party Transactions</w:t>
      </w:r>
    </w:p>
    <w:p>
      <w:pPr>
        <w:spacing w:after="0" w:line="235" w:lineRule="exact"/>
        <w:rPr>
          <w:sz w:val="20"/>
          <w:szCs w:val="20"/>
          <w:color w:val="auto"/>
        </w:rPr>
      </w:pPr>
    </w:p>
    <w:p>
      <w:pPr>
        <w:jc w:val="both"/>
        <w:ind w:right="100" w:firstLine="648"/>
        <w:spacing w:after="0" w:line="314" w:lineRule="auto"/>
        <w:rPr>
          <w:sz w:val="20"/>
          <w:szCs w:val="20"/>
          <w:color w:val="auto"/>
        </w:rPr>
      </w:pPr>
      <w:r>
        <w:rPr>
          <w:rFonts w:ascii="Arial" w:cs="Arial" w:eastAsia="Arial" w:hAnsi="Arial"/>
          <w:sz w:val="16"/>
          <w:szCs w:val="16"/>
          <w:color w:val="auto"/>
        </w:rPr>
        <w:t>The Company considers its senior executives, employees and equity method investments to be related parties. A substantial portion of the Company’s management and advisory fees and carried interest allocations is earned from various StepStone Funds that are considered equity method investments. The Company earned net management and advisory fees from the StepStone Funds of $78.1 million and</w:t>
      </w:r>
    </w:p>
    <w:p>
      <w:pPr>
        <w:spacing w:after="0" w:line="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$51.0 million for the three months ended September 30, 2022 and 2021, respectively, and $157.5 million and $96.9 million for the six months ended September 30, 2022 and 2021, respectively. Carried interest allocation revenues earned from the StepStone Funds totaled $(154.3) million and $196.4 million for the three months ended September 30, 2022 and 2021, respectively, and $(194.7) million and $422.7 million for the six months ended September 30, 2022 and 2021, respectively. Legacy Greenspring carried interest allocation revenues earned from certain legacy Greenspring funds for which the Company has no direct economic interests totaled $(128.7) million and $(282.3) million for the three and six months ended September 30, 2022, respectively, and $0 million for both the three and six months ended September 30,</w:t>
      </w:r>
    </w:p>
    <w:p>
      <w:pPr>
        <w:spacing w:after="0" w:line="3" w:lineRule="exact"/>
        <w:rPr>
          <w:sz w:val="20"/>
          <w:szCs w:val="20"/>
          <w:color w:val="auto"/>
        </w:rPr>
      </w:pPr>
    </w:p>
    <w:p>
      <w:pPr>
        <w:ind w:right="220"/>
        <w:spacing w:after="0" w:line="382" w:lineRule="auto"/>
        <w:rPr>
          <w:sz w:val="20"/>
          <w:szCs w:val="20"/>
          <w:color w:val="auto"/>
        </w:rPr>
      </w:pPr>
      <w:r>
        <w:rPr>
          <w:rFonts w:ascii="Arial" w:cs="Arial" w:eastAsia="Arial" w:hAnsi="Arial"/>
          <w:sz w:val="16"/>
          <w:szCs w:val="16"/>
          <w:color w:val="auto"/>
        </w:rPr>
        <w:t>2021. The three and six months ended September 30, 2021 reflect the net effect of gross realized carried interest allocations of $3.0 million and the reversal of such amounts in unrealized carried interest allocations for the period from September 20, 2021 to September 30, 2021.</w:t>
      </w:r>
    </w:p>
    <w:p>
      <w:pPr>
        <w:spacing w:after="0" w:line="100"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Due from affiliates in the condensed consolidated balance sheets consists primarily of fees and accounts receivable from the</w:t>
      </w:r>
    </w:p>
    <w:p>
      <w:pPr>
        <w:spacing w:after="0" w:line="16" w:lineRule="exact"/>
        <w:rPr>
          <w:sz w:val="20"/>
          <w:szCs w:val="20"/>
          <w:color w:val="auto"/>
        </w:rPr>
      </w:pPr>
    </w:p>
    <w:p>
      <w:pPr>
        <w:ind w:right="100"/>
        <w:spacing w:after="0" w:line="284" w:lineRule="auto"/>
        <w:rPr>
          <w:sz w:val="20"/>
          <w:szCs w:val="20"/>
          <w:color w:val="auto"/>
        </w:rPr>
      </w:pPr>
      <w:r>
        <w:rPr>
          <w:rFonts w:ascii="Arial" w:cs="Arial" w:eastAsia="Arial" w:hAnsi="Arial"/>
          <w:sz w:val="19"/>
          <w:szCs w:val="19"/>
          <w:color w:val="auto"/>
        </w:rPr>
        <w:t>StepStone Funds, advances made on behalf of the StepStone Funds for the payment of certain organization and operating costs and expenses for which the Company is subsequently reimbursed, and amounts due from employees, as set forth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6"/>
                <w:szCs w:val="16"/>
                <w:b w:val="1"/>
                <w:bCs w:val="1"/>
                <w:color w:val="auto"/>
                <w:w w:val="94"/>
              </w:rPr>
              <w:t>March 31, 2022</w:t>
            </w:r>
          </w:p>
        </w:tc>
      </w:tr>
      <w:tr>
        <w:trPr>
          <w:trHeight w:val="22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receivable from StepStone Funds</w:t>
            </w: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12,503</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19,027</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Amounts receivable from employees</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r>
      <w:tr>
        <w:trPr>
          <w:trHeight w:val="248"/>
        </w:trPr>
        <w:tc>
          <w:tcPr>
            <w:tcW w:w="8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due from affiliates</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380" w:firstLine="648"/>
        <w:spacing w:after="0" w:line="257" w:lineRule="auto"/>
        <w:rPr>
          <w:sz w:val="20"/>
          <w:szCs w:val="20"/>
          <w:color w:val="auto"/>
        </w:rPr>
      </w:pPr>
      <w:r>
        <w:rPr>
          <w:rFonts w:ascii="Arial" w:cs="Arial" w:eastAsia="Arial" w:hAnsi="Arial"/>
          <w:sz w:val="20"/>
          <w:szCs w:val="20"/>
          <w:color w:val="auto"/>
        </w:rPr>
        <w:t>Due to affiliates in the condensed consolidated balance sheets consists primarily of amounts payable to certain non-controlling interest holders in connection with the Tax Receivable Agreements, amounts payable to the StepStone Funds and distributions payable to certain employee equity holders of consolidated subsidiaries, as set forth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6"/>
                <w:szCs w:val="16"/>
                <w:b w:val="1"/>
                <w:bCs w:val="1"/>
                <w:color w:val="auto"/>
                <w:w w:val="94"/>
              </w:rPr>
              <w:t>March 31, 2022</w:t>
            </w:r>
          </w:p>
        </w:tc>
      </w:tr>
      <w:tr>
        <w:trPr>
          <w:trHeight w:val="22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payable to non-controlling interest holders in connection with Tax Receivable Agreements</w:t>
            </w: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194,792</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197,204</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Amounts payable to StepStone Funds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payable to certain employee equity holders of consolidated subsidiaries</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r>
      <w:tr>
        <w:trPr>
          <w:trHeight w:val="223"/>
        </w:trPr>
        <w:tc>
          <w:tcPr>
            <w:tcW w:w="8140" w:type="dxa"/>
            <w:vAlign w:val="bottom"/>
          </w:tcPr>
          <w:p>
            <w:pPr>
              <w:ind w:left="400"/>
              <w:spacing w:after="0"/>
              <w:rPr>
                <w:sz w:val="20"/>
                <w:szCs w:val="20"/>
                <w:color w:val="auto"/>
              </w:rPr>
            </w:pPr>
            <w:r>
              <w:rPr>
                <w:rFonts w:ascii="Arial" w:cs="Arial" w:eastAsia="Arial" w:hAnsi="Arial"/>
                <w:sz w:val="18"/>
                <w:szCs w:val="18"/>
                <w:color w:val="auto"/>
              </w:rPr>
              <w:t>Total due to affiliates</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196,410</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199,355</w:t>
            </w:r>
          </w:p>
        </w:tc>
      </w:tr>
      <w:tr>
        <w:trPr>
          <w:trHeight w:val="21"/>
        </w:trPr>
        <w:tc>
          <w:tcPr>
            <w:tcW w:w="8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60" w:firstLine="648"/>
        <w:spacing w:after="0" w:line="274" w:lineRule="auto"/>
        <w:rPr>
          <w:sz w:val="20"/>
          <w:szCs w:val="20"/>
          <w:color w:val="auto"/>
        </w:rPr>
      </w:pPr>
      <w:r>
        <w:rPr>
          <w:rFonts w:ascii="Arial" w:cs="Arial" w:eastAsia="Arial" w:hAnsi="Arial"/>
          <w:sz w:val="20"/>
          <w:szCs w:val="20"/>
          <w:color w:val="auto"/>
        </w:rPr>
        <w:t>The Company made no payments during the three months ended September 30, 2022 and 2021 and $4.8 million and $0.6 million for the six months ended September 30, 2022 and 2021, respectively, under the Tax Receivable Agreements.</w:t>
      </w:r>
    </w:p>
    <w:p>
      <w:pPr>
        <w:spacing w:after="0" w:line="15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6"/>
          <w:szCs w:val="16"/>
          <w:b w:val="1"/>
          <w:bCs w:val="1"/>
          <w:color w:val="auto"/>
        </w:rPr>
        <w:t>Stockholders’ Equity</w:t>
      </w:r>
    </w:p>
    <w:p>
      <w:pPr>
        <w:spacing w:after="0" w:line="235" w:lineRule="exact"/>
        <w:rPr>
          <w:sz w:val="20"/>
          <w:szCs w:val="20"/>
          <w:color w:val="auto"/>
        </w:rPr>
      </w:pPr>
    </w:p>
    <w:p>
      <w:pPr>
        <w:ind w:right="60" w:firstLine="648"/>
        <w:spacing w:after="0" w:line="293" w:lineRule="auto"/>
        <w:rPr>
          <w:sz w:val="20"/>
          <w:szCs w:val="20"/>
          <w:color w:val="auto"/>
        </w:rPr>
      </w:pPr>
      <w:r>
        <w:rPr>
          <w:rFonts w:ascii="Arial" w:cs="Arial" w:eastAsia="Arial" w:hAnsi="Arial"/>
          <w:sz w:val="18"/>
          <w:szCs w:val="18"/>
          <w:color w:val="auto"/>
        </w:rPr>
        <w:t>The Company has two classes of common stock outstanding, Class A common stock and Class B common stock. Holders of Class A common stock and Class B common stock generally vote together as a single class on all matters presented to the Company’s stockholders for their vote or approval. Holders of Class A common stock are entitled to receive dividends when and if declared by the board of directors. Holders of the Class B common stock are not entitled to dividends in respect of their shares of Class B common stock.</w:t>
      </w:r>
    </w:p>
    <w:p>
      <w:pPr>
        <w:spacing w:after="0" w:line="150" w:lineRule="exact"/>
        <w:rPr>
          <w:sz w:val="20"/>
          <w:szCs w:val="20"/>
          <w:color w:val="auto"/>
        </w:rPr>
      </w:pPr>
    </w:p>
    <w:p>
      <w:pPr>
        <w:ind w:right="20" w:firstLine="648"/>
        <w:spacing w:after="0" w:line="252" w:lineRule="auto"/>
        <w:rPr>
          <w:sz w:val="20"/>
          <w:szCs w:val="20"/>
          <w:color w:val="auto"/>
        </w:rPr>
      </w:pPr>
      <w:r>
        <w:rPr>
          <w:rFonts w:ascii="Arial" w:cs="Arial" w:eastAsia="Arial" w:hAnsi="Arial"/>
          <w:sz w:val="20"/>
          <w:szCs w:val="20"/>
          <w:color w:val="auto"/>
        </w:rPr>
        <w:t>In connection with the Greenspring acquisition, the limited partnership agreement of the Partnership was amended to create new Class C limited partnership interests and to admit the new limited partners that received Class C units as consideration for the Greenspring acquisition. The Class C limited partnership interests of the Partnership have substantially the same rights and obligations as are applicable to the existing holders of Class B units of the Partnership. The Company has no ownership interest in the Class C units, which are held by certain employees of the Company. The Company has also entered into an agreement with the Class C limited partners of the Partnership to allow for the exchange of Class C units to shares of Class A common stock of the Company on a one-for-one basis, subject to certain restrictions.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shows a rollforward of the Company’s shares of common stock outstanding since March 31, 2022:</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b w:val="1"/>
                <w:bCs w:val="1"/>
                <w:color w:val="auto"/>
              </w:rPr>
              <w:t>Class A Common Stock</w:t>
            </w:r>
          </w:p>
        </w:tc>
        <w:tc>
          <w:tcPr>
            <w:tcW w:w="2420" w:type="dxa"/>
            <w:vAlign w:val="bottom"/>
          </w:tcPr>
          <w:p>
            <w:pPr>
              <w:jc w:val="right"/>
              <w:ind w:right="210"/>
              <w:spacing w:after="0"/>
              <w:rPr>
                <w:sz w:val="20"/>
                <w:szCs w:val="20"/>
                <w:color w:val="auto"/>
              </w:rPr>
            </w:pPr>
            <w:r>
              <w:rPr>
                <w:rFonts w:ascii="Arial" w:cs="Arial" w:eastAsia="Arial" w:hAnsi="Arial"/>
                <w:sz w:val="18"/>
                <w:szCs w:val="18"/>
                <w:b w:val="1"/>
                <w:bCs w:val="1"/>
                <w:color w:val="auto"/>
              </w:rPr>
              <w:t>Class B Common Stock</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2022</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61,141,306</w:t>
            </w:r>
          </w:p>
        </w:tc>
        <w:tc>
          <w:tcPr>
            <w:tcW w:w="14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47,149,673</w:t>
            </w: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Class A common stock issued in exchange for Class B partnership units</w:t>
            </w:r>
          </w:p>
        </w:tc>
        <w:tc>
          <w:tcPr>
            <w:tcW w:w="2400" w:type="dxa"/>
            <w:vAlign w:val="bottom"/>
          </w:tcPr>
          <w:p>
            <w:pPr>
              <w:jc w:val="right"/>
              <w:spacing w:after="0"/>
              <w:rPr>
                <w:sz w:val="20"/>
                <w:szCs w:val="20"/>
                <w:color w:val="auto"/>
              </w:rPr>
            </w:pPr>
            <w:r>
              <w:rPr>
                <w:rFonts w:ascii="Arial" w:cs="Arial" w:eastAsia="Arial" w:hAnsi="Arial"/>
                <w:sz w:val="18"/>
                <w:szCs w:val="18"/>
                <w:color w:val="auto"/>
              </w:rPr>
              <w:t>432,776</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(432,776)</w:t>
            </w:r>
          </w:p>
        </w:tc>
      </w:tr>
      <w:tr>
        <w:trPr>
          <w:trHeight w:val="175"/>
        </w:trPr>
        <w:tc>
          <w:tcPr>
            <w:tcW w:w="62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8"/>
              </w:rPr>
              <w:t>Class A common stock issued for vesting of RSUs, net of shares withheld for</w:t>
            </w:r>
          </w:p>
        </w:tc>
        <w:tc>
          <w:tcPr>
            <w:tcW w:w="2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243"/>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employee taxes</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487,345</w:t>
            </w:r>
          </w:p>
        </w:tc>
        <w:tc>
          <w:tcPr>
            <w:tcW w:w="140" w:type="dxa"/>
            <w:vAlign w:val="bottom"/>
            <w:shd w:val="clear" w:color="auto" w:fill="CCEEFF"/>
          </w:tcPr>
          <w:p>
            <w:pPr>
              <w:spacing w:after="0"/>
              <w:rPr>
                <w:sz w:val="21"/>
                <w:szCs w:val="21"/>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September 30, 2022</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62,061,427</w:t>
            </w:r>
          </w:p>
        </w:tc>
        <w:tc>
          <w:tcPr>
            <w:tcW w:w="140" w:type="dxa"/>
            <w:vAlign w:val="bottom"/>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46,716,897</w:t>
            </w:r>
          </w:p>
        </w:tc>
      </w:tr>
      <w:tr>
        <w:trPr>
          <w:trHeight w:val="20"/>
        </w:trPr>
        <w:tc>
          <w:tcPr>
            <w:tcW w:w="628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The Company has 25,000,000 authorized shares of preferred stock, par value of $0.001 per share, and as of September 30, 2022, no shares of preferred stock were issued or outstanding.</w:t>
      </w:r>
    </w:p>
    <w:p>
      <w:pPr>
        <w:spacing w:after="0" w:line="190" w:lineRule="exact"/>
        <w:rPr>
          <w:sz w:val="20"/>
          <w:szCs w:val="20"/>
          <w:color w:val="auto"/>
        </w:rPr>
      </w:pPr>
    </w:p>
    <w:p>
      <w:pPr>
        <w:ind w:right="60" w:firstLine="648"/>
        <w:spacing w:after="0" w:line="252" w:lineRule="auto"/>
        <w:rPr>
          <w:sz w:val="20"/>
          <w:szCs w:val="20"/>
          <w:color w:val="auto"/>
        </w:rPr>
      </w:pPr>
      <w:r>
        <w:rPr>
          <w:rFonts w:ascii="Arial" w:cs="Arial" w:eastAsia="Arial" w:hAnsi="Arial"/>
          <w:sz w:val="20"/>
          <w:szCs w:val="20"/>
          <w:color w:val="auto"/>
        </w:rPr>
        <w:t>In September 2022, the Company issued 175,000 shares of Class A common stock to certain limited partners of the Partnership in exchange for 175,000 Class B units in accordance with the elective exchange notices submitted pursuant to an agreement with the Class B limited partners (the “Class B Exchange Agreement”) to allow for exchange of Class B units of the Partnership to shares of Class A common stock of the Company on a one-for-one basis, subject to certain restrictions. A corresponding number of shares of Class B common stock were automatically redeemed at par value and canceled in connection with such exchange and a corresponding number of Class A units of the Partnership were issued to the Company.</w:t>
      </w:r>
    </w:p>
    <w:p>
      <w:pPr>
        <w:spacing w:after="0" w:line="185" w:lineRule="exact"/>
        <w:rPr>
          <w:sz w:val="20"/>
          <w:szCs w:val="20"/>
          <w:color w:val="auto"/>
        </w:rPr>
      </w:pPr>
    </w:p>
    <w:p>
      <w:pPr>
        <w:ind w:right="780" w:firstLine="648"/>
        <w:spacing w:after="0" w:line="339" w:lineRule="auto"/>
        <w:rPr>
          <w:sz w:val="20"/>
          <w:szCs w:val="20"/>
          <w:color w:val="auto"/>
        </w:rPr>
      </w:pPr>
      <w:r>
        <w:rPr>
          <w:rFonts w:ascii="Arial" w:cs="Arial" w:eastAsia="Arial" w:hAnsi="Arial"/>
          <w:sz w:val="16"/>
          <w:szCs w:val="16"/>
          <w:color w:val="auto"/>
        </w:rPr>
        <w:t>In June 2022, the Company issued 257,776 shares of Class A common stock to certain limited partners of the Partnership in exchange for 257,776 Class B units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the Company.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jc w:val="both"/>
        <w:ind w:right="480" w:firstLine="648"/>
        <w:spacing w:after="0" w:line="277" w:lineRule="auto"/>
        <w:rPr>
          <w:sz w:val="20"/>
          <w:szCs w:val="20"/>
          <w:color w:val="auto"/>
        </w:rPr>
      </w:pPr>
      <w:r>
        <w:rPr>
          <w:rFonts w:ascii="Arial" w:cs="Arial" w:eastAsia="Arial" w:hAnsi="Arial"/>
          <w:sz w:val="19"/>
          <w:szCs w:val="19"/>
          <w:color w:val="auto"/>
        </w:rPr>
        <w:t>The reallocation adjustment between SSG stockholders’ equity, non-controlling interests in the Partnership and non-controlling interests in subsidiaries relates to the impact of changes in economic ownership percentages during the period and adjusting previously recorded equity transactions to the economic ownership percentage as of the end of each reporting period.</w:t>
      </w:r>
    </w:p>
    <w:p>
      <w:pPr>
        <w:spacing w:after="0" w:line="175" w:lineRule="exact"/>
        <w:rPr>
          <w:sz w:val="20"/>
          <w:szCs w:val="20"/>
          <w:color w:val="auto"/>
        </w:rPr>
      </w:pPr>
    </w:p>
    <w:p>
      <w:pPr>
        <w:ind w:right="20" w:firstLine="648"/>
        <w:spacing w:after="0" w:line="257" w:lineRule="auto"/>
        <w:rPr>
          <w:sz w:val="20"/>
          <w:szCs w:val="20"/>
          <w:color w:val="auto"/>
        </w:rPr>
      </w:pPr>
      <w:r>
        <w:rPr>
          <w:rFonts w:ascii="Arial" w:cs="Arial" w:eastAsia="Arial" w:hAnsi="Arial"/>
          <w:sz w:val="20"/>
          <w:szCs w:val="20"/>
          <w:color w:val="auto"/>
        </w:rPr>
        <w:t>Dividends and distributions are reflected in the condensed consolidated statements of stockholders’ equity when declared by the board of directors. Dividends are made to Class A common stockholders and distributions are made to limited partners of the Partnership and holders of non-controlling interests in subsidiaries.</w:t>
      </w:r>
    </w:p>
    <w:p>
      <w:pPr>
        <w:spacing w:after="0" w:line="193"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On August 4, 2022, the Company announced a quarterly cash dividend of $0.20 per share of Class A common stock, which was paid on September 15, 2022 to holders of record at the close of business on August 31, 2022.</w:t>
      </w:r>
    </w:p>
    <w:p>
      <w:pPr>
        <w:spacing w:after="0" w:line="184" w:lineRule="exact"/>
        <w:rPr>
          <w:sz w:val="20"/>
          <w:szCs w:val="20"/>
          <w:color w:val="auto"/>
        </w:rPr>
      </w:pPr>
    </w:p>
    <w:p>
      <w:pPr>
        <w:ind w:left="660" w:right="8480" w:hanging="652"/>
        <w:spacing w:after="0" w:line="593" w:lineRule="auto"/>
        <w:tabs>
          <w:tab w:leader="none" w:pos="457"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Business Combinations Greenspring Acquisition</w:t>
      </w:r>
    </w:p>
    <w:p>
      <w:pPr>
        <w:spacing w:after="0" w:line="1" w:lineRule="exact"/>
        <w:rPr>
          <w:sz w:val="20"/>
          <w:szCs w:val="20"/>
          <w:color w:val="auto"/>
        </w:rPr>
      </w:pPr>
    </w:p>
    <w:p>
      <w:pPr>
        <w:ind w:firstLine="648"/>
        <w:spacing w:after="0" w:line="279" w:lineRule="auto"/>
        <w:rPr>
          <w:sz w:val="20"/>
          <w:szCs w:val="20"/>
          <w:color w:val="auto"/>
        </w:rPr>
      </w:pPr>
      <w:r>
        <w:rPr>
          <w:rFonts w:ascii="Arial" w:cs="Arial" w:eastAsia="Arial" w:hAnsi="Arial"/>
          <w:sz w:val="18"/>
          <w:szCs w:val="18"/>
          <w:color w:val="auto"/>
        </w:rPr>
        <w:t>On September 20, 2021, the Company completed the acquisition of 100% of the equity of Greenspring Associates, Inc. and certain of its affiliates (collectively, “Greenspring”) in exchange for (i) cash consideration of approximately $185 million, net of an agreed upon adjustment based upon Greenspring’s net working capital balance at the closing date, (ii) 12,686,756 shares of Class A common stock and</w:t>
      </w:r>
    </w:p>
    <w:p>
      <w:pPr>
        <w:spacing w:after="0" w:line="1" w:lineRule="exact"/>
        <w:rPr>
          <w:sz w:val="20"/>
          <w:szCs w:val="20"/>
          <w:color w:val="auto"/>
        </w:rPr>
      </w:pPr>
    </w:p>
    <w:p>
      <w:pPr>
        <w:ind w:right="280" w:firstLine="8"/>
        <w:spacing w:after="0" w:line="248" w:lineRule="auto"/>
        <w:tabs>
          <w:tab w:leader="none" w:pos="346" w:val="left"/>
        </w:tabs>
        <w:numPr>
          <w:ilvl w:val="0"/>
          <w:numId w:val="16"/>
        </w:numPr>
        <w:rPr>
          <w:rFonts w:ascii="Arial" w:cs="Arial" w:eastAsia="Arial" w:hAnsi="Arial"/>
          <w:sz w:val="20"/>
          <w:szCs w:val="20"/>
          <w:color w:val="auto"/>
        </w:rPr>
      </w:pPr>
      <w:r>
        <w:rPr>
          <w:rFonts w:ascii="Arial" w:cs="Arial" w:eastAsia="Arial" w:hAnsi="Arial"/>
          <w:sz w:val="20"/>
          <w:szCs w:val="20"/>
          <w:color w:val="auto"/>
        </w:rPr>
        <w:t>3,071,519 newly issued Class C units of the Partnership (the “Greenspring acquisition”), in each case subject to certain adjustments (including customary adjustments for cash, debt, debt-like items, transaction expenses and net working capital at closing). The transaction agreement also provides for the payment of an earn-out of up to $75 million that is payable in 2025 subject to the achievement of certain management fee revenue targets for calendar year 2024. The results of Greenspring’s operations have been included in the condensed consolidated financial statements effective September 20, 2021. The acquisition of Greenspring expanded the Company’s leadership in private markets solutions, providing added scale in venture capital and growth equity, and offering clients expanded access to the global innovation economy.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340" w:firstLine="648"/>
        <w:spacing w:after="0" w:line="274" w:lineRule="auto"/>
        <w:rPr>
          <w:sz w:val="20"/>
          <w:szCs w:val="20"/>
          <w:color w:val="auto"/>
        </w:rPr>
      </w:pPr>
      <w:r>
        <w:rPr>
          <w:rFonts w:ascii="Arial" w:cs="Arial" w:eastAsia="Arial" w:hAnsi="Arial"/>
          <w:sz w:val="20"/>
          <w:szCs w:val="20"/>
          <w:color w:val="auto"/>
        </w:rPr>
        <w:t>The aggregate purchase price for the acquisition of Greenspring and the estimated fair values of the assets acquired and liabilities assumed at the acquisition date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Acquisition date fair value of consideration transferred:</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9000" w:type="dxa"/>
            <w:vAlign w:val="bottom"/>
          </w:tcPr>
          <w:p>
            <w:pPr>
              <w:ind w:left="360"/>
              <w:spacing w:after="0"/>
              <w:rPr>
                <w:sz w:val="20"/>
                <w:szCs w:val="20"/>
                <w:color w:val="auto"/>
              </w:rPr>
            </w:pPr>
            <w:r>
              <w:rPr>
                <w:rFonts w:ascii="Arial" w:cs="Arial" w:eastAsia="Arial" w:hAnsi="Arial"/>
                <w:sz w:val="18"/>
                <w:szCs w:val="18"/>
                <w:color w:val="auto"/>
              </w:rPr>
              <w:t>Cash consideration</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186,577</w:t>
            </w:r>
          </w:p>
        </w:tc>
      </w:tr>
      <w:tr>
        <w:trPr>
          <w:trHeight w:val="229"/>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A common stock</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558,598</w:t>
            </w:r>
          </w:p>
        </w:tc>
      </w:tr>
      <w:tr>
        <w:trPr>
          <w:trHeight w:val="230"/>
        </w:trPr>
        <w:tc>
          <w:tcPr>
            <w:tcW w:w="9000" w:type="dxa"/>
            <w:vAlign w:val="bottom"/>
          </w:tcPr>
          <w:p>
            <w:pPr>
              <w:ind w:left="360"/>
              <w:spacing w:after="0"/>
              <w:rPr>
                <w:sz w:val="20"/>
                <w:szCs w:val="20"/>
                <w:color w:val="auto"/>
              </w:rPr>
            </w:pPr>
            <w:r>
              <w:rPr>
                <w:rFonts w:ascii="Arial" w:cs="Arial" w:eastAsia="Arial" w:hAnsi="Arial"/>
                <w:sz w:val="18"/>
                <w:szCs w:val="18"/>
                <w:color w:val="auto"/>
              </w:rPr>
              <w:t>Class C units of the Partnership</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135,239</w:t>
            </w:r>
          </w:p>
        </w:tc>
      </w:tr>
      <w:tr>
        <w:trPr>
          <w:trHeight w:val="229"/>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consideration</w:t>
            </w:r>
          </w:p>
        </w:tc>
        <w:tc>
          <w:tcPr>
            <w:tcW w:w="7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w:t>
            </w:r>
          </w:p>
        </w:tc>
      </w:tr>
      <w:tr>
        <w:trPr>
          <w:trHeight w:val="223"/>
        </w:trPr>
        <w:tc>
          <w:tcPr>
            <w:tcW w:w="9000" w:type="dxa"/>
            <w:vAlign w:val="bottom"/>
          </w:tcPr>
          <w:p>
            <w:pPr>
              <w:ind w:left="680"/>
              <w:spacing w:after="0"/>
              <w:rPr>
                <w:sz w:val="20"/>
                <w:szCs w:val="20"/>
                <w:color w:val="auto"/>
              </w:rPr>
            </w:pPr>
            <w:r>
              <w:rPr>
                <w:rFonts w:ascii="Arial" w:cs="Arial" w:eastAsia="Arial" w:hAnsi="Arial"/>
                <w:sz w:val="18"/>
                <w:szCs w:val="18"/>
                <w:color w:val="auto"/>
              </w:rPr>
              <w:t>Total purchase price</w:t>
            </w: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898,183</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90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b w:val="1"/>
                <w:bCs w:val="1"/>
                <w:color w:val="auto"/>
              </w:rPr>
              <w:t>Estimated fair value of assets acquired and liabilities assumed:</w:t>
            </w:r>
          </w:p>
        </w:tc>
        <w:tc>
          <w:tcPr>
            <w:tcW w:w="7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short-term receivables</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w:t>
            </w:r>
          </w:p>
        </w:tc>
      </w:tr>
      <w:tr>
        <w:trPr>
          <w:trHeight w:val="229"/>
        </w:trPr>
        <w:tc>
          <w:tcPr>
            <w:tcW w:w="9000" w:type="dxa"/>
            <w:vAlign w:val="bottom"/>
          </w:tcPr>
          <w:p>
            <w:pPr>
              <w:ind w:left="360"/>
              <w:spacing w:after="0" w:line="230" w:lineRule="exact"/>
              <w:rPr>
                <w:sz w:val="20"/>
                <w:szCs w:val="20"/>
                <w:color w:val="auto"/>
              </w:rPr>
            </w:pPr>
            <w:r>
              <w:rPr>
                <w:rFonts w:ascii="Arial" w:cs="Arial" w:eastAsia="Arial" w:hAnsi="Arial"/>
                <w:sz w:val="18"/>
                <w:szCs w:val="18"/>
                <w:color w:val="auto"/>
              </w:rPr>
              <w:t>Legacy Greenspring investments in funds and accrued carried interest allocations</w:t>
            </w:r>
            <w:r>
              <w:rPr>
                <w:rFonts w:ascii="Arial" w:cs="Arial" w:eastAsia="Arial" w:hAnsi="Arial"/>
                <w:sz w:val="23"/>
                <w:szCs w:val="23"/>
                <w:color w:val="auto"/>
                <w:vertAlign w:val="superscript"/>
              </w:rPr>
              <w:t>(1)</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1,203,299</w:t>
            </w:r>
          </w:p>
        </w:tc>
      </w:tr>
      <w:tr>
        <w:trPr>
          <w:trHeight w:val="230"/>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right-of-use assets, net</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r>
      <w:tr>
        <w:trPr>
          <w:trHeight w:val="229"/>
        </w:trPr>
        <w:tc>
          <w:tcPr>
            <w:tcW w:w="9000" w:type="dxa"/>
            <w:vAlign w:val="bottom"/>
          </w:tcPr>
          <w:p>
            <w:pPr>
              <w:ind w:left="360"/>
              <w:spacing w:after="0"/>
              <w:rPr>
                <w:sz w:val="20"/>
                <w:szCs w:val="20"/>
                <w:color w:val="auto"/>
              </w:rPr>
            </w:pPr>
            <w:r>
              <w:rPr>
                <w:rFonts w:ascii="Arial" w:cs="Arial" w:eastAsia="Arial" w:hAnsi="Arial"/>
                <w:sz w:val="18"/>
                <w:szCs w:val="18"/>
                <w:color w:val="auto"/>
              </w:rPr>
              <w:t>Other assets and receivables</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2,146</w:t>
            </w:r>
          </w:p>
        </w:tc>
      </w:tr>
      <w:tr>
        <w:trPr>
          <w:trHeight w:val="229"/>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Finite-lived intangible assets—contractual rights: management contracts</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310,944</w:t>
            </w:r>
          </w:p>
        </w:tc>
      </w:tr>
      <w:tr>
        <w:trPr>
          <w:trHeight w:val="230"/>
        </w:trPr>
        <w:tc>
          <w:tcPr>
            <w:tcW w:w="9000" w:type="dxa"/>
            <w:vAlign w:val="bottom"/>
          </w:tcPr>
          <w:p>
            <w:pPr>
              <w:ind w:left="360"/>
              <w:spacing w:after="0"/>
              <w:rPr>
                <w:sz w:val="20"/>
                <w:szCs w:val="20"/>
                <w:color w:val="auto"/>
              </w:rPr>
            </w:pPr>
            <w:r>
              <w:rPr>
                <w:rFonts w:ascii="Arial" w:cs="Arial" w:eastAsia="Arial" w:hAnsi="Arial"/>
                <w:sz w:val="18"/>
                <w:szCs w:val="18"/>
                <w:color w:val="auto"/>
              </w:rPr>
              <w:t>Finite-lived intangible assets—client relationships</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96,650</w:t>
            </w:r>
          </w:p>
        </w:tc>
      </w:tr>
      <w:tr>
        <w:trPr>
          <w:trHeight w:val="229"/>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Finite-lived intangible assets—contractual rights: service agreements</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w:t>
            </w:r>
          </w:p>
        </w:tc>
      </w:tr>
      <w:tr>
        <w:trPr>
          <w:trHeight w:val="230"/>
        </w:trPr>
        <w:tc>
          <w:tcPr>
            <w:tcW w:w="9000" w:type="dxa"/>
            <w:vAlign w:val="bottom"/>
          </w:tcPr>
          <w:p>
            <w:pPr>
              <w:ind w:left="360"/>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573,750</w:t>
            </w:r>
          </w:p>
        </w:tc>
      </w:tr>
      <w:tr>
        <w:trPr>
          <w:trHeight w:val="229"/>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(95,884)</w:t>
            </w:r>
          </w:p>
        </w:tc>
      </w:tr>
      <w:tr>
        <w:trPr>
          <w:trHeight w:val="229"/>
        </w:trPr>
        <w:tc>
          <w:tcPr>
            <w:tcW w:w="9000" w:type="dxa"/>
            <w:vAlign w:val="bottom"/>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(4,685)</w:t>
            </w:r>
          </w:p>
        </w:tc>
      </w:tr>
      <w:tr>
        <w:trPr>
          <w:trHeight w:val="230"/>
        </w:trPr>
        <w:tc>
          <w:tcPr>
            <w:tcW w:w="900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Legacy Greenspring accrued carried interest-related compensation</w:t>
            </w:r>
            <w:r>
              <w:rPr>
                <w:rFonts w:ascii="Arial" w:cs="Arial" w:eastAsia="Arial" w:hAnsi="Arial"/>
                <w:sz w:val="23"/>
                <w:szCs w:val="23"/>
                <w:color w:val="auto"/>
                <w:vertAlign w:val="superscript"/>
              </w:rPr>
              <w:t>(1)</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(1,045,157)</w:t>
            </w:r>
          </w:p>
        </w:tc>
      </w:tr>
      <w:tr>
        <w:trPr>
          <w:trHeight w:val="230"/>
        </w:trPr>
        <w:tc>
          <w:tcPr>
            <w:tcW w:w="900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(2,585)</w:t>
            </w:r>
          </w:p>
        </w:tc>
      </w:tr>
      <w:tr>
        <w:trPr>
          <w:trHeight w:val="230"/>
        </w:trPr>
        <w:tc>
          <w:tcPr>
            <w:tcW w:w="900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Non-controlling interests in legacy Greenspring entities</w:t>
            </w:r>
            <w:r>
              <w:rPr>
                <w:rFonts w:ascii="Arial" w:cs="Arial" w:eastAsia="Arial" w:hAnsi="Arial"/>
                <w:sz w:val="23"/>
                <w:szCs w:val="23"/>
                <w:color w:val="auto"/>
                <w:vertAlign w:val="superscript"/>
              </w:rPr>
              <w:t>(1)</w:t>
            </w:r>
          </w:p>
        </w:tc>
        <w:tc>
          <w:tcPr>
            <w:tcW w:w="7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(158,142)</w:t>
            </w:r>
          </w:p>
        </w:tc>
      </w:tr>
      <w:tr>
        <w:trPr>
          <w:trHeight w:val="223"/>
        </w:trPr>
        <w:tc>
          <w:tcPr>
            <w:tcW w:w="9000" w:type="dxa"/>
            <w:vAlign w:val="bottom"/>
          </w:tcPr>
          <w:p>
            <w:pPr>
              <w:ind w:left="68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898,183</w:t>
            </w:r>
          </w:p>
        </w:tc>
      </w:tr>
      <w:tr>
        <w:trPr>
          <w:trHeight w:val="20"/>
        </w:trPr>
        <w:tc>
          <w:tcPr>
            <w:tcW w:w="9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jc w:val="both"/>
        <w:ind w:left="660" w:right="400" w:hanging="652"/>
        <w:spacing w:after="0" w:line="277" w:lineRule="auto"/>
        <w:tabs>
          <w:tab w:leader="none" w:pos="654"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investments in funds and carried interest allocations attributable to consolidated VIEs for which the Company did not acquire any direct economic interests. Such amounts are attributable to employees and therefore have been reflected as non-controlling interests in legacy Greenspring entities and legacy Greenspring accrued carried interest-related compensation, respectively.</w:t>
      </w:r>
    </w:p>
    <w:p>
      <w:pPr>
        <w:spacing w:after="0" w:line="170" w:lineRule="exact"/>
        <w:rPr>
          <w:sz w:val="20"/>
          <w:szCs w:val="20"/>
          <w:color w:val="auto"/>
        </w:rPr>
      </w:pPr>
    </w:p>
    <w:p>
      <w:pPr>
        <w:ind w:right="420" w:firstLine="648"/>
        <w:spacing w:after="0" w:line="257" w:lineRule="auto"/>
        <w:rPr>
          <w:sz w:val="20"/>
          <w:szCs w:val="20"/>
          <w:color w:val="auto"/>
        </w:rPr>
      </w:pPr>
      <w:r>
        <w:rPr>
          <w:rFonts w:ascii="Arial" w:cs="Arial" w:eastAsia="Arial" w:hAnsi="Arial"/>
          <w:sz w:val="20"/>
          <w:szCs w:val="20"/>
          <w:color w:val="auto"/>
        </w:rPr>
        <w:t>For the three and six months ended September 30, 2021, the Company incurred $10.3 million and $13.8 million, respectively, of acquisition-related costs that were expensed as incurred and included in general, administrative and other expenses in the condensed consolidated statements of income.</w:t>
      </w:r>
    </w:p>
    <w:p>
      <w:pPr>
        <w:spacing w:after="0" w:line="193" w:lineRule="exact"/>
        <w:rPr>
          <w:sz w:val="20"/>
          <w:szCs w:val="20"/>
          <w:color w:val="auto"/>
        </w:rPr>
      </w:pPr>
    </w:p>
    <w:p>
      <w:pPr>
        <w:ind w:right="240" w:firstLine="648"/>
        <w:spacing w:after="0" w:line="251" w:lineRule="auto"/>
        <w:rPr>
          <w:sz w:val="20"/>
          <w:szCs w:val="20"/>
          <w:color w:val="auto"/>
        </w:rPr>
      </w:pPr>
      <w:r>
        <w:rPr>
          <w:rFonts w:ascii="Arial" w:cs="Arial" w:eastAsia="Arial" w:hAnsi="Arial"/>
          <w:sz w:val="20"/>
          <w:szCs w:val="20"/>
          <w:color w:val="auto"/>
        </w:rPr>
        <w:t>The Company allocated $320.5 million and $96.7 million of the purchase price to the fair value of contractual rights and client relationships, respectively, which is being amortized over a weighted-average amortization period of 10.0 years. The $573.8 million of goodwill primarily related to Greenspring’s assembled workforce and business synergies expected to be realized from the transaction. This goodwill is not deductible for tax purposes.</w:t>
      </w:r>
    </w:p>
    <w:p>
      <w:pPr>
        <w:spacing w:after="0" w:line="199" w:lineRule="exact"/>
        <w:rPr>
          <w:sz w:val="20"/>
          <w:szCs w:val="20"/>
          <w:color w:val="auto"/>
        </w:rPr>
      </w:pPr>
    </w:p>
    <w:p>
      <w:pPr>
        <w:ind w:right="420" w:firstLine="648"/>
        <w:spacing w:after="0" w:line="332" w:lineRule="auto"/>
        <w:rPr>
          <w:sz w:val="20"/>
          <w:szCs w:val="20"/>
          <w:color w:val="auto"/>
        </w:rPr>
      </w:pPr>
      <w:r>
        <w:rPr>
          <w:rFonts w:ascii="Arial" w:cs="Arial" w:eastAsia="Arial" w:hAnsi="Arial"/>
          <w:sz w:val="18"/>
          <w:szCs w:val="18"/>
          <w:color w:val="auto"/>
        </w:rPr>
        <w:t>The amount of revenues and net income of Greenspring (including amounts attributable to legacy Greenspring entities) from the acquisition date of September 20, 2021 to September 30, 2021 were approximately $2.3 million and $1.0 million, respectively.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supplemental unaudited pro forma information assumes the Greenspring acquisition, as well as the Reorganization and</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color w:val="auto"/>
        </w:rPr>
        <w:t>IPO, had been consummated as of April 1,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7"/>
                <w:szCs w:val="17"/>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Six Months Ended</w:t>
            </w:r>
          </w:p>
        </w:tc>
      </w:tr>
      <w:tr>
        <w:trPr>
          <w:trHeight w:val="234"/>
        </w:trPr>
        <w:tc>
          <w:tcPr>
            <w:tcW w:w="6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September 30, 2021</w:t>
            </w:r>
          </w:p>
        </w:tc>
        <w:tc>
          <w:tcPr>
            <w:tcW w:w="220" w:type="dxa"/>
            <w:vAlign w:val="bottom"/>
          </w:tcPr>
          <w:p>
            <w:pPr>
              <w:spacing w:after="0"/>
              <w:rPr>
                <w:sz w:val="20"/>
                <w:szCs w:val="20"/>
                <w:color w:val="auto"/>
              </w:rPr>
            </w:pPr>
          </w:p>
        </w:tc>
        <w:tc>
          <w:tcPr>
            <w:tcW w:w="196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September 30, 2021</w:t>
            </w:r>
          </w:p>
        </w:tc>
      </w:tr>
      <w:tr>
        <w:trPr>
          <w:trHeight w:val="223"/>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552,671</w:t>
            </w: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1,079,820</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Net income attributable to StepStone Group Inc.</w:t>
            </w:r>
          </w:p>
        </w:tc>
        <w:tc>
          <w:tcPr>
            <w:tcW w:w="2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40,068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88,179</w:t>
            </w:r>
          </w:p>
        </w:tc>
      </w:tr>
    </w:tbl>
    <w:p>
      <w:pPr>
        <w:spacing w:after="0" w:line="293"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Company’s fiscal year ends on March 31, and prior to the transaction, Greenspring’s fiscal year ended on December 31. To comply with SEC rules and regulations for companies with different fiscal year ends, the pro forma condensed combined financial information has been prepared utilizing periods that differ by less than 93 days. The unaudited pro forma information for the three and six months ended September 30, 2021 combines the Company’s historical unaudited condensed consolidated statements of income for the three and six months ended September 30, 2021, and Greenspring’s historical unaudited condensed combined statements of income for the three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and six months ended June 30, 2021</w:t>
      </w:r>
      <w:r>
        <w:rPr>
          <w:rFonts w:ascii="Arial" w:cs="Arial" w:eastAsia="Arial" w:hAnsi="Arial"/>
          <w:sz w:val="21"/>
          <w:szCs w:val="21"/>
          <w:color w:val="auto"/>
        </w:rPr>
        <w:t>.</w:t>
      </w:r>
    </w:p>
    <w:p>
      <w:pPr>
        <w:spacing w:after="0" w:line="222" w:lineRule="exact"/>
        <w:rPr>
          <w:sz w:val="20"/>
          <w:szCs w:val="20"/>
          <w:color w:val="auto"/>
        </w:rPr>
      </w:pPr>
    </w:p>
    <w:p>
      <w:pPr>
        <w:ind w:right="220" w:firstLine="648"/>
        <w:spacing w:after="0" w:line="290" w:lineRule="auto"/>
        <w:rPr>
          <w:sz w:val="20"/>
          <w:szCs w:val="20"/>
          <w:color w:val="auto"/>
        </w:rPr>
      </w:pPr>
      <w:r>
        <w:rPr>
          <w:rFonts w:ascii="Arial" w:cs="Arial" w:eastAsia="Arial" w:hAnsi="Arial"/>
          <w:sz w:val="18"/>
          <w:szCs w:val="18"/>
          <w:color w:val="auto"/>
        </w:rPr>
        <w:t>The supplemental unaudited pro forma information is based on estimates and assumptions believed reasonable and are not necessarily indicative of the Company’s consolidated results in future periods or the results that actually would have been realized had the Greenspring acquisition been completed to create a combined entity during the periods presented. The pro forma amounts have been calculated after reflecting the following adjustments that were directly attributable to the Reorganization, IPO, Greenspring acquisition and the related debt issuance used to fund a portion of the cash consideration, as if the transactions were consummated on April 1, 2020:</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Reorganization and IPO</w:t>
      </w:r>
    </w:p>
    <w:p>
      <w:pPr>
        <w:spacing w:after="0" w:line="229"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adjustments to include compensation expense associated with the 2.5 million RSUs issued in connection with the IPO;</w:t>
      </w:r>
    </w:p>
    <w:p>
      <w:pPr>
        <w:spacing w:after="0" w:line="229" w:lineRule="exact"/>
        <w:rPr>
          <w:rFonts w:ascii="Arial" w:cs="Arial" w:eastAsia="Arial" w:hAnsi="Arial"/>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adjustments on interest expense to reflect the repayment of outstanding debt using a portion of the IPO proceeds;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adjustments to include federal and state income taxes for the Company’s share of taxable income generated by the Partnership; and</w:t>
      </w:r>
    </w:p>
    <w:p>
      <w:pPr>
        <w:spacing w:after="0" w:line="252" w:lineRule="exact"/>
        <w:rPr>
          <w:rFonts w:ascii="Arial" w:cs="Arial" w:eastAsia="Arial" w:hAnsi="Arial"/>
          <w:sz w:val="18"/>
          <w:szCs w:val="18"/>
          <w:color w:val="auto"/>
        </w:rPr>
      </w:pPr>
    </w:p>
    <w:p>
      <w:pPr>
        <w:ind w:left="660" w:right="3940" w:hanging="328"/>
        <w:spacing w:after="0" w:line="471"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 xml:space="preserve">adjustments to reflect the pro-rata economic ownership attributable to the Company. </w:t>
      </w:r>
      <w:r>
        <w:rPr>
          <w:rFonts w:ascii="Arial" w:cs="Arial" w:eastAsia="Arial" w:hAnsi="Arial"/>
          <w:sz w:val="20"/>
          <w:szCs w:val="20"/>
          <w:i w:val="1"/>
          <w:iCs w:val="1"/>
          <w:color w:val="auto"/>
        </w:rPr>
        <w:t>Debt Financing</w:t>
      </w:r>
    </w:p>
    <w:p>
      <w:pPr>
        <w:spacing w:after="0" w:line="1" w:lineRule="exact"/>
        <w:rPr>
          <w:rFonts w:ascii="Arial" w:cs="Arial" w:eastAsia="Arial" w:hAnsi="Arial"/>
          <w:sz w:val="20"/>
          <w:szCs w:val="20"/>
          <w:color w:val="auto"/>
        </w:rPr>
      </w:pPr>
    </w:p>
    <w:p>
      <w:pPr>
        <w:ind w:left="660" w:right="1780" w:hanging="328"/>
        <w:spacing w:after="0" w:line="471"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 xml:space="preserve">adjustments to include interest expense related to the Revolver used to fund a portion of the cash consideration. </w:t>
      </w:r>
      <w:r>
        <w:rPr>
          <w:rFonts w:ascii="Arial" w:cs="Arial" w:eastAsia="Arial" w:hAnsi="Arial"/>
          <w:sz w:val="20"/>
          <w:szCs w:val="20"/>
          <w:i w:val="1"/>
          <w:iCs w:val="1"/>
          <w:color w:val="auto"/>
        </w:rPr>
        <w:t>Greenspring Acquisition</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adjustments to include the impact of additional amortization of acquired intangible assets that would have been charged;</w:t>
      </w:r>
    </w:p>
    <w:p>
      <w:pPr>
        <w:spacing w:after="0" w:line="240" w:lineRule="exact"/>
        <w:rPr>
          <w:rFonts w:ascii="Arial" w:cs="Arial" w:eastAsia="Arial" w:hAnsi="Arial"/>
          <w:sz w:val="19"/>
          <w:szCs w:val="19"/>
          <w:color w:val="auto"/>
        </w:rPr>
      </w:pPr>
    </w:p>
    <w:p>
      <w:pPr>
        <w:ind w:left="660" w:right="180" w:hanging="328"/>
        <w:spacing w:after="0" w:line="260"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adjustments to include the issuance of Class A common stock of the Company and Class C units of the Partnership as consideration for the transaction;</w:t>
      </w:r>
    </w:p>
    <w:p>
      <w:pPr>
        <w:spacing w:after="0" w:line="190" w:lineRule="exact"/>
        <w:rPr>
          <w:rFonts w:ascii="Arial" w:cs="Arial" w:eastAsia="Arial" w:hAnsi="Arial"/>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adjustments to reflect the pro-rata economic ownership attributable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left="640" w:hanging="308"/>
        <w:spacing w:after="0"/>
        <w:tabs>
          <w:tab w:leader="none" w:pos="640" w:val="left"/>
        </w:tabs>
        <w:numPr>
          <w:ilvl w:val="1"/>
          <w:numId w:val="19"/>
        </w:numPr>
        <w:rPr>
          <w:rFonts w:ascii="Arial" w:cs="Arial" w:eastAsia="Arial" w:hAnsi="Arial"/>
          <w:sz w:val="19"/>
          <w:szCs w:val="19"/>
          <w:color w:val="auto"/>
        </w:rPr>
      </w:pPr>
      <w:r>
        <w:rPr>
          <w:rFonts w:ascii="Arial" w:cs="Arial" w:eastAsia="Arial" w:hAnsi="Arial"/>
          <w:sz w:val="19"/>
          <w:szCs w:val="19"/>
          <w:color w:val="auto"/>
        </w:rPr>
        <w:t>adjustments to reflect the tax effects of the Greenspring acquisition and including Greenspring in the Company’s results; and</w:t>
      </w:r>
    </w:p>
    <w:p>
      <w:pPr>
        <w:spacing w:after="0" w:line="240" w:lineRule="exact"/>
        <w:rPr>
          <w:rFonts w:ascii="Arial" w:cs="Arial" w:eastAsia="Arial" w:hAnsi="Arial"/>
          <w:sz w:val="19"/>
          <w:szCs w:val="19"/>
          <w:color w:val="auto"/>
        </w:rPr>
      </w:pPr>
    </w:p>
    <w:p>
      <w:pPr>
        <w:ind w:left="640" w:hanging="308"/>
        <w:spacing w:after="0"/>
        <w:tabs>
          <w:tab w:leader="none" w:pos="640" w:val="left"/>
        </w:tabs>
        <w:numPr>
          <w:ilvl w:val="1"/>
          <w:numId w:val="19"/>
        </w:numPr>
        <w:rPr>
          <w:rFonts w:ascii="Arial" w:cs="Arial" w:eastAsia="Arial" w:hAnsi="Arial"/>
          <w:sz w:val="20"/>
          <w:szCs w:val="20"/>
          <w:color w:val="auto"/>
        </w:rPr>
      </w:pPr>
      <w:r>
        <w:rPr>
          <w:rFonts w:ascii="Arial" w:cs="Arial" w:eastAsia="Arial" w:hAnsi="Arial"/>
          <w:sz w:val="20"/>
          <w:szCs w:val="20"/>
          <w:color w:val="auto"/>
        </w:rPr>
        <w:t>adjustments to include acquisition-related transaction costs in earnings for the six months ended September 30, 2020.</w:t>
      </w:r>
    </w:p>
    <w:p>
      <w:pPr>
        <w:spacing w:after="0" w:line="209" w:lineRule="exact"/>
        <w:rPr>
          <w:rFonts w:ascii="Arial" w:cs="Arial" w:eastAsia="Arial" w:hAnsi="Arial"/>
          <w:sz w:val="20"/>
          <w:szCs w:val="20"/>
          <w:color w:val="auto"/>
        </w:rPr>
      </w:pPr>
    </w:p>
    <w:p>
      <w:pPr>
        <w:ind w:left="460" w:hanging="452"/>
        <w:spacing w:after="0"/>
        <w:tabs>
          <w:tab w:leader="none" w:pos="46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Litigation</w:t>
      </w:r>
    </w:p>
    <w:p>
      <w:pPr>
        <w:spacing w:after="0" w:line="222" w:lineRule="exact"/>
        <w:rPr>
          <w:sz w:val="20"/>
          <w:szCs w:val="20"/>
          <w:color w:val="auto"/>
        </w:rPr>
      </w:pPr>
    </w:p>
    <w:p>
      <w:pPr>
        <w:ind w:right="20" w:firstLine="648"/>
        <w:spacing w:after="0" w:line="267" w:lineRule="auto"/>
        <w:rPr>
          <w:sz w:val="20"/>
          <w:szCs w:val="20"/>
          <w:color w:val="auto"/>
        </w:rPr>
      </w:pPr>
      <w:r>
        <w:rPr>
          <w:rFonts w:ascii="Arial" w:cs="Arial" w:eastAsia="Arial" w:hAnsi="Arial"/>
          <w:sz w:val="19"/>
          <w:szCs w:val="19"/>
          <w:color w:val="auto"/>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expect a potential liability related to any current legal proceedings or claims that would individually or in the aggregate materially affect its condensed consolidated financial statements as of September 30, 2022.</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Lease Commitments</w:t>
      </w:r>
    </w:p>
    <w:p>
      <w:pPr>
        <w:spacing w:after="0" w:line="235" w:lineRule="exact"/>
        <w:rPr>
          <w:sz w:val="20"/>
          <w:szCs w:val="20"/>
          <w:color w:val="auto"/>
        </w:rPr>
      </w:pPr>
    </w:p>
    <w:p>
      <w:pPr>
        <w:ind w:right="300" w:firstLine="648"/>
        <w:spacing w:after="0" w:line="257" w:lineRule="auto"/>
        <w:rPr>
          <w:sz w:val="20"/>
          <w:szCs w:val="20"/>
          <w:color w:val="auto"/>
        </w:rPr>
      </w:pPr>
      <w:r>
        <w:rPr>
          <w:rFonts w:ascii="Arial" w:cs="Arial" w:eastAsia="Arial" w:hAnsi="Arial"/>
          <w:sz w:val="20"/>
          <w:szCs w:val="20"/>
          <w:color w:val="auto"/>
        </w:rPr>
        <w:t>The Company leases offices in 24 cities in the North America, South America, Europe, Asia and Australia, and certain equipment subject to operating lease agreements expiring through 2032, some of which may include options to extend or terminate the lease. As of September 30, 2022, there were no finance leases outstanding.</w:t>
      </w:r>
    </w:p>
    <w:p>
      <w:pPr>
        <w:spacing w:after="0" w:line="179" w:lineRule="exact"/>
        <w:rPr>
          <w:sz w:val="20"/>
          <w:szCs w:val="20"/>
          <w:color w:val="auto"/>
        </w:rPr>
      </w:pPr>
    </w:p>
    <w:p>
      <w:pPr>
        <w:ind w:right="40" w:firstLine="648"/>
        <w:spacing w:after="0" w:line="274" w:lineRule="auto"/>
        <w:rPr>
          <w:sz w:val="20"/>
          <w:szCs w:val="20"/>
          <w:color w:val="auto"/>
        </w:rPr>
      </w:pPr>
      <w:r>
        <w:rPr>
          <w:rFonts w:ascii="Arial" w:cs="Arial" w:eastAsia="Arial" w:hAnsi="Arial"/>
          <w:sz w:val="20"/>
          <w:szCs w:val="20"/>
          <w:color w:val="auto"/>
        </w:rPr>
        <w:t>The components of lease expense included in general, administrative and other expenses in the condensed consolidated statements of income were as follows:</w:t>
      </w:r>
    </w:p>
    <w:p>
      <w:pPr>
        <w:sectPr>
          <w:pgSz w:w="11900" w:h="16838" w:orient="portrait"/>
          <w:cols w:equalWidth="0" w:num="1">
            <w:col w:w="11240"/>
          </w:cols>
          <w:pgMar w:left="320" w:top="454" w:right="339" w:bottom="1440" w:gutter="0" w:footer="0" w:header="0"/>
        </w:sectPr>
      </w:pPr>
    </w:p>
    <w:p>
      <w:pPr>
        <w:spacing w:after="0" w:line="216" w:lineRule="exact"/>
        <w:rPr>
          <w:sz w:val="20"/>
          <w:szCs w:val="20"/>
          <w:color w:val="auto"/>
        </w:rPr>
      </w:pPr>
    </w:p>
    <w:p>
      <w:pPr>
        <w:jc w:val="center"/>
        <w:ind w:left="4520"/>
        <w:spacing w:after="0"/>
        <w:rPr>
          <w:sz w:val="20"/>
          <w:szCs w:val="20"/>
          <w:color w:val="auto"/>
        </w:rPr>
      </w:pPr>
      <w:r>
        <w:rPr>
          <w:rFonts w:ascii="Arial" w:cs="Arial" w:eastAsia="Arial" w:hAnsi="Arial"/>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31750</wp:posOffset>
            </wp:positionV>
            <wp:extent cx="20745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39" w:lineRule="exact"/>
        <w:rPr>
          <w:sz w:val="20"/>
          <w:szCs w:val="20"/>
          <w:color w:val="auto"/>
        </w:rPr>
      </w:pPr>
    </w:p>
    <w:p>
      <w:pPr>
        <w:ind w:left="5000"/>
        <w:spacing w:after="0"/>
        <w:tabs>
          <w:tab w:leader="none" w:pos="674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Six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31750</wp:posOffset>
            </wp:positionV>
            <wp:extent cx="2100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00580" cy="8890"/>
                    </a:xfrm>
                    <a:prstGeom prst="rect">
                      <a:avLst/>
                    </a:prstGeom>
                    <a:noFill/>
                  </pic:spPr>
                </pic:pic>
              </a:graphicData>
            </a:graphic>
          </wp:anchor>
        </w:drawing>
      </w:r>
    </w:p>
    <w:p>
      <w:pPr>
        <w:spacing w:after="0" w:line="39" w:lineRule="exact"/>
        <w:rPr>
          <w:sz w:val="20"/>
          <w:szCs w:val="20"/>
          <w:color w:val="auto"/>
        </w:rPr>
      </w:pPr>
    </w:p>
    <w:p>
      <w:pPr>
        <w:ind w:left="220"/>
        <w:spacing w:after="0"/>
        <w:tabs>
          <w:tab w:leader="none" w:pos="198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7" w:lineRule="exact"/>
        <w:rPr>
          <w:sz w:val="20"/>
          <w:szCs w:val="20"/>
          <w:color w:val="auto"/>
        </w:rPr>
      </w:pPr>
    </w:p>
    <w:p>
      <w:pPr>
        <w:sectPr>
          <w:pgSz w:w="11900" w:h="16838" w:orient="portrait"/>
          <w:cols w:equalWidth="0" w:num="2">
            <w:col w:w="7580" w:space="720"/>
            <w:col w:w="2940"/>
          </w:cols>
          <w:pgMar w:left="320" w:top="454"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42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(1)(2)</w:t>
            </w: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86"/>
              </w:rPr>
              <w:t>368</w:t>
            </w:r>
          </w:p>
        </w:tc>
        <w:tc>
          <w:tcPr>
            <w:tcW w:w="2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2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2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5,360</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600" w:type="dxa"/>
            <w:vAlign w:val="bottom"/>
          </w:tcPr>
          <w:p>
            <w:pPr>
              <w:spacing w:after="0"/>
              <w:rPr>
                <w:sz w:val="19"/>
                <w:szCs w:val="19"/>
                <w:color w:val="auto"/>
              </w:rPr>
            </w:pPr>
          </w:p>
        </w:tc>
        <w:tc>
          <w:tcPr>
            <w:tcW w:w="920" w:type="dxa"/>
            <w:vAlign w:val="bottom"/>
          </w:tcPr>
          <w:p>
            <w:pPr>
              <w:jc w:val="center"/>
              <w:ind w:left="410"/>
              <w:spacing w:after="0"/>
              <w:rPr>
                <w:sz w:val="20"/>
                <w:szCs w:val="20"/>
                <w:color w:val="auto"/>
              </w:rPr>
            </w:pPr>
            <w:r>
              <w:rPr>
                <w:rFonts w:ascii="Arial" w:cs="Arial" w:eastAsia="Arial" w:hAnsi="Arial"/>
                <w:sz w:val="18"/>
                <w:szCs w:val="18"/>
                <w:color w:val="auto"/>
                <w:w w:val="86"/>
              </w:rPr>
              <w:t>273</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497</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90"/>
              </w:rPr>
              <w:t>(443)</w:t>
            </w:r>
          </w:p>
        </w:tc>
        <w:tc>
          <w:tcPr>
            <w:tcW w:w="2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23"/>
        </w:trPr>
        <w:tc>
          <w:tcPr>
            <w:tcW w:w="4420" w:type="dxa"/>
            <w:vAlign w:val="bottom"/>
          </w:tcPr>
          <w:p>
            <w:pPr>
              <w:ind w:left="240"/>
              <w:spacing w:after="0"/>
              <w:rPr>
                <w:sz w:val="20"/>
                <w:szCs w:val="20"/>
                <w:color w:val="auto"/>
              </w:rPr>
            </w:pPr>
            <w:r>
              <w:rPr>
                <w:rFonts w:ascii="Arial" w:cs="Arial" w:eastAsia="Arial" w:hAnsi="Arial"/>
                <w:sz w:val="18"/>
                <w:szCs w:val="18"/>
                <w:color w:val="auto"/>
              </w:rPr>
              <w:t>Total lease cost</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86"/>
              </w:rPr>
              <w:t>198</w:t>
            </w:r>
          </w:p>
        </w:tc>
        <w:tc>
          <w:tcPr>
            <w:tcW w:w="24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w:t>
            </w:r>
          </w:p>
        </w:tc>
        <w:tc>
          <w:tcPr>
            <w:tcW w:w="24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w:t>
            </w:r>
          </w:p>
        </w:tc>
      </w:tr>
      <w:tr>
        <w:trPr>
          <w:trHeight w:val="20"/>
        </w:trPr>
        <w:tc>
          <w:tcPr>
            <w:tcW w:w="4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lease cost includes an immaterial amount of short-term leases.</w:t>
      </w:r>
    </w:p>
    <w:p>
      <w:pPr>
        <w:spacing w:after="0" w:line="9" w:lineRule="exact"/>
        <w:rPr>
          <w:rFonts w:ascii="Arial" w:cs="Arial" w:eastAsia="Arial" w:hAnsi="Arial"/>
          <w:sz w:val="18"/>
          <w:szCs w:val="18"/>
          <w:color w:val="auto"/>
        </w:rPr>
      </w:pPr>
    </w:p>
    <w:p>
      <w:pPr>
        <w:ind w:left="660" w:right="120" w:hanging="652"/>
        <w:spacing w:after="0" w:line="260" w:lineRule="auto"/>
        <w:tabs>
          <w:tab w:leader="none" w:pos="6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three and six months ended September 30, 2022 include a gain of $2.7 million related to lease remeasurement adjustments due to a reduction in lease terms.</w:t>
      </w:r>
    </w:p>
    <w:p>
      <w:pPr>
        <w:spacing w:after="0" w:line="18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Supplemental cash flow information related to leases was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p>
        </w:tc>
        <w:tc>
          <w:tcPr>
            <w:tcW w:w="354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Six Months Ended September 30,</w:t>
            </w:r>
          </w:p>
        </w:tc>
      </w:tr>
      <w:tr>
        <w:trPr>
          <w:trHeight w:val="223"/>
        </w:trPr>
        <w:tc>
          <w:tcPr>
            <w:tcW w:w="77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1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7700" w:type="dxa"/>
            <w:vAlign w:val="bottom"/>
          </w:tcPr>
          <w:p>
            <w:pPr>
              <w:ind w:left="240"/>
              <w:spacing w:after="0"/>
              <w:rPr>
                <w:sz w:val="20"/>
                <w:szCs w:val="20"/>
                <w:color w:val="auto"/>
              </w:rPr>
            </w:pPr>
            <w:r>
              <w:rPr>
                <w:rFonts w:ascii="Arial" w:cs="Arial" w:eastAsia="Arial" w:hAnsi="Arial"/>
                <w:sz w:val="18"/>
                <w:szCs w:val="18"/>
                <w:color w:val="auto"/>
              </w:rPr>
              <w:t>Operating cash flows used for operating leases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w w:val="97"/>
              </w:rPr>
              <w:t>4,557</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4,342</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for operating leases (in years)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7.9</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Weighted-average discount rate for operating leases</w:t>
            </w:r>
          </w:p>
        </w:tc>
        <w:tc>
          <w:tcPr>
            <w:tcW w:w="106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3.4 %</w:t>
            </w:r>
          </w:p>
        </w:tc>
        <w:tc>
          <w:tcPr>
            <w:tcW w:w="4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9840" w:type="dxa"/>
            <w:vAlign w:val="bottom"/>
          </w:tcPr>
          <w:p>
            <w:pPr>
              <w:jc w:val="center"/>
              <w:ind w:left="1329"/>
              <w:spacing w:after="0"/>
              <w:rPr>
                <w:sz w:val="20"/>
                <w:szCs w:val="20"/>
                <w:color w:val="auto"/>
              </w:rPr>
            </w:pPr>
            <w:r>
              <w:rPr>
                <w:rFonts w:ascii="Arial" w:cs="Arial" w:eastAsia="Arial" w:hAnsi="Arial"/>
                <w:sz w:val="20"/>
                <w:szCs w:val="20"/>
                <w:b w:val="1"/>
                <w:bCs w:val="1"/>
                <w:color w:val="auto"/>
                <w:w w:val="88"/>
              </w:rPr>
              <w:t>StepStone Group Inc.</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6"/>
        </w:trPr>
        <w:tc>
          <w:tcPr>
            <w:tcW w:w="9840" w:type="dxa"/>
            <w:vAlign w:val="bottom"/>
          </w:tcPr>
          <w:p>
            <w:pPr>
              <w:jc w:val="center"/>
              <w:ind w:left="1309"/>
              <w:spacing w:after="0"/>
              <w:rPr>
                <w:sz w:val="20"/>
                <w:szCs w:val="20"/>
                <w:color w:val="auto"/>
              </w:rPr>
            </w:pPr>
            <w:r>
              <w:rPr>
                <w:rFonts w:ascii="Arial" w:cs="Arial" w:eastAsia="Arial" w:hAnsi="Arial"/>
                <w:sz w:val="20"/>
                <w:szCs w:val="20"/>
                <w:b w:val="1"/>
                <w:bCs w:val="1"/>
                <w:color w:val="auto"/>
                <w:w w:val="88"/>
              </w:rPr>
              <w:t>Notes to Condensed Consolidated Financial Statements (Unaudited)</w:t>
            </w: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0"/>
        </w:trPr>
        <w:tc>
          <w:tcPr>
            <w:tcW w:w="9840" w:type="dxa"/>
            <w:vAlign w:val="bottom"/>
          </w:tcPr>
          <w:p>
            <w:pPr>
              <w:jc w:val="center"/>
              <w:ind w:left="1329"/>
              <w:spacing w:after="0"/>
              <w:rPr>
                <w:sz w:val="20"/>
                <w:szCs w:val="20"/>
                <w:color w:val="auto"/>
              </w:rPr>
            </w:pPr>
            <w:r>
              <w:rPr>
                <w:rFonts w:ascii="Arial" w:cs="Arial" w:eastAsia="Arial" w:hAnsi="Arial"/>
                <w:sz w:val="16"/>
                <w:szCs w:val="16"/>
                <w:i w:val="1"/>
                <w:iCs w:val="1"/>
                <w:color w:val="auto"/>
                <w:w w:val="90"/>
              </w:rPr>
              <w:t>(in thousands, except share and per share amounts and where noted)</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671"/>
        </w:trPr>
        <w:tc>
          <w:tcPr>
            <w:tcW w:w="9840" w:type="dxa"/>
            <w:vAlign w:val="bottom"/>
          </w:tcPr>
          <w:p>
            <w:pPr>
              <w:ind w:left="660"/>
              <w:spacing w:after="0"/>
              <w:rPr>
                <w:sz w:val="20"/>
                <w:szCs w:val="20"/>
                <w:color w:val="auto"/>
              </w:rPr>
            </w:pPr>
            <w:r>
              <w:rPr>
                <w:rFonts w:ascii="Arial" w:cs="Arial" w:eastAsia="Arial" w:hAnsi="Arial"/>
                <w:sz w:val="20"/>
                <w:szCs w:val="20"/>
                <w:color w:val="auto"/>
              </w:rPr>
              <w:t>As of September 30, 2022, maturities of operating lease liabilities were as follows: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09"/>
        </w:trPr>
        <w:tc>
          <w:tcPr>
            <w:tcW w:w="9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FY2023</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6,045</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FY2024</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12,522</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FY2025</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9,702</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FY2026</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9,553</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FY2027</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w:t>
            </w:r>
          </w:p>
        </w:tc>
      </w:tr>
      <w:tr>
        <w:trPr>
          <w:trHeight w:val="229"/>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35,157</w:t>
            </w:r>
          </w:p>
        </w:tc>
      </w:tr>
      <w:tr>
        <w:trPr>
          <w:trHeight w:val="223"/>
        </w:trPr>
        <w:tc>
          <w:tcPr>
            <w:tcW w:w="9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lease liabilities</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81,685</w:t>
            </w:r>
          </w:p>
        </w:tc>
      </w:tr>
      <w:tr>
        <w:trPr>
          <w:trHeight w:val="229"/>
        </w:trPr>
        <w:tc>
          <w:tcPr>
            <w:tcW w:w="98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Imputed interest</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(9,601)</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72,084</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Unfunded Capital Commitments</w:t>
      </w:r>
    </w:p>
    <w:p>
      <w:pPr>
        <w:spacing w:after="0" w:line="235" w:lineRule="exact"/>
        <w:rPr>
          <w:sz w:val="20"/>
          <w:szCs w:val="20"/>
          <w:color w:val="auto"/>
        </w:rPr>
      </w:pPr>
    </w:p>
    <w:p>
      <w:pPr>
        <w:ind w:right="40" w:firstLine="648"/>
        <w:spacing w:after="0" w:line="251" w:lineRule="auto"/>
        <w:rPr>
          <w:sz w:val="20"/>
          <w:szCs w:val="20"/>
          <w:color w:val="auto"/>
        </w:rPr>
      </w:pPr>
      <w:r>
        <w:rPr>
          <w:rFonts w:ascii="Arial" w:cs="Arial" w:eastAsia="Arial" w:hAnsi="Arial"/>
          <w:sz w:val="20"/>
          <w:szCs w:val="20"/>
          <w:color w:val="auto"/>
        </w:rPr>
        <w:t>As of September 30, 2022 and March 31, 2022, the Company, generally in its capacity as general partner or managing member of the StepStone Funds, had unfunded commitments totaling $84.9 million and $68.2 million, respectively. The $84.9 million and $68.2 million of unfunded commitments as of September 30, 2022 and March 31, 2022, respectively, exclude $39.0 million and $40.5 million, respectively, related to commitments held by the legacy Greenspring general partner entities in legacy Greenspring funds for which the Company does not hold any direct economic interests.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Carried Interest Allocations</w:t>
      </w:r>
    </w:p>
    <w:p>
      <w:pPr>
        <w:spacing w:after="0" w:line="222" w:lineRule="exact"/>
        <w:rPr>
          <w:sz w:val="20"/>
          <w:szCs w:val="20"/>
          <w:color w:val="auto"/>
        </w:rPr>
      </w:pPr>
    </w:p>
    <w:p>
      <w:pPr>
        <w:ind w:right="20" w:firstLine="648"/>
        <w:spacing w:after="0" w:line="280" w:lineRule="auto"/>
        <w:rPr>
          <w:sz w:val="20"/>
          <w:szCs w:val="20"/>
          <w:color w:val="auto"/>
        </w:rPr>
      </w:pPr>
      <w:r>
        <w:rPr>
          <w:rFonts w:ascii="Arial" w:cs="Arial" w:eastAsia="Arial" w:hAnsi="Arial"/>
          <w:sz w:val="18"/>
          <w:szCs w:val="18"/>
          <w:color w:val="auto"/>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September 30, 2022 and March 31, 2022, no material amounts for potential clawback obligations had been accrued. This contingent obligation is normally reduced by income taxes that the Company has paid related to the carried interest allocations. As of September 30, 2022, the maximum amount of carried interest allocations (excluding legacy Greenspring carried interest allocations) attributable to the Company subject to contingent repayment was an estimated $252.6 million, net of tax, assuming the fair value of all investments was zero, a possibility that the Company views as remote.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Indemnification Arrangements</w:t>
      </w:r>
    </w:p>
    <w:p>
      <w:pPr>
        <w:spacing w:after="0" w:line="235" w:lineRule="exact"/>
        <w:rPr>
          <w:sz w:val="20"/>
          <w:szCs w:val="20"/>
          <w:color w:val="auto"/>
        </w:rPr>
      </w:pPr>
    </w:p>
    <w:p>
      <w:pPr>
        <w:ind w:right="20" w:firstLine="648"/>
        <w:spacing w:after="0" w:line="285" w:lineRule="auto"/>
        <w:rPr>
          <w:sz w:val="20"/>
          <w:szCs w:val="20"/>
          <w:color w:val="auto"/>
        </w:rPr>
      </w:pPr>
      <w:r>
        <w:rPr>
          <w:rFonts w:ascii="Arial" w:cs="Arial" w:eastAsia="Arial" w:hAnsi="Arial"/>
          <w:sz w:val="18"/>
          <w:szCs w:val="18"/>
          <w:color w:val="auto"/>
        </w:rPr>
        <w:t>In the normal course of business and consistent with standard business practices, the Company has provided general indemnifications to its limited partners, officers and directors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condensed consolidated balance sheets as of September 30, 2022 and March 31, 2022. Based on past experience, management believes that the risk of loss related to these indemnities is remote.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6"/>
          <w:szCs w:val="16"/>
          <w:b w:val="1"/>
          <w:bCs w:val="1"/>
          <w:color w:val="auto"/>
        </w:rPr>
        <w:t>Subsequent Events</w:t>
      </w:r>
    </w:p>
    <w:p>
      <w:pPr>
        <w:spacing w:after="0" w:line="235"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On November 3, 2022, the Company announced a quarterly cash dividend of $0.20 per share of Class A common stock, payable on December 15, 2022 to holders of record as of the close of business on November 30, 2022.</w:t>
      </w:r>
    </w:p>
    <w:p>
      <w:pPr>
        <w:spacing w:after="0" w:line="190"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In November 2022, the Company entered into new arrangements with an entity named Conversus Holdings LLC (“CH”), which arrangements are intended to update the legacy Conversus compensation structure to better incentivize the Conversus team to grow the platform, while ensuring the platform will remain part of StepStone going forward. Conversus is the platform established by the Company to expand access to the private markets for high-net-worth and accredited investors, and in connection with the new arrangements, both the platform and its associated retail funds are expected to be rebranded as StepStone Private Wealth. At the establishment of the platform, the Conversus management team, through CH, were provided an ability to acquire the platform from the Company in exchange for an amount which would have provided the Company a return of its initial investment plus an equity return.</w:t>
      </w:r>
    </w:p>
    <w:p>
      <w:pPr>
        <w:spacing w:after="0" w:line="174" w:lineRule="exact"/>
        <w:rPr>
          <w:sz w:val="20"/>
          <w:szCs w:val="20"/>
          <w:color w:val="auto"/>
        </w:rPr>
      </w:pPr>
    </w:p>
    <w:p>
      <w:pPr>
        <w:ind w:firstLine="648"/>
        <w:spacing w:after="0" w:line="284" w:lineRule="auto"/>
        <w:rPr>
          <w:sz w:val="20"/>
          <w:szCs w:val="20"/>
          <w:color w:val="auto"/>
        </w:rPr>
      </w:pPr>
      <w:r>
        <w:rPr>
          <w:rFonts w:ascii="Arial" w:cs="Arial" w:eastAsia="Arial" w:hAnsi="Arial"/>
          <w:sz w:val="18"/>
          <w:szCs w:val="18"/>
          <w:color w:val="auto"/>
        </w:rPr>
        <w:t>As part of the new arrangements, the private wealth team will receive a profits interest in StepStone Conversus LLC (to be renamed StepStone Group Private Wealth LLC) and has entered into an option agreement which provides that, (i) StepStone has the right to acquire the profits interest at the end of any fiscal quarter after June 30, 2027, in exchange for payment of a call price and (ii) CH has the right to put the profits interest to StepStone on June 30, 2026 or at the end of any fiscal quarter after, in exchange for payment of a put price. The applicable call or put price is, in certain circumstances, subject to an earnout or earndown. The call or put price will be payable in cash unless the Company elects to pay a portion of the consideration in units of the Partnership, each to be exchangeable into shares of the Company’s Class A Common Stock, and, in either case, rights under one or more tax receivable agreements.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43" w:name="page44"/>
    <w:bookmarkEnd w:id="43"/>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35" w:lineRule="exact"/>
        <w:rPr>
          <w:sz w:val="20"/>
          <w:szCs w:val="20"/>
          <w:color w:val="auto"/>
        </w:rPr>
      </w:pPr>
    </w:p>
    <w:p>
      <w:pPr>
        <w:ind w:right="20" w:firstLine="648"/>
        <w:spacing w:after="0" w:line="257" w:lineRule="auto"/>
        <w:rPr>
          <w:sz w:val="20"/>
          <w:szCs w:val="20"/>
          <w:color w:val="auto"/>
        </w:rPr>
      </w:pPr>
      <w:r>
        <w:rPr>
          <w:rFonts w:ascii="Arial" w:cs="Arial" w:eastAsia="Arial" w:hAnsi="Arial"/>
          <w:sz w:val="19"/>
          <w:szCs w:val="19"/>
          <w:i w:val="1"/>
          <w:iCs w:val="1"/>
          <w:color w:val="auto"/>
        </w:rPr>
        <w:t>The following discussion and analysis should be read in conjunction with the unaudited condensed consolidated financial statements and the related notes included within this quarterly report on Form 10-Q and our audited financial statements, the related notes, and Management’s Discussion and Analysis of Financial Condition and Results of Operations included in our annual report on Form 10-K for the fiscal year ended March 31, 2022 filed with the SEC. In this quarterly report, references to “we,” “us,” “our,” “StepStone” and similar terms refer to SSG and its consolidated subsidiaries, including the Partnership.</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Business Overview</w:t>
      </w:r>
    </w:p>
    <w:p>
      <w:pPr>
        <w:spacing w:after="0" w:line="222" w:lineRule="exact"/>
        <w:rPr>
          <w:sz w:val="20"/>
          <w:szCs w:val="20"/>
          <w:color w:val="auto"/>
        </w:rPr>
      </w:pPr>
    </w:p>
    <w:p>
      <w:pPr>
        <w:ind w:right="40" w:firstLine="648"/>
        <w:spacing w:after="0" w:line="265" w:lineRule="auto"/>
        <w:rPr>
          <w:sz w:val="20"/>
          <w:szCs w:val="20"/>
          <w:color w:val="auto"/>
        </w:rPr>
      </w:pPr>
      <w:r>
        <w:rPr>
          <w:rFonts w:ascii="Arial" w:cs="Arial" w:eastAsia="Arial" w:hAnsi="Arial"/>
          <w:sz w:val="19"/>
          <w:szCs w:val="19"/>
          <w:color w:val="auto"/>
        </w:rPr>
        <w:t>We are a global private markets investment firm focused on providing customized investment solutions and advisory, data and administrative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September 30, 2022, we oversaw approximately $602 billion of private markets allocations, including $135 billion of AUM and $467 billion of AUA.</w:t>
      </w:r>
    </w:p>
    <w:p>
      <w:pPr>
        <w:spacing w:after="0" w:line="191" w:lineRule="exact"/>
        <w:rPr>
          <w:sz w:val="20"/>
          <w:szCs w:val="20"/>
          <w:color w:val="auto"/>
        </w:rPr>
      </w:pPr>
    </w:p>
    <w:p>
      <w:pPr>
        <w:ind w:firstLine="648"/>
        <w:spacing w:after="0" w:line="265" w:lineRule="auto"/>
        <w:rPr>
          <w:sz w:val="20"/>
          <w:szCs w:val="20"/>
          <w:color w:val="auto"/>
        </w:rPr>
      </w:pPr>
      <w:r>
        <w:rPr>
          <w:rFonts w:ascii="Arial" w:cs="Arial" w:eastAsia="Arial" w:hAnsi="Arial"/>
          <w:sz w:val="19"/>
          <w:szCs w:val="19"/>
          <w:color w:val="auto"/>
        </w:rPr>
        <w:t>We are a global firm and believe that our multi-asset class expertise, local knowledge, business relationships, proprietary data and technology, and presence are all critical to securing a competitive edge in the private markets. We deploy a local staffing model, operating from 24 cities across 15 countries on five continents. Our offices are staffed by investment professionals who bring valuable regional insights and language proficiency to enhance existing client relationships and build new client relationships. Since our inception in 2007, we have invested heavily in our platforms to drive growth and expand our investment solutions capabilities and service offerings, including through opportunistic transactions that have helped accelerate the growth of our team and capabilities. As of September 30, 2022, we had 886 total employees, including over 310 investment professionals and 575 employees across our operating team and implementation teams dedicated to sourcing, executing, analyzing and monitoring private markets opportunities.</w:t>
      </w:r>
    </w:p>
    <w:p>
      <w:pPr>
        <w:spacing w:after="0" w:line="190"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We have a flexible business model whereby many of our clients engage us for solutions across multiple asset classes and investment strategies. Our solutions are typically offered in the following commercial structures:</w:t>
      </w:r>
    </w:p>
    <w:p>
      <w:pPr>
        <w:spacing w:after="0" w:line="190" w:lineRule="exact"/>
        <w:rPr>
          <w:sz w:val="20"/>
          <w:szCs w:val="20"/>
          <w:color w:val="auto"/>
        </w:rPr>
      </w:pPr>
    </w:p>
    <w:p>
      <w:pPr>
        <w:ind w:left="660" w:right="60" w:hanging="328"/>
        <w:spacing w:after="0" w:line="255"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i w:val="1"/>
          <w:iCs w:val="1"/>
          <w:color w:val="231F20"/>
        </w:rPr>
        <w:t>Separately managed accounts (“SMAs”)</w:t>
      </w:r>
      <w:r>
        <w:rPr>
          <w:rFonts w:ascii="Arial" w:cs="Arial" w:eastAsia="Arial" w:hAnsi="Arial"/>
          <w:sz w:val="20"/>
          <w:szCs w:val="20"/>
          <w:color w:val="000000"/>
        </w:rPr>
        <w:t>. Owned by one client and managed according to their specific preferences, SMAs integrate</w:t>
      </w:r>
      <w:r>
        <w:rPr>
          <w:rFonts w:ascii="Arial" w:cs="Arial" w:eastAsia="Arial" w:hAnsi="Arial"/>
          <w:sz w:val="20"/>
          <w:szCs w:val="20"/>
          <w:i w:val="1"/>
          <w:iCs w:val="1"/>
          <w:color w:val="231F20"/>
        </w:rPr>
        <w:t xml:space="preserve"> </w:t>
      </w:r>
      <w:r>
        <w:rPr>
          <w:rFonts w:ascii="Arial" w:cs="Arial" w:eastAsia="Arial" w:hAnsi="Arial"/>
          <w:sz w:val="20"/>
          <w:szCs w:val="20"/>
          <w:color w:val="000000"/>
        </w:rPr>
        <w:t>a combination of primaries, secondaries and co-investments across one or more asset classes. SMAs are meant to address clients’ specific portfolio objectives with respect to return, risk tolerance, diversification and liquidity. SMAs, including directly managed assets, comprised $79 billion of our AUM as of September 30, 2022</w:t>
      </w:r>
      <w:r>
        <w:rPr>
          <w:rFonts w:ascii="Arial" w:cs="Arial" w:eastAsia="Arial" w:hAnsi="Arial"/>
          <w:sz w:val="20"/>
          <w:szCs w:val="20"/>
          <w:color w:val="231F20"/>
        </w:rPr>
        <w:t>.</w:t>
      </w:r>
    </w:p>
    <w:p>
      <w:pPr>
        <w:spacing w:after="0" w:line="183" w:lineRule="exact"/>
        <w:rPr>
          <w:rFonts w:ascii="Arial" w:cs="Arial" w:eastAsia="Arial" w:hAnsi="Arial"/>
          <w:sz w:val="20"/>
          <w:szCs w:val="20"/>
          <w:color w:val="auto"/>
        </w:rPr>
      </w:pPr>
    </w:p>
    <w:p>
      <w:pPr>
        <w:ind w:left="660" w:right="180" w:hanging="328"/>
        <w:spacing w:after="0" w:line="332" w:lineRule="auto"/>
        <w:tabs>
          <w:tab w:leader="none" w:pos="648"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231F20"/>
        </w:rPr>
        <w:t xml:space="preserve">Focused commingled funds. </w:t>
      </w:r>
      <w:r>
        <w:rPr>
          <w:rFonts w:ascii="Arial" w:cs="Arial" w:eastAsia="Arial" w:hAnsi="Arial"/>
          <w:sz w:val="18"/>
          <w:szCs w:val="18"/>
          <w:color w:val="231F20"/>
        </w:rPr>
        <w:t>Owned by multiple clients, our focused commingled funds deploy capital in specific asset classes with</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defined investment strategies. Focused commingled funds comprised $44 billion of our AUM as of </w:t>
      </w:r>
      <w:r>
        <w:rPr>
          <w:rFonts w:ascii="Arial" w:cs="Arial" w:eastAsia="Arial" w:hAnsi="Arial"/>
          <w:sz w:val="18"/>
          <w:szCs w:val="18"/>
          <w:color w:val="000000"/>
        </w:rPr>
        <w:t>September 30, 2022</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4" w:name="page45"/>
    <w:bookmarkEnd w:id="44"/>
    <w:p>
      <w:pPr>
        <w:spacing w:after="0" w:line="141" w:lineRule="exact"/>
        <w:rPr>
          <w:sz w:val="20"/>
          <w:szCs w:val="20"/>
          <w:color w:val="auto"/>
        </w:rPr>
      </w:pPr>
    </w:p>
    <w:p>
      <w:pPr>
        <w:ind w:left="660" w:right="40" w:hanging="328"/>
        <w:spacing w:after="0" w:line="284"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231F20"/>
        </w:rPr>
        <w:t xml:space="preserve">Advisory, data and administrative services. </w:t>
      </w:r>
      <w:r>
        <w:rPr>
          <w:rFonts w:ascii="Arial" w:cs="Arial" w:eastAsia="Arial" w:hAnsi="Arial"/>
          <w:sz w:val="18"/>
          <w:szCs w:val="18"/>
          <w:color w:val="231F20"/>
        </w:rPr>
        <w:t>These services include one or more of the following for our clients: (i) recurring support</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of portfolio 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(v) licensed access to our proprietary data and technology platforms, including StepStone Private Markets Intelligence (“SPI”) and our other proprietary tools, and (vi) administrative services to unaffiliated investment advisors. Advisory relationships comprised </w:t>
      </w:r>
      <w:r>
        <w:rPr>
          <w:rFonts w:ascii="Arial" w:cs="Arial" w:eastAsia="Arial" w:hAnsi="Arial"/>
          <w:sz w:val="18"/>
          <w:szCs w:val="18"/>
          <w:color w:val="000000"/>
        </w:rPr>
        <w:t>$467 billion</w:t>
      </w:r>
      <w:r>
        <w:rPr>
          <w:rFonts w:ascii="Arial" w:cs="Arial" w:eastAsia="Arial" w:hAnsi="Arial"/>
          <w:sz w:val="18"/>
          <w:szCs w:val="18"/>
          <w:color w:val="231F20"/>
        </w:rPr>
        <w:t xml:space="preserve"> of our AUA and $12 billion of our AUM as of </w:t>
      </w:r>
      <w:r>
        <w:rPr>
          <w:rFonts w:ascii="Arial" w:cs="Arial" w:eastAsia="Arial" w:hAnsi="Arial"/>
          <w:sz w:val="18"/>
          <w:szCs w:val="18"/>
          <w:color w:val="000000"/>
        </w:rPr>
        <w:t>September 30, 2022</w:t>
      </w:r>
      <w:r>
        <w:rPr>
          <w:rFonts w:ascii="Arial" w:cs="Arial" w:eastAsia="Arial" w:hAnsi="Arial"/>
          <w:sz w:val="18"/>
          <w:szCs w:val="18"/>
          <w:color w:val="231F20"/>
        </w:rPr>
        <w:t>.</w:t>
      </w:r>
    </w:p>
    <w:p>
      <w:pPr>
        <w:spacing w:after="0" w:line="161" w:lineRule="exact"/>
        <w:rPr>
          <w:rFonts w:ascii="Arial" w:cs="Arial" w:eastAsia="Arial" w:hAnsi="Arial"/>
          <w:sz w:val="18"/>
          <w:szCs w:val="18"/>
          <w:color w:val="auto"/>
        </w:rPr>
      </w:pPr>
    </w:p>
    <w:p>
      <w:pPr>
        <w:ind w:left="660" w:right="400" w:hanging="328"/>
        <w:spacing w:after="0" w:line="271" w:lineRule="auto"/>
        <w:tabs>
          <w:tab w:leader="none" w:pos="648" w:val="left"/>
        </w:tabs>
        <w:numPr>
          <w:ilvl w:val="0"/>
          <w:numId w:val="22"/>
        </w:numPr>
        <w:rPr>
          <w:rFonts w:ascii="Arial" w:cs="Arial" w:eastAsia="Arial" w:hAnsi="Arial"/>
          <w:sz w:val="19"/>
          <w:szCs w:val="19"/>
          <w:color w:val="auto"/>
        </w:rPr>
      </w:pPr>
      <w:r>
        <w:rPr>
          <w:rFonts w:ascii="Arial" w:cs="Arial" w:eastAsia="Arial" w:hAnsi="Arial"/>
          <w:sz w:val="19"/>
          <w:szCs w:val="19"/>
          <w:i w:val="1"/>
          <w:iCs w:val="1"/>
          <w:color w:val="231F20"/>
        </w:rPr>
        <w:t xml:space="preserve">Portfolio analytics and reporting. </w:t>
      </w:r>
      <w:r>
        <w:rPr>
          <w:rFonts w:ascii="Arial" w:cs="Arial" w:eastAsia="Arial" w:hAnsi="Arial"/>
          <w:sz w:val="19"/>
          <w:szCs w:val="19"/>
          <w:color w:val="231F20"/>
        </w:rPr>
        <w:t>We provide clients with tailored reporting packages, including customized performance</w:t>
      </w:r>
      <w:r>
        <w:rPr>
          <w:rFonts w:ascii="Arial" w:cs="Arial" w:eastAsia="Arial" w:hAnsi="Arial"/>
          <w:sz w:val="19"/>
          <w:szCs w:val="19"/>
          <w:i w:val="1"/>
          <w:iCs w:val="1"/>
          <w:color w:val="231F20"/>
        </w:rPr>
        <w:t xml:space="preserve"> </w:t>
      </w:r>
      <w:r>
        <w:rPr>
          <w:rFonts w:ascii="Arial" w:cs="Arial" w:eastAsia="Arial" w:hAnsi="Arial"/>
          <w:sz w:val="19"/>
          <w:szCs w:val="19"/>
          <w:color w:val="231F20"/>
        </w:rPr>
        <w:t xml:space="preserve">benchmarks as well as associated compliance, administrative and tax capabilities. Mandates for portfolio analytics and reporting services typically include licensed access to our proprietary performance monitoring software, Omni. Omni tracked detailed information on over $865 billion of client commitments as of </w:t>
      </w:r>
      <w:r>
        <w:rPr>
          <w:rFonts w:ascii="Arial" w:cs="Arial" w:eastAsia="Arial" w:hAnsi="Arial"/>
          <w:sz w:val="19"/>
          <w:szCs w:val="19"/>
          <w:color w:val="000000"/>
        </w:rPr>
        <w:t>September 30, 2022</w:t>
      </w:r>
      <w:r>
        <w:rPr>
          <w:rFonts w:ascii="Arial" w:cs="Arial" w:eastAsia="Arial" w:hAnsi="Arial"/>
          <w:sz w:val="19"/>
          <w:szCs w:val="19"/>
          <w:color w:val="231F20"/>
        </w:rPr>
        <w:t>, inclusive of our combined AUM/AUA, previously exited investments and investments of former clients.</w:t>
      </w:r>
    </w:p>
    <w:p>
      <w:pPr>
        <w:spacing w:after="0" w:line="170" w:lineRule="exact"/>
        <w:rPr>
          <w:sz w:val="20"/>
          <w:szCs w:val="20"/>
          <w:color w:val="auto"/>
        </w:rPr>
      </w:pPr>
    </w:p>
    <w:p>
      <w:pPr>
        <w:ind w:right="200" w:firstLine="648"/>
        <w:spacing w:after="0" w:line="293" w:lineRule="auto"/>
        <w:rPr>
          <w:sz w:val="20"/>
          <w:szCs w:val="20"/>
          <w:color w:val="auto"/>
        </w:rPr>
      </w:pPr>
      <w:r>
        <w:rPr>
          <w:rFonts w:ascii="Arial" w:cs="Arial" w:eastAsia="Arial" w:hAnsi="Arial"/>
          <w:sz w:val="18"/>
          <w:szCs w:val="18"/>
          <w:color w:val="auto"/>
        </w:rPr>
        <w:t>We generate revenues from management and advisory fees and performance fees earned pursuant to contractual arrangements with our funds and our clients. We also invest our own capital in the StepStone Funds we manage to align our interests with those of our clients. Through these investments, we earn a pro-rata share of the results of such funds and may also be entitled to an allocation of performance-based fees from the limited partners in the StepStone Funds, commonly referred to as carried interest.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Trends Affecting Our Business</w:t>
      </w:r>
    </w:p>
    <w:p>
      <w:pPr>
        <w:spacing w:after="0" w:line="222" w:lineRule="exact"/>
        <w:rPr>
          <w:sz w:val="20"/>
          <w:szCs w:val="20"/>
          <w:color w:val="auto"/>
        </w:rPr>
      </w:pPr>
    </w:p>
    <w:p>
      <w:pPr>
        <w:ind w:right="140" w:firstLine="648"/>
        <w:spacing w:after="0" w:line="327" w:lineRule="auto"/>
        <w:rPr>
          <w:sz w:val="20"/>
          <w:szCs w:val="20"/>
          <w:color w:val="auto"/>
        </w:rPr>
      </w:pPr>
      <w:r>
        <w:rPr>
          <w:rFonts w:ascii="Arial" w:cs="Arial" w:eastAsia="Arial" w:hAnsi="Arial"/>
          <w:sz w:val="16"/>
          <w:szCs w:val="16"/>
          <w:color w:val="auto"/>
        </w:rPr>
        <w:t>Our business is affected by a variety of factors, including conditions in the financial markets and economic and political conditions. Changes in global economic conditions and regulatory or other governmental policies or actions can materially affect the values of the StepStone Funds’ holdings and the ability to source attractive investments and completely utilize the capital that we have raised. However, we believe our disciplined investment philosophy across our diversified investment strategies has historically contributed to the stability of our performance throughout market cycles. Furthermore, we operate at scale across all four private markets asset classes and service clients across a broad range of geography, type, and size, which contributes to our operating resilience and mitigates against concentration risk.</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In addition to these macroeconomic trends and market factors, we believe our future performance will be influenced by the following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231F20"/>
        </w:rPr>
        <w:t>factors:</w:t>
      </w:r>
    </w:p>
    <w:p>
      <w:pPr>
        <w:spacing w:after="0" w:line="213" w:lineRule="exact"/>
        <w:rPr>
          <w:sz w:val="20"/>
          <w:szCs w:val="20"/>
          <w:color w:val="auto"/>
        </w:rPr>
      </w:pPr>
    </w:p>
    <w:p>
      <w:pPr>
        <w:ind w:left="660" w:hanging="328"/>
        <w:spacing w:after="0" w:line="252" w:lineRule="auto"/>
        <w:tabs>
          <w:tab w:leader="none" w:pos="648" w:val="left"/>
        </w:tabs>
        <w:numPr>
          <w:ilvl w:val="0"/>
          <w:numId w:val="23"/>
        </w:numPr>
        <w:rPr>
          <w:rFonts w:ascii="Arial" w:cs="Arial" w:eastAsia="Arial" w:hAnsi="Arial"/>
          <w:sz w:val="20"/>
          <w:szCs w:val="20"/>
          <w:color w:val="auto"/>
        </w:rPr>
      </w:pPr>
      <w:r>
        <w:rPr>
          <w:rFonts w:ascii="Arial" w:cs="Arial" w:eastAsia="Arial" w:hAnsi="Arial"/>
          <w:sz w:val="20"/>
          <w:szCs w:val="20"/>
          <w:i w:val="1"/>
          <w:iCs w:val="1"/>
          <w:color w:val="231F20"/>
        </w:rPr>
        <w:t xml:space="preserve">The extent to which clients favor private markets investments. </w:t>
      </w:r>
      <w:r>
        <w:rPr>
          <w:rFonts w:ascii="Arial" w:cs="Arial" w:eastAsia="Arial" w:hAnsi="Arial"/>
          <w:sz w:val="20"/>
          <w:szCs w:val="20"/>
          <w:color w:val="231F20"/>
        </w:rPr>
        <w:t>Our ability to attract new capital is partially dependent on clients’</w:t>
      </w:r>
      <w:r>
        <w:rPr>
          <w:rFonts w:ascii="Arial" w:cs="Arial" w:eastAsia="Arial" w:hAnsi="Arial"/>
          <w:sz w:val="20"/>
          <w:szCs w:val="20"/>
          <w:i w:val="1"/>
          <w:iCs w:val="1"/>
          <w:color w:val="231F20"/>
        </w:rPr>
        <w:t xml:space="preserve"> </w:t>
      </w:r>
      <w:r>
        <w:rPr>
          <w:rFonts w:ascii="Arial" w:cs="Arial" w:eastAsia="Arial" w:hAnsi="Arial"/>
          <w:sz w:val="20"/>
          <w:szCs w:val="20"/>
          <w:color w:val="231F20"/>
        </w:rPr>
        <w:t>views of private markets relative to traditional asset classes. We believe our fundraising efforts will continue to be subject to certain fundamental asset management trends, including (1) the increasing importance and market share of private markets investment strategies to clients of all types as clients focus on lower-correlated and absolute levels of return, (2) the increasing demand for private markets investments from private wealth clients, (3) shifting asset allocation policies of institutional clients and (4) increasing barriers to entry and growth for potential competitors.</w:t>
      </w:r>
    </w:p>
    <w:p>
      <w:pPr>
        <w:spacing w:after="0" w:line="184" w:lineRule="exact"/>
        <w:rPr>
          <w:rFonts w:ascii="Arial" w:cs="Arial" w:eastAsia="Arial" w:hAnsi="Arial"/>
          <w:sz w:val="20"/>
          <w:szCs w:val="20"/>
          <w:color w:val="auto"/>
        </w:rPr>
      </w:pPr>
    </w:p>
    <w:p>
      <w:pPr>
        <w:ind w:left="660" w:hanging="328"/>
        <w:spacing w:after="0" w:line="290"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231F20"/>
        </w:rPr>
        <w:t xml:space="preserve">Our ability to generate strong, stable returns. </w:t>
      </w:r>
      <w:r>
        <w:rPr>
          <w:rFonts w:ascii="Arial" w:cs="Arial" w:eastAsia="Arial" w:hAnsi="Arial"/>
          <w:sz w:val="18"/>
          <w:szCs w:val="18"/>
          <w:color w:val="231F20"/>
        </w:rPr>
        <w:t>Our ability to raise and retain capital is partially dependent on the investment returns</w:t>
      </w:r>
      <w:r>
        <w:rPr>
          <w:rFonts w:ascii="Arial" w:cs="Arial" w:eastAsia="Arial" w:hAnsi="Arial"/>
          <w:sz w:val="18"/>
          <w:szCs w:val="18"/>
          <w:i w:val="1"/>
          <w:iCs w:val="1"/>
          <w:color w:val="231F20"/>
        </w:rPr>
        <w:t xml:space="preserve"> </w:t>
      </w:r>
      <w:r>
        <w:rPr>
          <w:rFonts w:ascii="Arial" w:cs="Arial" w:eastAsia="Arial" w:hAnsi="Arial"/>
          <w:sz w:val="18"/>
          <w:szCs w:val="18"/>
          <w:color w:val="231F20"/>
        </w:rPr>
        <w:t>we are able to generate for our clients and drives growth in our fee-earning AUM (“FEAUM”) and management fees. Although our FEAUM and management fees have grown significantly since our inception, adverse market conditions or an outflow of capital in the private markets management industry in general could affect our future growth rate. In addition, market dislocations, contractions or volatility could put pressure on our returns in the future which could in turn affect our fundraising abilities.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141" w:lineRule="exact"/>
        <w:rPr>
          <w:sz w:val="20"/>
          <w:szCs w:val="20"/>
          <w:color w:val="auto"/>
        </w:rPr>
      </w:pPr>
    </w:p>
    <w:p>
      <w:pPr>
        <w:ind w:left="660" w:right="40" w:hanging="328"/>
        <w:spacing w:after="0" w:line="286"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231F20"/>
        </w:rPr>
        <w:t xml:space="preserve">Our ability to maintain our data advantage relative to competitors. </w:t>
      </w:r>
      <w:r>
        <w:rPr>
          <w:rFonts w:ascii="Arial" w:cs="Arial" w:eastAsia="Arial" w:hAnsi="Arial"/>
          <w:sz w:val="18"/>
          <w:szCs w:val="18"/>
          <w:color w:val="231F20"/>
        </w:rPr>
        <w:t>Our proprietary data and technology platforms, analytical tools</w:t>
      </w:r>
      <w:r>
        <w:rPr>
          <w:rFonts w:ascii="Arial" w:cs="Arial" w:eastAsia="Arial" w:hAnsi="Arial"/>
          <w:sz w:val="18"/>
          <w:szCs w:val="18"/>
          <w:i w:val="1"/>
          <w:iCs w:val="1"/>
          <w:color w:val="231F20"/>
        </w:rPr>
        <w:t xml:space="preserve"> </w:t>
      </w:r>
      <w:r>
        <w:rPr>
          <w:rFonts w:ascii="Arial" w:cs="Arial" w:eastAsia="Arial" w:hAnsi="Arial"/>
          <w:sz w:val="18"/>
          <w:szCs w:val="18"/>
          <w:color w:val="231F20"/>
        </w:rPr>
        <w:t>and deep industry knowledge allow us to provide our clients with customized investment solutions, including asset management services and tailored reporting packages, such as customized performance benchmarks as well as compliance, administration and tax capabilities. Our ability to maintain our data advantage is dependent on a number of factors, including our continued access to a broad set of private market information and our ability to grow our relationships with fund managers and clients of all types.</w:t>
      </w:r>
    </w:p>
    <w:p>
      <w:pPr>
        <w:spacing w:after="0" w:line="170" w:lineRule="exact"/>
        <w:rPr>
          <w:rFonts w:ascii="Arial" w:cs="Arial" w:eastAsia="Arial" w:hAnsi="Arial"/>
          <w:sz w:val="18"/>
          <w:szCs w:val="18"/>
          <w:color w:val="auto"/>
        </w:rPr>
      </w:pPr>
    </w:p>
    <w:p>
      <w:pPr>
        <w:ind w:left="660" w:hanging="328"/>
        <w:spacing w:after="0" w:line="252"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i w:val="1"/>
          <w:iCs w:val="1"/>
          <w:color w:val="231F20"/>
        </w:rPr>
        <w:t xml:space="preserve">Our ability to source investments with attractive risk-adjusted returns. </w:t>
      </w:r>
      <w:r>
        <w:rPr>
          <w:rFonts w:ascii="Arial" w:cs="Arial" w:eastAsia="Arial" w:hAnsi="Arial"/>
          <w:sz w:val="20"/>
          <w:szCs w:val="20"/>
          <w:color w:val="231F20"/>
        </w:rPr>
        <w:t>The continued growth in our revenues is dependent on our</w:t>
      </w:r>
      <w:r>
        <w:rPr>
          <w:rFonts w:ascii="Arial" w:cs="Arial" w:eastAsia="Arial" w:hAnsi="Arial"/>
          <w:sz w:val="20"/>
          <w:szCs w:val="20"/>
          <w:i w:val="1"/>
          <w:iCs w:val="1"/>
          <w:color w:val="231F20"/>
        </w:rPr>
        <w:t xml:space="preserve"> </w:t>
      </w:r>
      <w:r>
        <w:rPr>
          <w:rFonts w:ascii="Arial" w:cs="Arial" w:eastAsia="Arial" w:hAnsi="Arial"/>
          <w:sz w:val="20"/>
          <w:szCs w:val="20"/>
          <w:color w:val="231F20"/>
        </w:rPr>
        <w:t>ability to identify attractive investments and deploy the capital that we have raised. However, the capital deployed in any one quarter may vary significantly from period to period due to the availability of attractive opportunities and the long-term nature of our investment strategies. Our ability to identify attractive investments is dependent on a number of factors, including the general macroeconomic environment, valuation, transaction size, and the liquidity of an investment opportunity. A significant decrease in the quality or quantity of potential opportunities could significantly and adversely affect our ability to source investments with attractive risk-adjusted returns.</w:t>
      </w:r>
    </w:p>
    <w:p>
      <w:pPr>
        <w:spacing w:after="0" w:line="186" w:lineRule="exact"/>
        <w:rPr>
          <w:rFonts w:ascii="Arial" w:cs="Arial" w:eastAsia="Arial" w:hAnsi="Arial"/>
          <w:sz w:val="20"/>
          <w:szCs w:val="20"/>
          <w:color w:val="auto"/>
        </w:rPr>
      </w:pPr>
    </w:p>
    <w:p>
      <w:pPr>
        <w:ind w:left="660" w:right="20" w:hanging="328"/>
        <w:spacing w:after="0" w:line="255"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i w:val="1"/>
          <w:iCs w:val="1"/>
          <w:color w:val="231F20"/>
        </w:rPr>
        <w:t xml:space="preserve">Increased competition and clients’ desire to work with fewer managers. </w:t>
      </w:r>
      <w:r>
        <w:rPr>
          <w:rFonts w:ascii="Arial" w:cs="Arial" w:eastAsia="Arial" w:hAnsi="Arial"/>
          <w:sz w:val="20"/>
          <w:szCs w:val="20"/>
          <w:color w:val="231F20"/>
        </w:rPr>
        <w:t>There has been an increasing desire on the part of larger</w:t>
      </w:r>
      <w:r>
        <w:rPr>
          <w:rFonts w:ascii="Arial" w:cs="Arial" w:eastAsia="Arial" w:hAnsi="Arial"/>
          <w:sz w:val="20"/>
          <w:szCs w:val="20"/>
          <w:i w:val="1"/>
          <w:iCs w:val="1"/>
          <w:color w:val="231F20"/>
        </w:rPr>
        <w:t xml:space="preserve"> </w:t>
      </w:r>
      <w:r>
        <w:rPr>
          <w:rFonts w:ascii="Arial" w:cs="Arial" w:eastAsia="Arial" w:hAnsi="Arial"/>
          <w:sz w:val="20"/>
          <w:szCs w:val="20"/>
          <w:color w:val="231F20"/>
        </w:rPr>
        <w:t>institutional investors to build deeper relationships with fewer private markets managers. At times, this has led to certain funds being oversubscribed due to the increasing flow of capital. Our ability to invest and maintain our relationships with high-performing fund managers across private markets asset classes is critical to our clients’ success and our ability to maintain our competitive position and grow our revenue.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Current Events</w:t>
      </w:r>
    </w:p>
    <w:p>
      <w:pPr>
        <w:spacing w:after="0" w:line="235" w:lineRule="exact"/>
        <w:rPr>
          <w:sz w:val="20"/>
          <w:szCs w:val="20"/>
          <w:color w:val="auto"/>
        </w:rPr>
      </w:pPr>
    </w:p>
    <w:p>
      <w:pPr>
        <w:ind w:right="20" w:firstLine="648"/>
        <w:spacing w:after="0" w:line="280" w:lineRule="auto"/>
        <w:rPr>
          <w:sz w:val="20"/>
          <w:szCs w:val="20"/>
          <w:color w:val="auto"/>
        </w:rPr>
      </w:pPr>
      <w:r>
        <w:rPr>
          <w:rFonts w:ascii="Arial" w:cs="Arial" w:eastAsia="Arial" w:hAnsi="Arial"/>
          <w:sz w:val="18"/>
          <w:szCs w:val="18"/>
          <w:color w:val="231F20"/>
        </w:rPr>
        <w:t>We are continuing to closely monitor developments related to COVID-19, inflation, rising interest rates and the Russia-Ukraine conflict, and to assess the impact on financial markets and on our business. Our future results may be adversely affected by slowdowns in fundraising activity and the pace of capital deployment, which could result in delayed or decreased management fees. Further, if fund managers are unable or less able to profitably exit existing investments, such conditions could result in delayed or decreased performance fee revenues. I</w:t>
      </w:r>
      <w:r>
        <w:rPr>
          <w:rFonts w:ascii="Arial" w:cs="Arial" w:eastAsia="Arial" w:hAnsi="Arial"/>
          <w:sz w:val="18"/>
          <w:szCs w:val="18"/>
          <w:color w:val="000000"/>
        </w:rPr>
        <w:t>t is currently not possible to predict the ultimate effects of these events on the financial markets, overall economy and our</w:t>
      </w:r>
      <w:r>
        <w:rPr>
          <w:rFonts w:ascii="Arial" w:cs="Arial" w:eastAsia="Arial" w:hAnsi="Arial"/>
          <w:sz w:val="18"/>
          <w:szCs w:val="18"/>
          <w:color w:val="231F20"/>
        </w:rPr>
        <w:t xml:space="preserve"> </w:t>
      </w:r>
      <w:r>
        <w:rPr>
          <w:rFonts w:ascii="Arial" w:cs="Arial" w:eastAsia="Arial" w:hAnsi="Arial"/>
          <w:sz w:val="18"/>
          <w:szCs w:val="18"/>
          <w:color w:val="000000"/>
        </w:rPr>
        <w:t>condensed consolidated financial statements. For a description on the impact of these and other factors, see “Risk Factors—Risks Related to Our Industry—Difficult or volatile market and political conditions can adversely affect our business by reducing the market value of the assets we manage or causing our SMA clients to reduce their investments in private markets” and “—The COVID-19 pandemic has severely disrupted the global financial markets and business climate and may adversely affect our business, financial condition and results of operations” included in our annual report on Form 10-K for the fiscal year ended March 31, 2022.</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6" w:name="page47"/>
    <w:bookmarkEnd w:id="46"/>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Recent Transactions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Greenspring Acquisition</w:t>
      </w:r>
    </w:p>
    <w:p>
      <w:pPr>
        <w:spacing w:after="0" w:line="222" w:lineRule="exact"/>
        <w:rPr>
          <w:sz w:val="20"/>
          <w:szCs w:val="20"/>
          <w:color w:val="auto"/>
        </w:rPr>
      </w:pPr>
    </w:p>
    <w:p>
      <w:pPr>
        <w:ind w:right="20" w:firstLine="648"/>
        <w:spacing w:after="0" w:line="267" w:lineRule="auto"/>
        <w:rPr>
          <w:sz w:val="20"/>
          <w:szCs w:val="20"/>
          <w:color w:val="auto"/>
        </w:rPr>
      </w:pPr>
      <w:r>
        <w:rPr>
          <w:rFonts w:ascii="Arial" w:cs="Arial" w:eastAsia="Arial" w:hAnsi="Arial"/>
          <w:sz w:val="19"/>
          <w:szCs w:val="19"/>
          <w:color w:val="auto"/>
        </w:rPr>
        <w:t>On September 20, 2021, we completed the acquisition of 100% of the equity of Greenspring in exchange for (i) cash consideration of approximately $185 million, net of an agreed upon adjustment based upon Greenspring’s net working capital balance at the closing date, (ii) 12,686,756 shares of Class A common stock and (iii) 3,071,519 newly issued Class C units of the Partnership, in each case subject to certain adjustments (including customary adjustments for cash, debt, debt-like items, transaction expenses and net working capital at closing). The transaction agreement also provides for the payment of an earn-out of up to $75 million that is payable in 2025 subject to the achievement of certain management fee revenue targets for calendar year 2024. The results of Greenspring’s operations have been included in the condensed consolidated financial statements effective September 20, 2021.</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Revolving Credit Facility</w:t>
      </w:r>
    </w:p>
    <w:p>
      <w:pPr>
        <w:spacing w:after="0" w:line="235" w:lineRule="exact"/>
        <w:rPr>
          <w:sz w:val="20"/>
          <w:szCs w:val="20"/>
          <w:color w:val="auto"/>
        </w:rPr>
      </w:pPr>
    </w:p>
    <w:p>
      <w:pPr>
        <w:ind w:right="100" w:firstLine="648"/>
        <w:spacing w:after="0" w:line="255" w:lineRule="auto"/>
        <w:rPr>
          <w:sz w:val="20"/>
          <w:szCs w:val="20"/>
          <w:color w:val="auto"/>
        </w:rPr>
      </w:pPr>
      <w:r>
        <w:rPr>
          <w:rFonts w:ascii="Arial" w:cs="Arial" w:eastAsia="Arial" w:hAnsi="Arial"/>
          <w:sz w:val="20"/>
          <w:szCs w:val="20"/>
          <w:color w:val="auto"/>
        </w:rPr>
        <w:t>In September 2021, we entered into a credit agreement with various lenders (the “Credit Agreement”) in connection with the Greenspring acquisition. The Credit Agreement was arranged by JPMorgan Chase Bank, N.A., as administrative agent, and provides for a $225.0 million multicurrency revolving credit facility (the “Revolver”) with a five year maturity. As of September 30, 2022, there was $63.1 million outstanding on the Revolver, net of debt issuance costs.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 Transactions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June 2022, we issued 257,776 shares of Class A common stock to certain limited partners of the Partnership in exchange for</w:t>
      </w:r>
    </w:p>
    <w:p>
      <w:pPr>
        <w:spacing w:after="0" w:line="43"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257,776 Class B units in accordance with elective exchange notices submitted pursuant to an agreement with the Class B limited partners (the “Class B Exchange Agreement”) to allow for exchange of Class B units of the Partnership to shares of Class A common stock of the Company on a one-for-one basis, subject to certain restrictions. A corresponding number of shares of Class B common stock were automatically redeemed at par value and canceled in connection with such exchange and a corresponding number of Class A units of the Partnership were issued to us.</w:t>
      </w:r>
    </w:p>
    <w:p>
      <w:pPr>
        <w:spacing w:after="0" w:line="190" w:lineRule="exact"/>
        <w:rPr>
          <w:sz w:val="20"/>
          <w:szCs w:val="20"/>
          <w:color w:val="auto"/>
        </w:rPr>
      </w:pPr>
    </w:p>
    <w:p>
      <w:pPr>
        <w:ind w:right="60" w:firstLine="648"/>
        <w:spacing w:after="0" w:line="273" w:lineRule="auto"/>
        <w:rPr>
          <w:sz w:val="20"/>
          <w:szCs w:val="20"/>
          <w:color w:val="auto"/>
        </w:rPr>
      </w:pPr>
      <w:r>
        <w:rPr>
          <w:rFonts w:ascii="Arial" w:cs="Arial" w:eastAsia="Arial" w:hAnsi="Arial"/>
          <w:sz w:val="19"/>
          <w:szCs w:val="19"/>
          <w:color w:val="auto"/>
        </w:rPr>
        <w:t>In September 2022, we issued 175,000 shares of Class A common stock to certain limited partners of the Partnership in exchange for 175,000 Class B units in accordance with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Organizational Structure</w:t>
      </w:r>
    </w:p>
    <w:p>
      <w:pPr>
        <w:spacing w:after="0" w:line="222" w:lineRule="exact"/>
        <w:rPr>
          <w:sz w:val="20"/>
          <w:szCs w:val="20"/>
          <w:color w:val="auto"/>
        </w:rPr>
      </w:pPr>
    </w:p>
    <w:p>
      <w:pPr>
        <w:ind w:right="20" w:firstLine="648"/>
        <w:spacing w:after="0" w:line="255" w:lineRule="auto"/>
        <w:rPr>
          <w:sz w:val="20"/>
          <w:szCs w:val="20"/>
          <w:color w:val="auto"/>
        </w:rPr>
      </w:pPr>
      <w:r>
        <w:rPr>
          <w:rFonts w:ascii="Arial" w:cs="Arial" w:eastAsia="Arial" w:hAnsi="Arial"/>
          <w:sz w:val="20"/>
          <w:szCs w:val="20"/>
          <w:color w:val="auto"/>
        </w:rPr>
        <w:t>SSG is a holding company and its only business is to act as the managing member of the General Partner, and its only material assets are Class A units in the Partnership and 100% of the interests in the General Partner. In its capacity as the sole managing member of the General Partner, SSG indirectly operates and controls all of the Partnership’s business and affairs. Therefore, we consolidate the financial results of the Partnership and report non-controlling interests related to the Class B units and Class C units held by partners of the Partnership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1" w:lineRule="exact"/>
        <w:rPr>
          <w:sz w:val="20"/>
          <w:szCs w:val="20"/>
          <w:color w:val="auto"/>
        </w:rPr>
      </w:pPr>
    </w:p>
    <w:p>
      <w:pPr>
        <w:ind w:firstLine="648"/>
        <w:spacing w:after="0" w:line="252" w:lineRule="auto"/>
        <w:rPr>
          <w:sz w:val="20"/>
          <w:szCs w:val="20"/>
          <w:color w:val="auto"/>
        </w:rPr>
      </w:pPr>
      <w:r>
        <w:rPr>
          <w:rFonts w:ascii="Arial" w:cs="Arial" w:eastAsia="Arial" w:hAnsi="Arial"/>
          <w:sz w:val="20"/>
          <w:szCs w:val="20"/>
          <w:color w:val="auto"/>
        </w:rPr>
        <w:t>Pursuant to the StepStone Limited Partnership Agreement, the Class B Exchange Agreement and Class C Exchange Agreement that SSG and the Partnership entered into with partners holding Class B units and Class C units of the Partnership, respectively, each Class B unit or Class C unit is exchangeable for one share of SSG’s Class A common stock or, at SSG’s election, for cash, subject to certain restrictions specified in the relevant exchange agreement. When a Class B unit or Class C unit is surrendered for exchange, it will not be available for reissuance. When a Class B unit is exchanged for a share of SSG’s Class A common stock, a corresponding share of SSG’s Class B common stock will automatically be redeemed by SSG at par value and canceled. There are no corresponding shares of common stock for the Class C units.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diagram below illustrates our organizational structure as of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156210</wp:posOffset>
            </wp:positionV>
            <wp:extent cx="5452110" cy="28460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211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Amounts may not sum to total due to rounding.</w:t>
      </w:r>
    </w:p>
    <w:p>
      <w:pPr>
        <w:spacing w:after="0" w:line="225"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partners of the Partnership other than StepStone Group Inc. are:</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General Partner, which holds a 100% general partner interest and no economic interests;</w:t>
      </w:r>
    </w:p>
    <w:p>
      <w:pPr>
        <w:spacing w:after="0" w:line="9" w:lineRule="exact"/>
        <w:rPr>
          <w:rFonts w:ascii="Arial" w:cs="Arial" w:eastAsia="Arial" w:hAnsi="Arial"/>
          <w:sz w:val="18"/>
          <w:szCs w:val="18"/>
          <w:color w:val="auto"/>
        </w:rPr>
      </w:pPr>
    </w:p>
    <w:p>
      <w:pPr>
        <w:ind w:left="1300" w:right="200" w:hanging="644"/>
        <w:spacing w:after="0" w:line="250" w:lineRule="auto"/>
        <w:tabs>
          <w:tab w:leader="none" w:pos="1295" w:val="left"/>
        </w:tabs>
        <w:numPr>
          <w:ilvl w:val="1"/>
          <w:numId w:val="25"/>
        </w:numPr>
        <w:rPr>
          <w:rFonts w:ascii="Arial" w:cs="Arial" w:eastAsia="Arial" w:hAnsi="Arial"/>
          <w:sz w:val="18"/>
          <w:szCs w:val="18"/>
          <w:color w:val="auto"/>
        </w:rPr>
      </w:pPr>
      <w:r>
        <w:rPr>
          <w:rFonts w:ascii="Arial" w:cs="Arial" w:eastAsia="Arial" w:hAnsi="Arial"/>
          <w:sz w:val="18"/>
          <w:szCs w:val="18"/>
          <w:color w:val="auto"/>
        </w:rPr>
        <w:t>certain members of management, employee owners and outside investors, all of whom own Class B units and an equivalent number of shares of Class B common stock;</w:t>
      </w:r>
    </w:p>
    <w:p>
      <w:pPr>
        <w:ind w:left="1300" w:hanging="644"/>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certain members of management and employees who own Class B2 units;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certain employee owners who own Class C units.</w:t>
      </w:r>
    </w:p>
    <w:p>
      <w:pPr>
        <w:spacing w:after="0" w:line="9" w:lineRule="exact"/>
        <w:rPr>
          <w:rFonts w:ascii="Arial" w:cs="Arial" w:eastAsia="Arial" w:hAnsi="Arial"/>
          <w:sz w:val="18"/>
          <w:szCs w:val="18"/>
          <w:color w:val="auto"/>
        </w:rPr>
      </w:pPr>
    </w:p>
    <w:p>
      <w:pPr>
        <w:ind w:left="660" w:right="40" w:hanging="652"/>
        <w:spacing w:after="0" w:line="250" w:lineRule="auto"/>
        <w:tabs>
          <w:tab w:leader="none" w:pos="654"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share of Class A common stock is entitled to one vote and vote together with the Class B common stock as a single class, except as set forth in SSG’s amended and restated certificate of incorporation or as required by law.</w:t>
      </w:r>
    </w:p>
    <w:p>
      <w:pPr>
        <w:jc w:val="both"/>
        <w:ind w:left="660" w:right="40" w:hanging="652"/>
        <w:spacing w:after="0" w:line="255" w:lineRule="auto"/>
        <w:tabs>
          <w:tab w:leader="none" w:pos="654"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share of Class B common stock is entitled to five votes prior to a Sunset (as defined below). After a Sunset becomes effective, each share of our Class B common stock will then entitle its holder to one vote. The economic rights of our Class B common stock are limited to the right to be redeemed at par value.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8" w:name="page49"/>
    <w:bookmarkEnd w:id="48"/>
    <w:p>
      <w:pPr>
        <w:spacing w:after="0" w:line="141" w:lineRule="exact"/>
        <w:rPr>
          <w:sz w:val="20"/>
          <w:szCs w:val="20"/>
          <w:color w:val="auto"/>
        </w:rPr>
      </w:pPr>
    </w:p>
    <w:p>
      <w:pPr>
        <w:ind w:right="60" w:firstLine="648"/>
        <w:spacing w:after="0" w:line="264" w:lineRule="auto"/>
        <w:rPr>
          <w:sz w:val="20"/>
          <w:szCs w:val="20"/>
          <w:color w:val="auto"/>
        </w:rPr>
      </w:pPr>
      <w:r>
        <w:rPr>
          <w:rFonts w:ascii="Arial" w:cs="Arial" w:eastAsia="Arial" w:hAnsi="Arial"/>
          <w:sz w:val="19"/>
          <w:szCs w:val="19"/>
          <w:color w:val="auto"/>
        </w:rPr>
        <w:t>A “Sunset” is triggered upon the earliest to occur of the following: (i) Monte Brem, Scott Hart, Jason Ment, Jose Fernandez, Johnny Randel, Michael McCabe, Mark Maruszewski, Thomas Keck, Thomas Bradley, David Jeffrey and Darren Friedman (including their respective family trusts and any other permitted transferees, the “Sunset Holders”) collectively cease to maintain direct or indirect beneficial ownership of at least 10% of the outstanding shares of Class A common stock (determined assuming all outstanding Class B units have been exchanged for Class A common stock); (ii) the Sunset Holders cease collectively to maintain direct or indirect beneficial ownership of an aggregate of at least 25% of the aggregate voting power of our outstanding Class A common stock and Class B common stock, before giving effect to a Sunset; and (iii) September 18, 2025. As of September 30, 2022 the Sunset Holders collectively maintained direct or indirect beneficial ownership of approximately 31.2% of the Class A common stock (determined assuming all outstanding Class B units have been exchanged for Class A common stock) and approximately 56.1% of the aggregate voting power of our outstanding Class A common stock and Class B common stock.</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Key Financial Measures</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Our key financial measures are discussed below. Additional information regarding our significant accounting policies can be found in note 2 to our condensed consolidated financial statements included elsewhere in this quarterly report.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generate revenues primarily from management and advisory fees, incentive fees and allocations of carried interest.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Management and Advisory Fees, Net</w:t>
      </w:r>
    </w:p>
    <w:p>
      <w:pPr>
        <w:spacing w:after="0" w:line="229" w:lineRule="exact"/>
        <w:rPr>
          <w:sz w:val="20"/>
          <w:szCs w:val="20"/>
          <w:color w:val="auto"/>
        </w:rPr>
      </w:pPr>
    </w:p>
    <w:p>
      <w:pPr>
        <w:ind w:right="280" w:firstLine="648"/>
        <w:spacing w:after="0" w:line="260" w:lineRule="auto"/>
        <w:rPr>
          <w:sz w:val="20"/>
          <w:szCs w:val="20"/>
          <w:color w:val="auto"/>
        </w:rPr>
      </w:pPr>
      <w:r>
        <w:rPr>
          <w:rFonts w:ascii="Arial" w:cs="Arial" w:eastAsia="Arial" w:hAnsi="Arial"/>
          <w:sz w:val="20"/>
          <w:szCs w:val="20"/>
          <w:color w:val="231F20"/>
        </w:rPr>
        <w:t>Management and advisory fees, net, consist of fees received from managing SMAs and focused commingled funds, advisory, data and administrative services, and portfolio analytics and reporting.</w:t>
      </w:r>
    </w:p>
    <w:p>
      <w:pPr>
        <w:spacing w:after="0" w:line="190" w:lineRule="exact"/>
        <w:rPr>
          <w:sz w:val="20"/>
          <w:szCs w:val="20"/>
          <w:color w:val="auto"/>
        </w:rPr>
      </w:pPr>
    </w:p>
    <w:p>
      <w:pPr>
        <w:ind w:left="660" w:right="320" w:hanging="328"/>
        <w:spacing w:after="0" w:line="251"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231F20"/>
        </w:rPr>
        <w:t>Management fees from SMAs are generally based on a contractual rate applied to committed capital or net invested capital under management. These fees will vary over the life of the contract due to changes in the fee basis or contractual rate changes or thresholds, built-in declines in applicable contractual rates, and/or changes in net invested capital balances. The weighted-average management fee rate from SMAs was approximately 0.40% and 0.40% of average FEAUM for the twelve months ended September 30, 2021 and 2022, respectively.</w:t>
      </w:r>
    </w:p>
    <w:p>
      <w:pPr>
        <w:spacing w:after="0" w:line="201" w:lineRule="exact"/>
        <w:rPr>
          <w:rFonts w:ascii="Arial" w:cs="Arial" w:eastAsia="Arial" w:hAnsi="Arial"/>
          <w:sz w:val="20"/>
          <w:szCs w:val="20"/>
          <w:color w:val="auto"/>
        </w:rPr>
      </w:pPr>
    </w:p>
    <w:p>
      <w:pPr>
        <w:ind w:left="660" w:hanging="328"/>
        <w:spacing w:after="0" w:line="268" w:lineRule="auto"/>
        <w:tabs>
          <w:tab w:leader="none" w:pos="648" w:val="left"/>
        </w:tabs>
        <w:numPr>
          <w:ilvl w:val="0"/>
          <w:numId w:val="26"/>
        </w:numPr>
        <w:rPr>
          <w:rFonts w:ascii="Arial" w:cs="Arial" w:eastAsia="Arial" w:hAnsi="Arial"/>
          <w:sz w:val="19"/>
          <w:szCs w:val="19"/>
          <w:color w:val="auto"/>
        </w:rPr>
      </w:pPr>
      <w:r>
        <w:rPr>
          <w:rFonts w:ascii="Arial" w:cs="Arial" w:eastAsia="Arial" w:hAnsi="Arial"/>
          <w:sz w:val="19"/>
          <w:szCs w:val="19"/>
          <w:color w:val="231F20"/>
        </w:rPr>
        <w:t>Management fees from focused commingled funds are generally based on a specified fee rate applied against client capital commitments during a defined investment or commitment period. Thereafter, management fees are typically calculated based on a contractual rate applied against net invested capital, or a stepped-down fee rate applied against the initial commitment. The weighted-average management fee rate from focused commingled funds was approximately 0.85% and 0.85% of average FEAUM for the twelve months ended September 30, 2021 and 2022, respectively.</w:t>
      </w:r>
    </w:p>
    <w:p>
      <w:pPr>
        <w:spacing w:after="0" w:line="184" w:lineRule="exact"/>
        <w:rPr>
          <w:rFonts w:ascii="Arial" w:cs="Arial" w:eastAsia="Arial" w:hAnsi="Arial"/>
          <w:sz w:val="19"/>
          <w:szCs w:val="19"/>
          <w:color w:val="auto"/>
        </w:rPr>
      </w:pPr>
    </w:p>
    <w:p>
      <w:pPr>
        <w:jc w:val="both"/>
        <w:ind w:left="660" w:right="280" w:hanging="328"/>
        <w:spacing w:after="0" w:line="257"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231F20"/>
        </w:rPr>
        <w:t>The weighted-average management fee rate across SMAs and focused commingled funds was approximately 0.51% and 0.55% of average FEAUM for the twelve months ended September 30, 2021 and 2022, and primarily reflected the timing of new funds and shifts in mix between SMAs and focused commingled funds.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1" w:lineRule="exact"/>
        <w:rPr>
          <w:sz w:val="20"/>
          <w:szCs w:val="20"/>
          <w:color w:val="auto"/>
        </w:rPr>
      </w:pPr>
    </w:p>
    <w:p>
      <w:pPr>
        <w:ind w:left="660" w:right="20" w:hanging="328"/>
        <w:spacing w:after="0" w:line="286" w:lineRule="auto"/>
        <w:tabs>
          <w:tab w:leader="none" w:pos="648"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Fee revenues from advisory, StepStone Portfolio Analytics &amp; Reporting (“SPAR”), SPI or administrative services are generally annual fixed fees, which vary based on the scope of services we provide. We also provide certain project-based or event-driven advisory services. The fees for these services are negotiated and typically paid upon successful delivery of services or on the execution of the event-driven service. Because advisory fees are negotiated and typically paid upon successful delivery of services or on the execution of the event-driven service, advisory fees do not necessarily correlate with the total size of our AUA.</w:t>
      </w:r>
    </w:p>
    <w:p>
      <w:pPr>
        <w:spacing w:after="0" w:line="170" w:lineRule="exact"/>
        <w:rPr>
          <w:rFonts w:ascii="Arial" w:cs="Arial" w:eastAsia="Arial" w:hAnsi="Arial"/>
          <w:sz w:val="18"/>
          <w:szCs w:val="18"/>
          <w:color w:val="231F20"/>
        </w:rPr>
      </w:pPr>
    </w:p>
    <w:p>
      <w:pPr>
        <w:ind w:left="660" w:hanging="328"/>
        <w:spacing w:after="0" w:line="255"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231F20"/>
        </w:rPr>
        <w:t>Management fees are reflected net of (i) certain professional and administrative services that we arrange to be performed by third parties on behalf of investment funds and (ii) certain distribution and servicing fees paid to third-party financial institutions. In both situations, we are acting as an agent because we do not control the services provided by the third parties before they are transferred to the customer.</w:t>
      </w:r>
    </w:p>
    <w:p>
      <w:pPr>
        <w:spacing w:after="0" w:line="183"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i w:val="1"/>
          <w:iCs w:val="1"/>
          <w:color w:val="auto"/>
        </w:rPr>
        <w:t>Performance Fees</w:t>
      </w:r>
    </w:p>
    <w:p>
      <w:pPr>
        <w:spacing w:after="0" w:line="229"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 xml:space="preserve">We earn two types of performance fee revenues: incentive fees and carried interest allocations, as described below. Incentive fees comprise fees earned from certain client investment mandates for which we do not have a general partnership interest in a StepStone Fund. Carried interest allocations include the allocation of performance-based fees, commonly referred to as carried interest, from limited partners in the StepStone Funds to us. In connection with the Greenspring acquisition, we did not acquire any direct economic interests in the carried interest allocations of certain legacy Greenspring funds. As a result, carried interest allocations in respect of such legacy Greenspring funds have been reflected as </w:t>
      </w:r>
      <w:r>
        <w:rPr>
          <w:rFonts w:ascii="Arial" w:cs="Arial" w:eastAsia="Arial" w:hAnsi="Arial"/>
          <w:sz w:val="18"/>
          <w:szCs w:val="18"/>
          <w:color w:val="231F20"/>
        </w:rPr>
        <w:t>legacy Greenspring carried interest allocations in the condensed consolidated statements of income, with a</w:t>
      </w:r>
      <w:r>
        <w:rPr>
          <w:rFonts w:ascii="Arial" w:cs="Arial" w:eastAsia="Arial" w:hAnsi="Arial"/>
          <w:sz w:val="18"/>
          <w:szCs w:val="18"/>
          <w:color w:val="auto"/>
        </w:rPr>
        <w:t xml:space="preserve"> </w:t>
      </w:r>
      <w:r>
        <w:rPr>
          <w:rFonts w:ascii="Arial" w:cs="Arial" w:eastAsia="Arial" w:hAnsi="Arial"/>
          <w:sz w:val="18"/>
          <w:szCs w:val="18"/>
          <w:color w:val="231F20"/>
        </w:rPr>
        <w:t>corresponding amount reflected as legacy Greenspring performance fee-related compensation as these amounts are payable to certain employees</w:t>
      </w:r>
      <w:r>
        <w:rPr>
          <w:rFonts w:ascii="Arial" w:cs="Arial" w:eastAsia="Arial" w:hAnsi="Arial"/>
          <w:sz w:val="18"/>
          <w:szCs w:val="18"/>
          <w:color w:val="000000"/>
        </w:rPr>
        <w:t>. As of September 30, 2022, we had over $59 billion of performance fee-eligible capital (excluding certain legacy Greenspring</w:t>
      </w:r>
      <w:r>
        <w:rPr>
          <w:rFonts w:ascii="Arial" w:cs="Arial" w:eastAsia="Arial" w:hAnsi="Arial"/>
          <w:sz w:val="18"/>
          <w:szCs w:val="18"/>
          <w:color w:val="231F20"/>
        </w:rPr>
        <w:t xml:space="preserve"> </w:t>
      </w:r>
      <w:r>
        <w:rPr>
          <w:rFonts w:ascii="Arial" w:cs="Arial" w:eastAsia="Arial" w:hAnsi="Arial"/>
          <w:sz w:val="18"/>
          <w:szCs w:val="18"/>
          <w:color w:val="000000"/>
        </w:rPr>
        <w:t>funds) across approximately 165 programs.</w:t>
      </w:r>
    </w:p>
    <w:p>
      <w:pPr>
        <w:spacing w:after="0" w:line="160" w:lineRule="exact"/>
        <w:rPr>
          <w:sz w:val="20"/>
          <w:szCs w:val="20"/>
          <w:color w:val="auto"/>
        </w:rPr>
      </w:pPr>
    </w:p>
    <w:p>
      <w:pPr>
        <w:ind w:right="80" w:firstLine="648"/>
        <w:spacing w:after="0" w:line="267" w:lineRule="auto"/>
        <w:rPr>
          <w:sz w:val="20"/>
          <w:szCs w:val="20"/>
          <w:color w:val="auto"/>
        </w:rPr>
      </w:pPr>
      <w:r>
        <w:rPr>
          <w:rFonts w:ascii="Arial" w:cs="Arial" w:eastAsia="Arial" w:hAnsi="Arial"/>
          <w:sz w:val="19"/>
          <w:szCs w:val="19"/>
          <w:i w:val="1"/>
          <w:iCs w:val="1"/>
          <w:color w:val="231F20"/>
        </w:rPr>
        <w:t xml:space="preserve">Incentive fees </w:t>
      </w:r>
      <w:r>
        <w:rPr>
          <w:rFonts w:ascii="Arial" w:cs="Arial" w:eastAsia="Arial" w:hAnsi="Arial"/>
          <w:sz w:val="19"/>
          <w:szCs w:val="19"/>
          <w:color w:val="231F20"/>
        </w:rPr>
        <w:t>are generally calculated as a percentage of the profits (up to 10%) earned in respect of certain accounts for which we</w:t>
      </w:r>
      <w:r>
        <w:rPr>
          <w:rFonts w:ascii="Arial" w:cs="Arial" w:eastAsia="Arial" w:hAnsi="Arial"/>
          <w:sz w:val="19"/>
          <w:szCs w:val="19"/>
          <w:i w:val="1"/>
          <w:iCs w:val="1"/>
          <w:color w:val="231F20"/>
        </w:rPr>
        <w:t xml:space="preserve"> </w:t>
      </w:r>
      <w:r>
        <w:rPr>
          <w:rFonts w:ascii="Arial" w:cs="Arial" w:eastAsia="Arial" w:hAnsi="Arial"/>
          <w:sz w:val="19"/>
          <w:szCs w:val="19"/>
          <w:color w:val="231F20"/>
        </w:rPr>
        <w:t>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89"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231F20"/>
        </w:rPr>
        <w:t>We recognize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141"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i w:val="1"/>
          <w:iCs w:val="1"/>
          <w:color w:val="231F20"/>
        </w:rPr>
        <w:t xml:space="preserve">Carried interest allocations </w:t>
      </w:r>
      <w:r>
        <w:rPr>
          <w:rFonts w:ascii="Arial" w:cs="Arial" w:eastAsia="Arial" w:hAnsi="Arial"/>
          <w:sz w:val="20"/>
          <w:szCs w:val="20"/>
          <w:color w:val="231F20"/>
        </w:rPr>
        <w:t>include the allocation of performance-based fees to us from limited partners in the StepStone Funds in</w:t>
      </w:r>
      <w:r>
        <w:rPr>
          <w:rFonts w:ascii="Arial" w:cs="Arial" w:eastAsia="Arial" w:hAnsi="Arial"/>
          <w:sz w:val="20"/>
          <w:szCs w:val="20"/>
          <w:i w:val="1"/>
          <w:iCs w:val="1"/>
          <w:color w:val="231F20"/>
        </w:rPr>
        <w:t xml:space="preserve"> </w:t>
      </w:r>
      <w:r>
        <w:rPr>
          <w:rFonts w:ascii="Arial" w:cs="Arial" w:eastAsia="Arial" w:hAnsi="Arial"/>
          <w:sz w:val="20"/>
          <w:szCs w:val="20"/>
          <w:color w:val="231F20"/>
        </w:rPr>
        <w:t xml:space="preserve">which we hold an equity interest. We are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the respective fund’s governing documents. We account for our investment balances in the StepStone Funds, including carried interest allocations, under the equity method of accounting because we are presumed to have significant influence as the general partner or managing member. Accordingly, carried interest allocations are not deemed to be within the scope of Accounting Standards Codification Topic 606 (“ASC 606”), </w:t>
      </w:r>
      <w:r>
        <w:rPr>
          <w:rFonts w:ascii="Arial" w:cs="Arial" w:eastAsia="Arial" w:hAnsi="Arial"/>
          <w:sz w:val="20"/>
          <w:szCs w:val="20"/>
          <w:i w:val="1"/>
          <w:iCs w:val="1"/>
          <w:color w:val="231F20"/>
        </w:rPr>
        <w:t>Revenue from Contracts</w:t>
      </w:r>
      <w:r>
        <w:rPr>
          <w:rFonts w:ascii="Arial" w:cs="Arial" w:eastAsia="Arial" w:hAnsi="Arial"/>
          <w:sz w:val="20"/>
          <w:szCs w:val="20"/>
          <w:color w:val="231F20"/>
        </w:rPr>
        <w:t xml:space="preserve"> </w:t>
      </w:r>
      <w:r>
        <w:rPr>
          <w:rFonts w:ascii="Arial" w:cs="Arial" w:eastAsia="Arial" w:hAnsi="Arial"/>
          <w:sz w:val="20"/>
          <w:szCs w:val="20"/>
          <w:i w:val="1"/>
          <w:iCs w:val="1"/>
          <w:color w:val="231F20"/>
        </w:rPr>
        <w:t>with Customers</w:t>
      </w:r>
      <w:r>
        <w:rPr>
          <w:rFonts w:ascii="Arial" w:cs="Arial" w:eastAsia="Arial" w:hAnsi="Arial"/>
          <w:sz w:val="20"/>
          <w:szCs w:val="20"/>
          <w:color w:val="231F20"/>
        </w:rPr>
        <w:t>.</w:t>
      </w:r>
    </w:p>
    <w:p>
      <w:pPr>
        <w:spacing w:after="0" w:line="203"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i w:val="1"/>
          <w:iCs w:val="1"/>
          <w:color w:val="231F20"/>
        </w:rPr>
        <w:t xml:space="preserve">Legacy Greenspring carried interest allocations </w:t>
      </w:r>
      <w:r>
        <w:rPr>
          <w:rFonts w:ascii="Arial" w:cs="Arial" w:eastAsia="Arial" w:hAnsi="Arial"/>
          <w:sz w:val="18"/>
          <w:szCs w:val="18"/>
          <w:color w:val="231F20"/>
        </w:rPr>
        <w:t>include the allocation of carried interest to legacy Greenspring general partner</w:t>
      </w:r>
      <w:r>
        <w:rPr>
          <w:rFonts w:ascii="Arial" w:cs="Arial" w:eastAsia="Arial" w:hAnsi="Arial"/>
          <w:sz w:val="18"/>
          <w:szCs w:val="18"/>
          <w:i w:val="1"/>
          <w:iCs w:val="1"/>
          <w:color w:val="231F20"/>
        </w:rPr>
        <w:t xml:space="preserve"> </w:t>
      </w:r>
      <w:r>
        <w:rPr>
          <w:rFonts w:ascii="Arial" w:cs="Arial" w:eastAsia="Arial" w:hAnsi="Arial"/>
          <w:sz w:val="18"/>
          <w:szCs w:val="18"/>
          <w:color w:val="231F20"/>
        </w:rPr>
        <w:t>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We account for the investments and carried interest allocations under the equity method of accounting. We do not have any direct economic interests in the legacy Greenspring general partner entities and thus are not entitled to any carried interest allocation from certain legacy Greenspring funds. All of the carried interest allocations in respect of such legacy Greenspring funds are payable to employees who are considered affiliates of the Company and are therefore reflected as legacy Greenspring performance fee-related compensation in the condensed consolidated statements of income. Accordingly, legacy Greenspring carried interest allocations are not deemed to be within the scope of ASC 606.</w:t>
      </w:r>
    </w:p>
    <w:p>
      <w:pPr>
        <w:spacing w:after="0" w:line="160" w:lineRule="exact"/>
        <w:rPr>
          <w:sz w:val="20"/>
          <w:szCs w:val="20"/>
          <w:color w:val="auto"/>
        </w:rPr>
      </w:pPr>
    </w:p>
    <w:p>
      <w:pPr>
        <w:ind w:right="80" w:firstLine="648"/>
        <w:spacing w:after="0" w:line="267" w:lineRule="auto"/>
        <w:rPr>
          <w:sz w:val="20"/>
          <w:szCs w:val="20"/>
          <w:color w:val="auto"/>
        </w:rPr>
      </w:pPr>
      <w:r>
        <w:rPr>
          <w:rFonts w:ascii="Arial" w:cs="Arial" w:eastAsia="Arial" w:hAnsi="Arial"/>
          <w:sz w:val="19"/>
          <w:szCs w:val="19"/>
          <w:color w:val="auto"/>
        </w:rPr>
        <w:t>We recognize revenue attributable to carried interest allocations from a StepStone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which is included as a component of investments in the condensed consolidated balance sheets.</w:t>
      </w:r>
    </w:p>
    <w:p>
      <w:pPr>
        <w:spacing w:after="0" w:line="189"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us based on cumulative results. As such, a liability is accrued for the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 As of September 30, 2022 and March 31, 2022, no material amounts for potential clawback obligations had been accrued.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Expenses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Cash-based compensation </w:t>
      </w:r>
      <w:r>
        <w:rPr>
          <w:rFonts w:ascii="Arial" w:cs="Arial" w:eastAsia="Arial" w:hAnsi="Arial"/>
          <w:sz w:val="20"/>
          <w:szCs w:val="20"/>
          <w:color w:val="auto"/>
        </w:rPr>
        <w:t>primarily includes salaries, bonuses, employee benefits and employer-related payroll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Equity-based compensation </w:t>
      </w:r>
      <w:r>
        <w:rPr>
          <w:rFonts w:ascii="Arial" w:cs="Arial" w:eastAsia="Arial" w:hAnsi="Arial"/>
          <w:sz w:val="19"/>
          <w:szCs w:val="19"/>
          <w:color w:val="auto"/>
        </w:rPr>
        <w:t>represents grants of equity related awards or arrangements to certain employees and directors.</w:t>
      </w:r>
    </w:p>
    <w:p>
      <w:pPr>
        <w:spacing w:after="0" w:line="241" w:lineRule="exact"/>
        <w:rPr>
          <w:sz w:val="20"/>
          <w:szCs w:val="20"/>
          <w:color w:val="auto"/>
        </w:rPr>
      </w:pPr>
    </w:p>
    <w:p>
      <w:pPr>
        <w:ind w:right="120" w:firstLine="648"/>
        <w:spacing w:after="0" w:line="251" w:lineRule="auto"/>
        <w:rPr>
          <w:sz w:val="20"/>
          <w:szCs w:val="20"/>
          <w:color w:val="auto"/>
        </w:rPr>
      </w:pPr>
      <w:r>
        <w:rPr>
          <w:rFonts w:ascii="Arial" w:cs="Arial" w:eastAsia="Arial" w:hAnsi="Arial"/>
          <w:sz w:val="20"/>
          <w:szCs w:val="20"/>
          <w:i w:val="1"/>
          <w:iCs w:val="1"/>
          <w:color w:val="auto"/>
        </w:rPr>
        <w:t xml:space="preserve">Performance fee-related compensation </w:t>
      </w:r>
      <w:r>
        <w:rPr>
          <w:rFonts w:ascii="Arial" w:cs="Arial" w:eastAsia="Arial" w:hAnsi="Arial"/>
          <w:sz w:val="20"/>
          <w:szCs w:val="20"/>
          <w:color w:val="auto"/>
        </w:rPr>
        <w:t>represents the portion of carried interest allocation revenue and incentive fees that have been</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awarded to employees as a form of long-term incentive compensation. Performance fee-related compensation is generally tied to the investment performance of the StepStone Funds. </w:t>
      </w:r>
      <w:r>
        <w:rPr>
          <w:rFonts w:ascii="Arial" w:cs="Arial" w:eastAsia="Arial" w:hAnsi="Arial"/>
          <w:sz w:val="20"/>
          <w:szCs w:val="20"/>
          <w:color w:val="231F20"/>
        </w:rPr>
        <w:t>Approximately 50% of carried interest allocation revenue is awarded to employees as part</w:t>
      </w:r>
      <w:r>
        <w:rPr>
          <w:rFonts w:ascii="Arial" w:cs="Arial" w:eastAsia="Arial" w:hAnsi="Arial"/>
          <w:sz w:val="20"/>
          <w:szCs w:val="20"/>
          <w:color w:val="auto"/>
        </w:rPr>
        <w:t xml:space="preserve"> </w:t>
      </w:r>
      <w:r>
        <w:rPr>
          <w:rFonts w:ascii="Arial" w:cs="Arial" w:eastAsia="Arial" w:hAnsi="Arial"/>
          <w:sz w:val="20"/>
          <w:szCs w:val="20"/>
          <w:color w:val="231F20"/>
        </w:rPr>
        <w:t>of our long-term incentive compensation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1" w:lineRule="exact"/>
        <w:rPr>
          <w:sz w:val="20"/>
          <w:szCs w:val="20"/>
          <w:color w:val="auto"/>
        </w:rPr>
      </w:pPr>
    </w:p>
    <w:p>
      <w:pPr>
        <w:ind w:right="120"/>
        <w:spacing w:after="0" w:line="280" w:lineRule="auto"/>
        <w:rPr>
          <w:sz w:val="20"/>
          <w:szCs w:val="20"/>
          <w:color w:val="auto"/>
        </w:rPr>
      </w:pPr>
      <w:r>
        <w:rPr>
          <w:rFonts w:ascii="Arial" w:cs="Arial" w:eastAsia="Arial" w:hAnsi="Arial"/>
          <w:sz w:val="18"/>
          <w:szCs w:val="18"/>
          <w:color w:val="231F20"/>
        </w:rPr>
        <w:t>plan, fostering alignment of interest with our clients and investors, and retaining key investment professionals. Carried interest-related compensation is accounted for as compensation expense in conjunction with the related carried interest allocation revenue and, until paid, is recorded as a component of accrued carried interest-related compensation in the condensed consolidated balance sheets. Carried interest-related compensation expense also includes the portion of net carried interest allocation revenue attributable to equity holders of our consolidated subsidiaries that are not 100% owned by us.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w:t>
      </w:r>
    </w:p>
    <w:p>
      <w:pPr>
        <w:spacing w:after="0" w:line="177"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i w:val="1"/>
          <w:iCs w:val="1"/>
          <w:color w:val="auto"/>
        </w:rPr>
        <w:t xml:space="preserve">Legacy Greenspring performance fee-related compensation </w:t>
      </w:r>
      <w:r>
        <w:rPr>
          <w:rFonts w:ascii="Arial" w:cs="Arial" w:eastAsia="Arial" w:hAnsi="Arial"/>
          <w:sz w:val="18"/>
          <w:szCs w:val="18"/>
          <w:color w:val="auto"/>
        </w:rPr>
        <w:t>represents the legacy Greenspring carried interest allocations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entirely payable to certain employees. Legacy Greenspring </w:t>
      </w:r>
      <w:r>
        <w:rPr>
          <w:rFonts w:ascii="Arial" w:cs="Arial" w:eastAsia="Arial" w:hAnsi="Arial"/>
          <w:sz w:val="18"/>
          <w:szCs w:val="18"/>
          <w:color w:val="231F20"/>
        </w:rPr>
        <w:t>carried interest-related compensation is accounted for as compensation expense in</w:t>
      </w:r>
      <w:r>
        <w:rPr>
          <w:rFonts w:ascii="Arial" w:cs="Arial" w:eastAsia="Arial" w:hAnsi="Arial"/>
          <w:sz w:val="18"/>
          <w:szCs w:val="18"/>
          <w:color w:val="auto"/>
        </w:rPr>
        <w:t xml:space="preserve"> </w:t>
      </w:r>
      <w:r>
        <w:rPr>
          <w:rFonts w:ascii="Arial" w:cs="Arial" w:eastAsia="Arial" w:hAnsi="Arial"/>
          <w:sz w:val="18"/>
          <w:szCs w:val="18"/>
          <w:color w:val="231F20"/>
        </w:rPr>
        <w:t>conjunction with the related legacy Greenspring carried interest allocation revenue and, until paid, is recorded as a component of legacy Greenspring accrued carried interest-related compensation in the condensed consolidated balance sheets. Legacy Greenspring carried interest-related compensation expense may be subject to reversal to the extent that the related legacy Greenspring carried interest allocation revenue is reversed. However, none of the legacy Greenspring carried interest allocation revenue is attributable to the Company.</w:t>
      </w:r>
    </w:p>
    <w:p>
      <w:pPr>
        <w:spacing w:after="0" w:line="172" w:lineRule="exact"/>
        <w:rPr>
          <w:sz w:val="20"/>
          <w:szCs w:val="20"/>
          <w:color w:val="auto"/>
        </w:rPr>
      </w:pPr>
    </w:p>
    <w:p>
      <w:pPr>
        <w:jc w:val="both"/>
        <w:ind w:right="780" w:firstLine="648"/>
        <w:spacing w:after="0" w:line="385" w:lineRule="auto"/>
        <w:rPr>
          <w:sz w:val="20"/>
          <w:szCs w:val="20"/>
          <w:color w:val="auto"/>
        </w:rPr>
      </w:pPr>
      <w:r>
        <w:rPr>
          <w:rFonts w:ascii="Arial" w:cs="Arial" w:eastAsia="Arial" w:hAnsi="Arial"/>
          <w:sz w:val="16"/>
          <w:szCs w:val="16"/>
          <w:i w:val="1"/>
          <w:iCs w:val="1"/>
          <w:color w:val="auto"/>
        </w:rPr>
        <w:t xml:space="preserve">General, administrative and other </w:t>
      </w:r>
      <w:r>
        <w:rPr>
          <w:rFonts w:ascii="Arial" w:cs="Arial" w:eastAsia="Arial" w:hAnsi="Arial"/>
          <w:sz w:val="16"/>
          <w:szCs w:val="16"/>
          <w:color w:val="auto"/>
        </w:rPr>
        <w:t>includes occupancy, travel and related costs, insurance, legal and other professional fees,</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amortization of intangible assets, system-related costs, and other general costs associated with operating our business.</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Other Income (Expense)</w:t>
      </w:r>
    </w:p>
    <w:p>
      <w:pPr>
        <w:spacing w:after="0" w:line="222" w:lineRule="exact"/>
        <w:rPr>
          <w:sz w:val="20"/>
          <w:szCs w:val="20"/>
          <w:color w:val="auto"/>
        </w:rPr>
      </w:pPr>
    </w:p>
    <w:p>
      <w:pPr>
        <w:ind w:right="40" w:firstLine="648"/>
        <w:spacing w:after="0" w:line="265" w:lineRule="auto"/>
        <w:rPr>
          <w:sz w:val="20"/>
          <w:szCs w:val="20"/>
          <w:color w:val="auto"/>
        </w:rPr>
      </w:pPr>
      <w:r>
        <w:rPr>
          <w:rFonts w:ascii="Arial" w:cs="Arial" w:eastAsia="Arial" w:hAnsi="Arial"/>
          <w:sz w:val="19"/>
          <w:szCs w:val="19"/>
          <w:i w:val="1"/>
          <w:iCs w:val="1"/>
          <w:color w:val="231F20"/>
        </w:rPr>
        <w:t xml:space="preserve">Investment income (loss) </w:t>
      </w:r>
      <w:r>
        <w:rPr>
          <w:rFonts w:ascii="Arial" w:cs="Arial" w:eastAsia="Arial" w:hAnsi="Arial"/>
          <w:sz w:val="19"/>
          <w:szCs w:val="19"/>
          <w:color w:val="231F20"/>
        </w:rPr>
        <w:t>primarily represents our share of earnings (losses) from the investments we make in our SMAs and focused</w:t>
      </w:r>
      <w:r>
        <w:rPr>
          <w:rFonts w:ascii="Arial" w:cs="Arial" w:eastAsia="Arial" w:hAnsi="Arial"/>
          <w:sz w:val="19"/>
          <w:szCs w:val="19"/>
          <w:i w:val="1"/>
          <w:iCs w:val="1"/>
          <w:color w:val="231F20"/>
        </w:rPr>
        <w:t xml:space="preserve"> </w:t>
      </w:r>
      <w:r>
        <w:rPr>
          <w:rFonts w:ascii="Arial" w:cs="Arial" w:eastAsia="Arial" w:hAnsi="Arial"/>
          <w:sz w:val="19"/>
          <w:szCs w:val="19"/>
          <w:color w:val="231F20"/>
        </w:rPr>
        <w:t>commingled funds. We, either directly or through our subsidiaries, generally have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w:t>
      </w:r>
    </w:p>
    <w:p>
      <w:pPr>
        <w:spacing w:after="0" w:line="190"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20"/>
          <w:szCs w:val="20"/>
          <w:color w:val="231F20"/>
        </w:rPr>
        <w:t>Consequently, our general partner investments do not include any significant concentrations in a specific sector or geography outside the United States. Investment income and legacy Greenspring investment income exclude carried interest allocations, which are presented as revenues as described above.</w:t>
      </w:r>
    </w:p>
    <w:p>
      <w:pPr>
        <w:spacing w:after="0" w:line="193" w:lineRule="exact"/>
        <w:rPr>
          <w:sz w:val="20"/>
          <w:szCs w:val="20"/>
          <w:color w:val="auto"/>
        </w:rPr>
      </w:pPr>
    </w:p>
    <w:p>
      <w:pPr>
        <w:ind w:firstLine="648"/>
        <w:spacing w:after="0" w:line="268" w:lineRule="auto"/>
        <w:rPr>
          <w:sz w:val="20"/>
          <w:szCs w:val="20"/>
          <w:color w:val="auto"/>
        </w:rPr>
      </w:pPr>
      <w:r>
        <w:rPr>
          <w:rFonts w:ascii="Arial" w:cs="Arial" w:eastAsia="Arial" w:hAnsi="Arial"/>
          <w:sz w:val="19"/>
          <w:szCs w:val="19"/>
          <w:i w:val="1"/>
          <w:iCs w:val="1"/>
          <w:color w:val="231F20"/>
        </w:rPr>
        <w:t xml:space="preserve">Legacy Greenspring investment income </w:t>
      </w:r>
      <w:r>
        <w:rPr>
          <w:rFonts w:ascii="Arial" w:cs="Arial" w:eastAsia="Arial" w:hAnsi="Arial"/>
          <w:sz w:val="19"/>
          <w:szCs w:val="19"/>
          <w:color w:val="231F20"/>
        </w:rPr>
        <w:t>represents our share of earnings from the investments we make in certain legacy Greenspring</w:t>
      </w:r>
      <w:r>
        <w:rPr>
          <w:rFonts w:ascii="Arial" w:cs="Arial" w:eastAsia="Arial" w:hAnsi="Arial"/>
          <w:sz w:val="19"/>
          <w:szCs w:val="19"/>
          <w:i w:val="1"/>
          <w:iCs w:val="1"/>
          <w:color w:val="231F20"/>
        </w:rPr>
        <w:t xml:space="preserve"> </w:t>
      </w:r>
      <w:r>
        <w:rPr>
          <w:rFonts w:ascii="Arial" w:cs="Arial" w:eastAsia="Arial" w:hAnsi="Arial"/>
          <w:sz w:val="19"/>
          <w:szCs w:val="19"/>
          <w:color w:val="231F20"/>
        </w:rPr>
        <w:t>funds through the legacy Greenspring general partner entities. We have no direct economic interests in the legacy Greenspring general partner entities. As a result, all such income is reflected as non-controlling interests in legacy Greenspring entities. Legacy Greenspring investment income will increase or decrease based on the earnings of such legacy Greenspring funds, which are primarily driven by net realized and unrealized gains (losses) on the underlying investments held by the funds.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Interest income </w:t>
      </w:r>
      <w:r>
        <w:rPr>
          <w:rFonts w:ascii="Arial" w:cs="Arial" w:eastAsia="Arial" w:hAnsi="Arial"/>
          <w:sz w:val="20"/>
          <w:szCs w:val="20"/>
          <w:color w:val="auto"/>
        </w:rPr>
        <w:t>consists of income earned on cash and cash equivalents, restricted cash and certificates of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primarily consists of the interest expense on the Revolver, as well as the related amortization of deferred financing</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costs.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Other income (loss) </w:t>
      </w:r>
      <w:r>
        <w:rPr>
          <w:rFonts w:ascii="Arial" w:cs="Arial" w:eastAsia="Arial" w:hAnsi="Arial"/>
          <w:sz w:val="20"/>
          <w:szCs w:val="20"/>
          <w:color w:val="auto"/>
        </w:rPr>
        <w:t>includes foreign currency transaction gains and losses and non-operating activities.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 Expense</w:t>
      </w:r>
    </w:p>
    <w:p>
      <w:pPr>
        <w:spacing w:after="0" w:line="222" w:lineRule="exact"/>
        <w:rPr>
          <w:sz w:val="20"/>
          <w:szCs w:val="20"/>
          <w:color w:val="auto"/>
        </w:rPr>
      </w:pPr>
    </w:p>
    <w:p>
      <w:pPr>
        <w:ind w:right="40" w:firstLine="648"/>
        <w:spacing w:after="0" w:line="257" w:lineRule="auto"/>
        <w:rPr>
          <w:sz w:val="20"/>
          <w:szCs w:val="20"/>
          <w:color w:val="auto"/>
        </w:rPr>
      </w:pPr>
      <w:r>
        <w:rPr>
          <w:rFonts w:ascii="Arial" w:cs="Arial" w:eastAsia="Arial" w:hAnsi="Arial"/>
          <w:sz w:val="19"/>
          <w:szCs w:val="19"/>
          <w:color w:val="231F20"/>
        </w:rPr>
        <w:t>We are a corporation for U.S. federal income tax purposes and therefore are subject to U.S. federal and state income taxes on our share of taxable income generated by the Partnership. The Partnership is treated as a pass-through entity for U.S. federal and state income tax purposes. As such, income generated by the Partnership flows through to its limited partners, including us, and is generally not subject to U.S. federal or state income tax at the Partnership level. Our non-U.S. subsidiaries generally operate as corporate entities in non-U.S. jurisdictions, with certain of these entities subject to local or non-U.S. income taxes. Additionally, certain of our subsidiaries are subject to local jurisdiction income taxes at the entity level. Accordingly, the tax liability with respect to income attributable to non-controlling interests in the Partnership is borne by the holders of such non-controlling interests.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Non-Controlling Interests</w:t>
      </w:r>
    </w:p>
    <w:p>
      <w:pPr>
        <w:spacing w:after="0" w:line="235" w:lineRule="exact"/>
        <w:rPr>
          <w:sz w:val="20"/>
          <w:szCs w:val="20"/>
          <w:color w:val="auto"/>
        </w:rPr>
      </w:pPr>
    </w:p>
    <w:p>
      <w:pPr>
        <w:ind w:firstLine="648"/>
        <w:spacing w:after="0" w:line="286" w:lineRule="auto"/>
        <w:rPr>
          <w:sz w:val="20"/>
          <w:szCs w:val="20"/>
          <w:color w:val="auto"/>
        </w:rPr>
      </w:pPr>
      <w:r>
        <w:rPr>
          <w:rFonts w:ascii="Arial" w:cs="Arial" w:eastAsia="Arial" w:hAnsi="Arial"/>
          <w:sz w:val="18"/>
          <w:szCs w:val="18"/>
          <w:color w:val="auto"/>
        </w:rPr>
        <w:t>Non-controlling interests (“NCI”) reflect the portion of income or loss and the corresponding equity attributable to third-party equity holders and employees in certain consolidated subsidiaries that are not 100% owned by us. Non-controlling interests are presented as separate components in our condensed consolidated statements of income to clearly distinguish between our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20"/>
          <w:szCs w:val="20"/>
          <w:i w:val="1"/>
          <w:iCs w:val="1"/>
          <w:color w:val="auto"/>
        </w:rPr>
        <w:t xml:space="preserve">Non-controlling interests in subsidiaries </w:t>
      </w:r>
      <w:r>
        <w:rPr>
          <w:rFonts w:ascii="Arial" w:cs="Arial" w:eastAsia="Arial" w:hAnsi="Arial"/>
          <w:sz w:val="20"/>
          <w:szCs w:val="20"/>
          <w:color w:val="auto"/>
        </w:rPr>
        <w:t>represent the economic interests in the consolidated subsidiaries of the Partnership held by</w:t>
      </w:r>
      <w:r>
        <w:rPr>
          <w:rFonts w:ascii="Arial" w:cs="Arial" w:eastAsia="Arial" w:hAnsi="Arial"/>
          <w:sz w:val="20"/>
          <w:szCs w:val="20"/>
          <w:i w:val="1"/>
          <w:iCs w:val="1"/>
          <w:color w:val="auto"/>
        </w:rPr>
        <w:t xml:space="preserve"> </w:t>
      </w:r>
      <w:r>
        <w:rPr>
          <w:rFonts w:ascii="Arial" w:cs="Arial" w:eastAsia="Arial" w:hAnsi="Arial"/>
          <w:sz w:val="20"/>
          <w:szCs w:val="20"/>
          <w:color w:val="auto"/>
        </w:rPr>
        <w:t>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84" w:lineRule="exact"/>
        <w:rPr>
          <w:sz w:val="20"/>
          <w:szCs w:val="20"/>
          <w:color w:val="auto"/>
        </w:rPr>
      </w:pPr>
    </w:p>
    <w:p>
      <w:pPr>
        <w:ind w:right="80" w:firstLine="648"/>
        <w:spacing w:after="0" w:line="306" w:lineRule="auto"/>
        <w:rPr>
          <w:sz w:val="20"/>
          <w:szCs w:val="20"/>
          <w:color w:val="auto"/>
        </w:rPr>
      </w:pPr>
      <w:r>
        <w:rPr>
          <w:rFonts w:ascii="Arial" w:cs="Arial" w:eastAsia="Arial" w:hAnsi="Arial"/>
          <w:sz w:val="18"/>
          <w:szCs w:val="18"/>
          <w:i w:val="1"/>
          <w:iCs w:val="1"/>
          <w:color w:val="auto"/>
        </w:rPr>
        <w:t xml:space="preserve">Non-controlling interests in legacy Greenspring entities </w:t>
      </w:r>
      <w:r>
        <w:rPr>
          <w:rFonts w:ascii="Arial" w:cs="Arial" w:eastAsia="Arial" w:hAnsi="Arial"/>
          <w:sz w:val="18"/>
          <w:szCs w:val="18"/>
          <w:color w:val="auto"/>
        </w:rPr>
        <w:t>represent the economic interests in the legacy Greenspring general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We did not acquire any direct economic interests in the legacy Greenspring general partner entities. As a result, all of the net income related to the legacy Greenspring general partner entities is allocated to non-controlling interests in legacy Greenspring entities.</w:t>
      </w:r>
    </w:p>
    <w:p>
      <w:pPr>
        <w:spacing w:after="0" w:line="140" w:lineRule="exact"/>
        <w:rPr>
          <w:sz w:val="20"/>
          <w:szCs w:val="20"/>
          <w:color w:val="auto"/>
        </w:rPr>
      </w:pPr>
    </w:p>
    <w:p>
      <w:pPr>
        <w:ind w:right="400" w:firstLine="648"/>
        <w:spacing w:after="0" w:line="299" w:lineRule="auto"/>
        <w:rPr>
          <w:sz w:val="20"/>
          <w:szCs w:val="20"/>
          <w:color w:val="auto"/>
        </w:rPr>
      </w:pPr>
      <w:r>
        <w:rPr>
          <w:rFonts w:ascii="Arial" w:cs="Arial" w:eastAsia="Arial" w:hAnsi="Arial"/>
          <w:sz w:val="18"/>
          <w:szCs w:val="18"/>
          <w:i w:val="1"/>
          <w:iCs w:val="1"/>
          <w:color w:val="auto"/>
        </w:rPr>
        <w:t xml:space="preserve">Non-controlling interests in the Partnership </w:t>
      </w:r>
      <w:r>
        <w:rPr>
          <w:rFonts w:ascii="Arial" w:cs="Arial" w:eastAsia="Arial" w:hAnsi="Arial"/>
          <w:sz w:val="18"/>
          <w:szCs w:val="18"/>
          <w:color w:val="auto"/>
        </w:rPr>
        <w:t>represent the economic interests in the Partnership held by the Class B and Class C</w:t>
      </w:r>
      <w:r>
        <w:rPr>
          <w:rFonts w:ascii="Arial" w:cs="Arial" w:eastAsia="Arial" w:hAnsi="Arial"/>
          <w:sz w:val="18"/>
          <w:szCs w:val="18"/>
          <w:i w:val="1"/>
          <w:iCs w:val="1"/>
          <w:color w:val="auto"/>
        </w:rPr>
        <w:t xml:space="preserve"> </w:t>
      </w:r>
      <w:r>
        <w:rPr>
          <w:rFonts w:ascii="Arial" w:cs="Arial" w:eastAsia="Arial" w:hAnsi="Arial"/>
          <w:sz w:val="18"/>
          <w:szCs w:val="18"/>
          <w:color w:val="auto"/>
        </w:rPr>
        <w:t>unitholders of the Partnership.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Key Operating Metrics</w:t>
      </w:r>
    </w:p>
    <w:p>
      <w:pPr>
        <w:spacing w:after="0" w:line="222" w:lineRule="exact"/>
        <w:rPr>
          <w:sz w:val="20"/>
          <w:szCs w:val="20"/>
          <w:color w:val="auto"/>
        </w:rPr>
      </w:pPr>
    </w:p>
    <w:p>
      <w:pPr>
        <w:ind w:right="140" w:firstLine="648"/>
        <w:spacing w:after="0" w:line="274" w:lineRule="auto"/>
        <w:rPr>
          <w:sz w:val="20"/>
          <w:szCs w:val="20"/>
          <w:color w:val="auto"/>
        </w:rPr>
      </w:pPr>
      <w:r>
        <w:rPr>
          <w:rFonts w:ascii="Arial" w:cs="Arial" w:eastAsia="Arial" w:hAnsi="Arial"/>
          <w:sz w:val="20"/>
          <w:szCs w:val="20"/>
          <w:color w:val="auto"/>
        </w:rPr>
        <w:t>We monitor certain operating metrics that are either common to the asset management industry or that we believe provide important data regarding our business.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Management</w:t>
      </w:r>
    </w:p>
    <w:p>
      <w:pPr>
        <w:spacing w:after="0" w:line="235" w:lineRule="exact"/>
        <w:rPr>
          <w:sz w:val="20"/>
          <w:szCs w:val="20"/>
          <w:color w:val="auto"/>
        </w:rPr>
      </w:pPr>
    </w:p>
    <w:p>
      <w:pPr>
        <w:jc w:val="both"/>
        <w:ind w:right="60" w:firstLine="648"/>
        <w:spacing w:after="0" w:line="251" w:lineRule="auto"/>
        <w:rPr>
          <w:sz w:val="20"/>
          <w:szCs w:val="20"/>
          <w:color w:val="auto"/>
        </w:rPr>
      </w:pPr>
      <w:r>
        <w:rPr>
          <w:rFonts w:ascii="Arial" w:cs="Arial" w:eastAsia="Arial" w:hAnsi="Arial"/>
          <w:sz w:val="20"/>
          <w:szCs w:val="20"/>
          <w:color w:val="231F20"/>
        </w:rPr>
        <w:t>AUM primarily reflects the assets associated with our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spacing w:after="0" w:line="199" w:lineRule="exact"/>
        <w:rPr>
          <w:sz w:val="20"/>
          <w:szCs w:val="20"/>
          <w:color w:val="auto"/>
        </w:rPr>
      </w:pPr>
    </w:p>
    <w:p>
      <w:pPr>
        <w:ind w:firstLine="648"/>
        <w:spacing w:after="0" w:line="284" w:lineRule="auto"/>
        <w:rPr>
          <w:sz w:val="20"/>
          <w:szCs w:val="20"/>
          <w:color w:val="auto"/>
        </w:rPr>
      </w:pPr>
      <w:r>
        <w:rPr>
          <w:rFonts w:ascii="Arial" w:cs="Arial" w:eastAsia="Arial" w:hAnsi="Arial"/>
          <w:sz w:val="18"/>
          <w:szCs w:val="18"/>
          <w:color w:val="231F20"/>
        </w:rPr>
        <w:t>Our AUM is calculated as the sum of (i) the net asset value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 Our AUM does not include post-period investment valuation or cash activity. AUM as of September 30, 2022 reflects final data for the prior period (June 30, 2022), adjusted for net new client account activity through September 30, 2022. NAV data for underlying investments is as of June 30, 2022, as reported by underlying managers up to 100 days following June 30, 2022. When NAV data is not available by 100 days following June 30, 2022, such NAVs are adjusted for cash activity following the last available reported NAV.</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Advisement</w:t>
      </w:r>
    </w:p>
    <w:p>
      <w:pPr>
        <w:spacing w:after="0" w:line="235" w:lineRule="exact"/>
        <w:rPr>
          <w:sz w:val="20"/>
          <w:szCs w:val="20"/>
          <w:color w:val="auto"/>
        </w:rPr>
      </w:pPr>
    </w:p>
    <w:p>
      <w:pPr>
        <w:ind w:right="20" w:firstLine="648"/>
        <w:spacing w:after="0" w:line="267" w:lineRule="auto"/>
        <w:rPr>
          <w:sz w:val="20"/>
          <w:szCs w:val="20"/>
          <w:color w:val="auto"/>
        </w:rPr>
      </w:pPr>
      <w:r>
        <w:rPr>
          <w:rFonts w:ascii="Arial" w:cs="Arial" w:eastAsia="Arial" w:hAnsi="Arial"/>
          <w:sz w:val="19"/>
          <w:szCs w:val="19"/>
          <w:color w:val="231F20"/>
        </w:rPr>
        <w:t>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w:t>
      </w:r>
    </w:p>
    <w:p>
      <w:pPr>
        <w:spacing w:after="0" w:line="175" w:lineRule="exact"/>
        <w:rPr>
          <w:sz w:val="20"/>
          <w:szCs w:val="20"/>
          <w:color w:val="auto"/>
        </w:rPr>
      </w:pPr>
    </w:p>
    <w:p>
      <w:pPr>
        <w:ind w:firstLine="648"/>
        <w:spacing w:after="0" w:line="284" w:lineRule="auto"/>
        <w:rPr>
          <w:sz w:val="20"/>
          <w:szCs w:val="20"/>
          <w:color w:val="auto"/>
        </w:rPr>
      </w:pPr>
      <w:r>
        <w:rPr>
          <w:rFonts w:ascii="Arial" w:cs="Arial" w:eastAsia="Arial" w:hAnsi="Arial"/>
          <w:sz w:val="18"/>
          <w:szCs w:val="18"/>
          <w:color w:val="231F20"/>
        </w:rPr>
        <w:t>Our AUA is calculated as the sum of (i) the NAV of client portfolio assets for which we do not have full discretion and (ii) the unfunded commitments of clients to the underlying investments. Our AUA reflects the investment valuations in respect of the underlying investments of our client accounts on a three-month lag, adjusted for new client account activity through the period end. Our AUA does not include post-period investment valuation or cash activity. AUA as of September 30, 2022 reflects final data for the prior period (June 30, 2022), adjusted for net new client account activity through September 30, 2022. NAV data for underlying investments is as of June 30, 2022, as reported by underlying managers up to 100 days following June 30, 2022. When NAV data is not available by 100 days following June 30, 2022, such NAVs are adjusted for cash activity following the last available reported NAV.</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Fee-Earning AUM</w:t>
      </w:r>
    </w:p>
    <w:p>
      <w:pPr>
        <w:spacing w:after="0" w:line="235" w:lineRule="exact"/>
        <w:rPr>
          <w:sz w:val="20"/>
          <w:szCs w:val="20"/>
          <w:color w:val="auto"/>
        </w:rPr>
      </w:pPr>
    </w:p>
    <w:p>
      <w:pPr>
        <w:ind w:right="80" w:firstLine="648"/>
        <w:spacing w:after="0" w:line="285" w:lineRule="auto"/>
        <w:rPr>
          <w:sz w:val="20"/>
          <w:szCs w:val="20"/>
          <w:color w:val="auto"/>
        </w:rPr>
      </w:pPr>
      <w:r>
        <w:rPr>
          <w:rFonts w:ascii="Arial" w:cs="Arial" w:eastAsia="Arial" w:hAnsi="Arial"/>
          <w:sz w:val="18"/>
          <w:szCs w:val="18"/>
          <w:color w:val="231F20"/>
        </w:rPr>
        <w:t>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w:t>
      </w:r>
    </w:p>
    <w:p>
      <w:pPr>
        <w:spacing w:after="0" w:line="172" w:lineRule="exact"/>
        <w:rPr>
          <w:sz w:val="20"/>
          <w:szCs w:val="20"/>
          <w:color w:val="auto"/>
        </w:rPr>
      </w:pPr>
    </w:p>
    <w:p>
      <w:pPr>
        <w:ind w:right="480" w:firstLine="648"/>
        <w:spacing w:after="0" w:line="260" w:lineRule="auto"/>
        <w:rPr>
          <w:sz w:val="20"/>
          <w:szCs w:val="20"/>
          <w:color w:val="auto"/>
        </w:rPr>
      </w:pPr>
      <w:r>
        <w:rPr>
          <w:rFonts w:ascii="Arial" w:cs="Arial" w:eastAsia="Arial" w:hAnsi="Arial"/>
          <w:sz w:val="20"/>
          <w:szCs w:val="20"/>
          <w:color w:val="231F20"/>
        </w:rPr>
        <w:t>Our calculation of FEAUM may differ from the calculations of other asset managers and, as a result, may not be comparable to similar measures presented by other asset managers.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4" w:name="page55"/>
    <w:bookmarkEnd w:id="54"/>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Undeployed Fee-Earning Capital</w:t>
      </w:r>
    </w:p>
    <w:p>
      <w:pPr>
        <w:spacing w:after="0" w:line="235"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Undeployed fee-earning capital represents the amount of capital commitments to StepStone Funds that has not yet been invested or considered active but will generate management fee revenue once this capital is invested or activated.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Non-GAAP Financial Measures</w:t>
      </w:r>
    </w:p>
    <w:p>
      <w:pPr>
        <w:spacing w:after="0" w:line="222" w:lineRule="exact"/>
        <w:rPr>
          <w:sz w:val="20"/>
          <w:szCs w:val="20"/>
          <w:color w:val="auto"/>
        </w:rPr>
      </w:pPr>
    </w:p>
    <w:p>
      <w:pPr>
        <w:ind w:right="140" w:firstLine="648"/>
        <w:spacing w:after="0" w:line="332" w:lineRule="auto"/>
        <w:rPr>
          <w:sz w:val="20"/>
          <w:szCs w:val="20"/>
          <w:color w:val="auto"/>
        </w:rPr>
      </w:pPr>
      <w:r>
        <w:rPr>
          <w:rFonts w:ascii="Arial" w:cs="Arial" w:eastAsia="Arial" w:hAnsi="Arial"/>
          <w:sz w:val="18"/>
          <w:szCs w:val="18"/>
          <w:color w:val="auto"/>
        </w:rPr>
        <w:t>Below is a description of our non-GAAP financial measures. These measures are presented on a basis other than GAAP and should be considered in addition to, and not as a substitute for or superior to, financial measures calculated in accordance with GAAP.</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Revenues and Adjusted Net Income</w:t>
      </w:r>
    </w:p>
    <w:p>
      <w:pPr>
        <w:spacing w:after="0" w:line="22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231F20"/>
        </w:rPr>
        <w:t>Adjusted net income (“ANI”) is a non-GAAP performance measure that we present on a pre-tax and after-tax basis used to evaluate profitability. ANI represents the after-tax net realized income attributable to us. The components of revenues used in the determination of ANI (“adjusted revenues”) comprise net management and advisory fees, incentive fees (including the deferred portion) and realized carried interest allocations. In addition, ANI excludes: (a) unrealized carried interest allocation revenues and related compensation, (b) unrealized investment income, (c) equity-based compensation for awards granted prior to and in connection with our IPO, (d) amortization of intangibles and (e) certain other items that we believe are not indicative of our core operating performance, including charges associated with acquisitions and corporate transactions, contract terminations and employee severance. ANI does not reflect legacy Greenspring carried interest allocation revenues, legacy Greenspring carried interest-related compensation and legacy Greenspring investment income as none of the economics are attributable to us. ANI is income before taxes fully taxed at our blended statutory rate. We believe ANI and adjusted revenues are useful to investors because they enable investors to evaluate the performance of our business across reporting periods.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Fee-Related Earnings</w:t>
      </w:r>
    </w:p>
    <w:p>
      <w:pPr>
        <w:spacing w:after="0" w:line="235" w:lineRule="exact"/>
        <w:rPr>
          <w:sz w:val="20"/>
          <w:szCs w:val="20"/>
          <w:color w:val="auto"/>
        </w:rPr>
      </w:pPr>
    </w:p>
    <w:p>
      <w:pPr>
        <w:ind w:right="40" w:firstLine="648"/>
        <w:spacing w:after="0" w:line="252" w:lineRule="auto"/>
        <w:rPr>
          <w:sz w:val="20"/>
          <w:szCs w:val="20"/>
          <w:color w:val="auto"/>
        </w:rPr>
      </w:pPr>
      <w:r>
        <w:rPr>
          <w:rFonts w:ascii="Arial" w:cs="Arial" w:eastAsia="Arial" w:hAnsi="Arial"/>
          <w:sz w:val="20"/>
          <w:szCs w:val="20"/>
          <w:color w:val="231F20"/>
        </w:rPr>
        <w:t>Fee-related earnings (“FRE”) is a non-GAAP performance measure used to monitor our baseline earnings from recurring management and advisory fees. FRE is a component of ANI and comprises net management and advisory fees, less operating expenses other than performance fee-related compensation, equity-based compensation for awards granted prior to and in connection with our IPO, amortization of intangibles and other non-core operating items. FRE is presented before income taxes. We believe FRE is useful to investors because it provides additional insight into the operating profitability of our business and our ability to cover direct base compensation and operating expenses from total fee revenues.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Net Income Per Share</w:t>
      </w:r>
    </w:p>
    <w:p>
      <w:pPr>
        <w:spacing w:after="0" w:line="235" w:lineRule="exact"/>
        <w:rPr>
          <w:sz w:val="20"/>
          <w:szCs w:val="20"/>
          <w:color w:val="auto"/>
        </w:rPr>
      </w:pPr>
    </w:p>
    <w:p>
      <w:pPr>
        <w:ind w:firstLine="648"/>
        <w:spacing w:after="0" w:line="255" w:lineRule="auto"/>
        <w:rPr>
          <w:sz w:val="20"/>
          <w:szCs w:val="20"/>
          <w:color w:val="auto"/>
        </w:rPr>
      </w:pPr>
      <w:r>
        <w:rPr>
          <w:rFonts w:ascii="Arial" w:cs="Arial" w:eastAsia="Arial" w:hAnsi="Arial"/>
          <w:sz w:val="20"/>
          <w:szCs w:val="20"/>
          <w:color w:val="auto"/>
        </w:rPr>
        <w:t>ANI per share measures our per-share earnings assuming all Class B units and Class C units in the Partnership are exchanged for Class A common stock in SSG, including the dilutive impact of outstanding equity-based awards. ANI per share is calculated as ANI divided by adjusted shares outstanding. We believe ANI per share is useful to investors because it enables them to better evaluate per-share operating performance across reporting periods.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5" w:name="page56"/>
    <w:bookmarkEnd w:id="55"/>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Results of Operations</w:t>
      </w:r>
    </w:p>
    <w:p>
      <w:pPr>
        <w:spacing w:after="0" w:line="235" w:lineRule="exact"/>
        <w:rPr>
          <w:sz w:val="20"/>
          <w:szCs w:val="20"/>
          <w:color w:val="auto"/>
        </w:rPr>
      </w:pPr>
    </w:p>
    <w:p>
      <w:pPr>
        <w:ind w:right="620" w:firstLine="648"/>
        <w:spacing w:after="0" w:line="316" w:lineRule="auto"/>
        <w:rPr>
          <w:sz w:val="20"/>
          <w:szCs w:val="20"/>
          <w:color w:val="auto"/>
        </w:rPr>
      </w:pPr>
      <w:r>
        <w:rPr>
          <w:rFonts w:ascii="Arial" w:cs="Arial" w:eastAsia="Arial" w:hAnsi="Arial"/>
          <w:sz w:val="18"/>
          <w:szCs w:val="18"/>
          <w:color w:val="auto"/>
        </w:rPr>
        <w:t>The following is a discussion of our unaudited consolidated results of operations for the periods presented. The information is derived from our accompanying condensed consolidated financial statements prepared in accordance with GAAP.</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4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w w:val="97"/>
              </w:rPr>
              <w:t>Six Months Ended September 30,</w:t>
            </w:r>
          </w:p>
        </w:tc>
        <w:tc>
          <w:tcPr>
            <w:tcW w:w="0" w:type="dxa"/>
            <w:vAlign w:val="bottom"/>
          </w:tcPr>
          <w:p>
            <w:pPr>
              <w:spacing w:after="0"/>
              <w:rPr>
                <w:sz w:val="1"/>
                <w:szCs w:val="1"/>
                <w:color w:val="auto"/>
              </w:rPr>
            </w:pPr>
          </w:p>
        </w:tc>
      </w:tr>
      <w:tr>
        <w:trPr>
          <w:trHeight w:val="26"/>
        </w:trPr>
        <w:tc>
          <w:tcPr>
            <w:tcW w:w="53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3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9"/>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380" w:type="dxa"/>
            <w:vAlign w:val="bottom"/>
          </w:tcPr>
          <w:p>
            <w:pPr>
              <w:ind w:left="20"/>
              <w:spacing w:after="0"/>
              <w:rPr>
                <w:sz w:val="20"/>
                <w:szCs w:val="20"/>
                <w:color w:val="auto"/>
              </w:rPr>
            </w:pPr>
            <w:r>
              <w:rPr>
                <w:rFonts w:ascii="Arial" w:cs="Arial" w:eastAsia="Arial" w:hAnsi="Arial"/>
                <w:sz w:val="14"/>
                <w:szCs w:val="14"/>
                <w:color w:val="auto"/>
              </w:rPr>
              <w:t>Management and advisory fees, net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119,121</w:t>
            </w:r>
          </w:p>
        </w:tc>
        <w:tc>
          <w:tcPr>
            <w:tcW w:w="24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83,583</w:t>
            </w:r>
          </w:p>
        </w:tc>
        <w:tc>
          <w:tcPr>
            <w:tcW w:w="24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235,853</w:t>
            </w:r>
          </w:p>
        </w:tc>
        <w:tc>
          <w:tcPr>
            <w:tcW w:w="24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161,644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Performance fees:</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80" w:type="dxa"/>
            <w:vAlign w:val="bottom"/>
          </w:tcPr>
          <w:p>
            <w:pPr>
              <w:ind w:left="360"/>
              <w:spacing w:after="0"/>
              <w:rPr>
                <w:sz w:val="20"/>
                <w:szCs w:val="20"/>
                <w:color w:val="auto"/>
              </w:rPr>
            </w:pPr>
            <w:r>
              <w:rPr>
                <w:rFonts w:ascii="Arial" w:cs="Arial" w:eastAsia="Arial" w:hAnsi="Arial"/>
                <w:sz w:val="14"/>
                <w:szCs w:val="14"/>
                <w:color w:val="auto"/>
              </w:rPr>
              <w:t>Incentive fees</w:t>
            </w:r>
          </w:p>
        </w:tc>
        <w:tc>
          <w:tcPr>
            <w:tcW w:w="20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5,365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1,796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5,365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5,978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Carried interest allocations:</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80" w:type="dxa"/>
            <w:vAlign w:val="bottom"/>
          </w:tcPr>
          <w:p>
            <w:pPr>
              <w:ind w:left="720"/>
              <w:spacing w:after="0"/>
              <w:rPr>
                <w:sz w:val="20"/>
                <w:szCs w:val="20"/>
                <w:color w:val="auto"/>
              </w:rPr>
            </w:pPr>
            <w:r>
              <w:rPr>
                <w:rFonts w:ascii="Arial" w:cs="Arial" w:eastAsia="Arial" w:hAnsi="Arial"/>
                <w:sz w:val="14"/>
                <w:szCs w:val="14"/>
                <w:color w:val="auto"/>
              </w:rPr>
              <w:t>Realized</w:t>
            </w:r>
          </w:p>
        </w:tc>
        <w:tc>
          <w:tcPr>
            <w:tcW w:w="20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22,469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52,531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96,076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102,494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Unrealized</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(176,778)</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143,855</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(290,728)</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320,254</w:t>
            </w:r>
          </w:p>
        </w:tc>
        <w:tc>
          <w:tcPr>
            <w:tcW w:w="0" w:type="dxa"/>
            <w:vAlign w:val="bottom"/>
          </w:tcPr>
          <w:p>
            <w:pPr>
              <w:spacing w:after="0"/>
              <w:rPr>
                <w:sz w:val="1"/>
                <w:szCs w:val="1"/>
                <w:color w:val="auto"/>
              </w:rPr>
            </w:pPr>
          </w:p>
        </w:tc>
      </w:tr>
      <w:tr>
        <w:trPr>
          <w:trHeight w:val="176"/>
        </w:trPr>
        <w:tc>
          <w:tcPr>
            <w:tcW w:w="5380" w:type="dxa"/>
            <w:vAlign w:val="bottom"/>
          </w:tcPr>
          <w:p>
            <w:pPr>
              <w:ind w:left="360"/>
              <w:spacing w:after="0"/>
              <w:rPr>
                <w:sz w:val="20"/>
                <w:szCs w:val="20"/>
                <w:color w:val="auto"/>
              </w:rPr>
            </w:pPr>
            <w:r>
              <w:rPr>
                <w:rFonts w:ascii="Arial" w:cs="Arial" w:eastAsia="Arial" w:hAnsi="Arial"/>
                <w:sz w:val="14"/>
                <w:szCs w:val="14"/>
                <w:color w:val="auto"/>
              </w:rPr>
              <w:t>Total carried interest allocations</w:t>
            </w: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(154,309)</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196,386</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(194,652)</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422,748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shd w:val="clear" w:color="auto" w:fill="CCEEFF"/>
          </w:tcPr>
          <w:p>
            <w:pPr>
              <w:ind w:left="360"/>
              <w:spacing w:after="0" w:line="202" w:lineRule="exact"/>
              <w:rPr>
                <w:sz w:val="20"/>
                <w:szCs w:val="20"/>
                <w:color w:val="auto"/>
              </w:rPr>
            </w:pPr>
            <w:r>
              <w:rPr>
                <w:rFonts w:ascii="Arial" w:cs="Arial" w:eastAsia="Arial" w:hAnsi="Arial"/>
                <w:sz w:val="14"/>
                <w:szCs w:val="14"/>
                <w:color w:val="auto"/>
              </w:rPr>
              <w:t>Legacy Greenspring carried interest allocations</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(128,672)</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(282,279)</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380" w:type="dxa"/>
            <w:vAlign w:val="bottom"/>
          </w:tcPr>
          <w:p>
            <w:pPr>
              <w:ind w:left="360"/>
              <w:spacing w:after="0"/>
              <w:rPr>
                <w:sz w:val="20"/>
                <w:szCs w:val="20"/>
                <w:color w:val="auto"/>
              </w:rPr>
            </w:pPr>
            <w:r>
              <w:rPr>
                <w:rFonts w:ascii="Arial" w:cs="Arial" w:eastAsia="Arial" w:hAnsi="Arial"/>
                <w:sz w:val="14"/>
                <w:szCs w:val="14"/>
                <w:color w:val="auto"/>
              </w:rPr>
              <w:t>Total revenues</w:t>
            </w: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(158,495)</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281,765</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(235,713)</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590,370</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80" w:type="dxa"/>
            <w:vAlign w:val="bottom"/>
          </w:tcPr>
          <w:p>
            <w:pPr>
              <w:ind w:left="20"/>
              <w:spacing w:after="0"/>
              <w:rPr>
                <w:sz w:val="20"/>
                <w:szCs w:val="20"/>
                <w:color w:val="auto"/>
              </w:rPr>
            </w:pPr>
            <w:r>
              <w:rPr>
                <w:rFonts w:ascii="Arial" w:cs="Arial" w:eastAsia="Arial" w:hAnsi="Arial"/>
                <w:sz w:val="14"/>
                <w:szCs w:val="14"/>
                <w:color w:val="auto"/>
              </w:rPr>
              <w:t>Compensation and benefits:</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Cash-based compensation</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59,501</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43,881</w:t>
            </w: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119,562</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86,552</w:t>
            </w:r>
          </w:p>
        </w:tc>
        <w:tc>
          <w:tcPr>
            <w:tcW w:w="0" w:type="dxa"/>
            <w:vAlign w:val="bottom"/>
          </w:tcPr>
          <w:p>
            <w:pPr>
              <w:spacing w:after="0"/>
              <w:rPr>
                <w:sz w:val="1"/>
                <w:szCs w:val="1"/>
                <w:color w:val="auto"/>
              </w:rPr>
            </w:pPr>
          </w:p>
        </w:tc>
      </w:tr>
      <w:tr>
        <w:trPr>
          <w:trHeight w:val="182"/>
        </w:trPr>
        <w:tc>
          <w:tcPr>
            <w:tcW w:w="5380" w:type="dxa"/>
            <w:vAlign w:val="bottom"/>
          </w:tcPr>
          <w:p>
            <w:pPr>
              <w:ind w:left="400"/>
              <w:spacing w:after="0"/>
              <w:rPr>
                <w:sz w:val="20"/>
                <w:szCs w:val="20"/>
                <w:color w:val="auto"/>
              </w:rPr>
            </w:pPr>
            <w:r>
              <w:rPr>
                <w:rFonts w:ascii="Arial" w:cs="Arial" w:eastAsia="Arial" w:hAnsi="Arial"/>
                <w:sz w:val="14"/>
                <w:szCs w:val="14"/>
                <w:color w:val="auto"/>
              </w:rPr>
              <w:t>Equity-based compensation</w:t>
            </w:r>
          </w:p>
        </w:tc>
        <w:tc>
          <w:tcPr>
            <w:tcW w:w="20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3,783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3,213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7,497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6,956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Performance fee-related compensation:</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80" w:type="dxa"/>
            <w:vAlign w:val="bottom"/>
          </w:tcPr>
          <w:p>
            <w:pPr>
              <w:ind w:left="780"/>
              <w:spacing w:after="0"/>
              <w:rPr>
                <w:sz w:val="20"/>
                <w:szCs w:val="20"/>
                <w:color w:val="auto"/>
              </w:rPr>
            </w:pPr>
            <w:r>
              <w:rPr>
                <w:rFonts w:ascii="Arial" w:cs="Arial" w:eastAsia="Arial" w:hAnsi="Arial"/>
                <w:sz w:val="14"/>
                <w:szCs w:val="14"/>
                <w:color w:val="auto"/>
              </w:rPr>
              <w:t>Realized</w:t>
            </w:r>
          </w:p>
        </w:tc>
        <w:tc>
          <w:tcPr>
            <w:tcW w:w="20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13,630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26,781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55,365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52,089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Unrealized</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(86,126)</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74,206</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(140,679)</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159,778</w:t>
            </w:r>
          </w:p>
        </w:tc>
        <w:tc>
          <w:tcPr>
            <w:tcW w:w="0" w:type="dxa"/>
            <w:vAlign w:val="bottom"/>
          </w:tcPr>
          <w:p>
            <w:pPr>
              <w:spacing w:after="0"/>
              <w:rPr>
                <w:sz w:val="1"/>
                <w:szCs w:val="1"/>
                <w:color w:val="auto"/>
              </w:rPr>
            </w:pPr>
          </w:p>
        </w:tc>
      </w:tr>
      <w:tr>
        <w:trPr>
          <w:trHeight w:val="176"/>
        </w:trPr>
        <w:tc>
          <w:tcPr>
            <w:tcW w:w="5380" w:type="dxa"/>
            <w:vAlign w:val="bottom"/>
          </w:tcPr>
          <w:p>
            <w:pPr>
              <w:ind w:left="400"/>
              <w:spacing w:after="0"/>
              <w:rPr>
                <w:sz w:val="20"/>
                <w:szCs w:val="20"/>
                <w:color w:val="auto"/>
              </w:rPr>
            </w:pPr>
            <w:r>
              <w:rPr>
                <w:rFonts w:ascii="Arial" w:cs="Arial" w:eastAsia="Arial" w:hAnsi="Arial"/>
                <w:sz w:val="14"/>
                <w:szCs w:val="14"/>
                <w:color w:val="auto"/>
              </w:rPr>
              <w:t>Total performance fee-related compensation</w:t>
            </w: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(72,496)</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100,987</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(85,314)</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211,867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shd w:val="clear" w:color="auto" w:fill="CCEEFF"/>
          </w:tcPr>
          <w:p>
            <w:pPr>
              <w:ind w:left="400"/>
              <w:spacing w:after="0" w:line="202" w:lineRule="exact"/>
              <w:rPr>
                <w:sz w:val="20"/>
                <w:szCs w:val="20"/>
                <w:color w:val="auto"/>
              </w:rPr>
            </w:pPr>
            <w:r>
              <w:rPr>
                <w:rFonts w:ascii="Arial" w:cs="Arial" w:eastAsia="Arial" w:hAnsi="Arial"/>
                <w:sz w:val="14"/>
                <w:szCs w:val="14"/>
                <w:color w:val="auto"/>
              </w:rPr>
              <w:t>Legacy Greenspring performance fee-related compensation</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(128,672)</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(282,279)</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4"/>
                <w:szCs w:val="14"/>
                <w:color w:val="auto"/>
              </w:rPr>
              <w:t>Total compensation and benefits</w:t>
            </w: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(137,884)</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148,081</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(240,534)</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305,375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33,733</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25,320</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67,965</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41,750</w:t>
            </w:r>
          </w:p>
        </w:tc>
        <w:tc>
          <w:tcPr>
            <w:tcW w:w="0" w:type="dxa"/>
            <w:vAlign w:val="bottom"/>
          </w:tcPr>
          <w:p>
            <w:pPr>
              <w:spacing w:after="0"/>
              <w:rPr>
                <w:sz w:val="1"/>
                <w:szCs w:val="1"/>
                <w:color w:val="auto"/>
              </w:rPr>
            </w:pPr>
          </w:p>
        </w:tc>
      </w:tr>
      <w:tr>
        <w:trPr>
          <w:trHeight w:val="176"/>
        </w:trPr>
        <w:tc>
          <w:tcPr>
            <w:tcW w:w="5380" w:type="dxa"/>
            <w:vAlign w:val="bottom"/>
          </w:tcPr>
          <w:p>
            <w:pPr>
              <w:ind w:left="400"/>
              <w:spacing w:after="0"/>
              <w:rPr>
                <w:sz w:val="20"/>
                <w:szCs w:val="20"/>
                <w:color w:val="auto"/>
              </w:rPr>
            </w:pPr>
            <w:r>
              <w:rPr>
                <w:rFonts w:ascii="Arial" w:cs="Arial" w:eastAsia="Arial" w:hAnsi="Arial"/>
                <w:sz w:val="14"/>
                <w:szCs w:val="14"/>
                <w:color w:val="auto"/>
              </w:rPr>
              <w:t>Total expenses</w:t>
            </w: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(104,151)</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173,401</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(172,569)</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347,125</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80" w:type="dxa"/>
            <w:vAlign w:val="bottom"/>
          </w:tcPr>
          <w:p>
            <w:pPr>
              <w:ind w:left="20"/>
              <w:spacing w:after="0"/>
              <w:rPr>
                <w:sz w:val="20"/>
                <w:szCs w:val="20"/>
                <w:color w:val="auto"/>
              </w:rPr>
            </w:pPr>
            <w:r>
              <w:rPr>
                <w:rFonts w:ascii="Arial" w:cs="Arial" w:eastAsia="Arial" w:hAnsi="Arial"/>
                <w:sz w:val="14"/>
                <w:szCs w:val="14"/>
                <w:color w:val="auto"/>
              </w:rPr>
              <w:t>Investment income (loss)</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(3,691)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7,187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(4,792)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13,611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Legacy Greenspring investment loss</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(15,357)</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(23,961)</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3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0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356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(1,404)</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82"/>
        </w:trPr>
        <w:tc>
          <w:tcPr>
            <w:tcW w:w="5380" w:type="dxa"/>
            <w:vAlign w:val="bottom"/>
          </w:tcPr>
          <w:p>
            <w:pPr>
              <w:ind w:left="20"/>
              <w:spacing w:after="0"/>
              <w:rPr>
                <w:sz w:val="20"/>
                <w:szCs w:val="20"/>
                <w:color w:val="auto"/>
              </w:rPr>
            </w:pPr>
            <w:r>
              <w:rPr>
                <w:rFonts w:ascii="Arial" w:cs="Arial" w:eastAsia="Arial" w:hAnsi="Arial"/>
                <w:sz w:val="14"/>
                <w:szCs w:val="14"/>
                <w:color w:val="auto"/>
              </w:rPr>
              <w:t>Other loss</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(1,738)</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(2,389)</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Total other income (expense)</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(20,143)</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5,353</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(31,528)</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11,414</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4"/>
                <w:szCs w:val="14"/>
                <w:color w:val="auto"/>
              </w:rPr>
              <w:t>Income (loss) before income tax</w:t>
            </w: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(74,487)</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113,717</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(94,672)</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254,659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(7,422)</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(14,145)</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(6,136)</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(67,065)</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127,862</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(88,536)</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254,381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Less: Net income attributable to non-controlling interests in subsidiaries</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8,690</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6,032</w:t>
            </w: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16,261</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11,646</w:t>
            </w:r>
          </w:p>
        </w:tc>
        <w:tc>
          <w:tcPr>
            <w:tcW w:w="0" w:type="dxa"/>
            <w:vAlign w:val="bottom"/>
          </w:tcPr>
          <w:p>
            <w:pPr>
              <w:spacing w:after="0"/>
              <w:rPr>
                <w:sz w:val="1"/>
                <w:szCs w:val="1"/>
                <w:color w:val="auto"/>
              </w:rPr>
            </w:pPr>
          </w:p>
        </w:tc>
      </w:tr>
      <w:tr>
        <w:trPr>
          <w:trHeight w:val="203"/>
        </w:trPr>
        <w:tc>
          <w:tcPr>
            <w:tcW w:w="5380" w:type="dxa"/>
            <w:vAlign w:val="bottom"/>
          </w:tcPr>
          <w:p>
            <w:pPr>
              <w:ind w:left="400"/>
              <w:spacing w:after="0" w:line="202" w:lineRule="exact"/>
              <w:rPr>
                <w:sz w:val="20"/>
                <w:szCs w:val="20"/>
                <w:color w:val="auto"/>
              </w:rPr>
            </w:pPr>
            <w:r>
              <w:rPr>
                <w:rFonts w:ascii="Arial" w:cs="Arial" w:eastAsia="Arial" w:hAnsi="Arial"/>
                <w:sz w:val="14"/>
                <w:szCs w:val="14"/>
                <w:color w:val="auto"/>
                <w:w w:val="93"/>
              </w:rPr>
              <w:t>Less: Net loss attributable to non-controlling interests in legacy Greenspring entities</w:t>
            </w:r>
            <w:r>
              <w:rPr>
                <w:rFonts w:ascii="Arial" w:cs="Arial" w:eastAsia="Arial" w:hAnsi="Arial"/>
                <w:sz w:val="18"/>
                <w:szCs w:val="18"/>
                <w:color w:val="auto"/>
                <w:w w:val="93"/>
                <w:vertAlign w:val="superscript"/>
              </w:rPr>
              <w:t>(1)</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(15,357)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(23,961)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w w:val="98"/>
              </w:rPr>
              <w:t>Less: Net income (loss) attributable to non-controlling interests in the Partnership</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(31,177)</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59,756</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(40,575)</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139,011</w:t>
            </w:r>
          </w:p>
        </w:tc>
        <w:tc>
          <w:tcPr>
            <w:tcW w:w="0" w:type="dxa"/>
            <w:vAlign w:val="bottom"/>
          </w:tcPr>
          <w:p>
            <w:pPr>
              <w:spacing w:after="0"/>
              <w:rPr>
                <w:sz w:val="1"/>
                <w:szCs w:val="1"/>
                <w:color w:val="auto"/>
              </w:rPr>
            </w:pPr>
          </w:p>
        </w:tc>
      </w:tr>
      <w:tr>
        <w:trPr>
          <w:trHeight w:val="196"/>
        </w:trPr>
        <w:tc>
          <w:tcPr>
            <w:tcW w:w="5380" w:type="dxa"/>
            <w:vAlign w:val="bottom"/>
          </w:tcPr>
          <w:p>
            <w:pPr>
              <w:ind w:left="20"/>
              <w:spacing w:after="0"/>
              <w:rPr>
                <w:sz w:val="20"/>
                <w:szCs w:val="20"/>
                <w:color w:val="auto"/>
              </w:rPr>
            </w:pPr>
            <w:r>
              <w:rPr>
                <w:rFonts w:ascii="Arial" w:cs="Arial" w:eastAsia="Arial" w:hAnsi="Arial"/>
                <w:sz w:val="14"/>
                <w:szCs w:val="14"/>
                <w:color w:val="auto"/>
              </w:rPr>
              <w:t>Net income (loss) attributable to StepStone Group Inc.</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(29,221)</w:t>
            </w:r>
          </w:p>
        </w:tc>
        <w:tc>
          <w:tcPr>
            <w:tcW w:w="2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62,074</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(40,261)</w:t>
            </w:r>
          </w:p>
        </w:tc>
        <w:tc>
          <w:tcPr>
            <w:tcW w:w="2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103,724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1" w:lineRule="exact"/>
        <w:rPr>
          <w:sz w:val="20"/>
          <w:szCs w:val="20"/>
          <w:color w:val="auto"/>
        </w:rPr>
      </w:pPr>
    </w:p>
    <w:p>
      <w:pPr>
        <w:ind w:left="660" w:right="100" w:hanging="652"/>
        <w:spacing w:after="0" w:line="268" w:lineRule="auto"/>
        <w:tabs>
          <w:tab w:leader="none" w:pos="652"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Reflects amounts attributable to consolidated VIEs for which we did not acquire any direct economic interests. The three and six months ended September 30, 2021 reflects the net effect of gross realized gains and the reversal of such amounts in unrealized gains. See notes 3, 5 and 14 to our condensed consolidated financial statements included elsewhere in this quarterly report.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September 30, 2022 Compared to Three Months Ended September 30, 2021</w:t>
      </w:r>
    </w:p>
    <w:p>
      <w:pPr>
        <w:spacing w:after="0" w:line="216"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Total revenues decreased $440.3 million to $(158.5) million for the three months ended September 30, 2022 as compared to the three months ended September 30, 2021, due to a decrease in carried interest allocations and the inclusion of legacy Greenspring carried interest allocations, partially offset by higher net management and advisory fees and incentive fees.</w:t>
      </w:r>
    </w:p>
    <w:p>
      <w:pPr>
        <w:spacing w:after="0" w:line="175" w:lineRule="exact"/>
        <w:rPr>
          <w:sz w:val="20"/>
          <w:szCs w:val="20"/>
          <w:color w:val="auto"/>
        </w:rPr>
      </w:pPr>
    </w:p>
    <w:p>
      <w:pPr>
        <w:ind w:right="20" w:firstLine="648"/>
        <w:spacing w:after="0" w:line="251" w:lineRule="auto"/>
        <w:rPr>
          <w:sz w:val="20"/>
          <w:szCs w:val="20"/>
          <w:color w:val="auto"/>
        </w:rPr>
      </w:pPr>
      <w:r>
        <w:rPr>
          <w:rFonts w:ascii="Arial" w:cs="Arial" w:eastAsia="Arial" w:hAnsi="Arial"/>
          <w:sz w:val="20"/>
          <w:szCs w:val="20"/>
          <w:color w:val="auto"/>
        </w:rPr>
        <w:t>Net management and advisory fees increased $35.5 million, or 43%, to $119.1 million for the three months ended September 30, 2022 as compared to the three months ended September 30, 2021. The increase was driven by new client activity and a 45% growth in average FEAUM (or 26% excluding the impact of Greenspring) across the platform. The three months ended September 30, 2021 included retroactive fees of $2.3 million from additional closings of StepStone Tactical Growth Fund III (“STGF III”). For new investors, fees relating to periods prior to the closing date are considered retroactive.</w:t>
      </w:r>
    </w:p>
    <w:p>
      <w:pPr>
        <w:spacing w:after="0" w:line="201" w:lineRule="exact"/>
        <w:rPr>
          <w:sz w:val="20"/>
          <w:szCs w:val="20"/>
          <w:color w:val="auto"/>
        </w:rPr>
      </w:pPr>
    </w:p>
    <w:p>
      <w:pPr>
        <w:ind w:right="160" w:firstLine="648"/>
        <w:spacing w:after="0" w:line="274" w:lineRule="auto"/>
        <w:rPr>
          <w:sz w:val="20"/>
          <w:szCs w:val="20"/>
          <w:color w:val="auto"/>
        </w:rPr>
      </w:pPr>
      <w:r>
        <w:rPr>
          <w:rFonts w:ascii="Arial" w:cs="Arial" w:eastAsia="Arial" w:hAnsi="Arial"/>
          <w:sz w:val="20"/>
          <w:szCs w:val="20"/>
          <w:color w:val="auto"/>
        </w:rPr>
        <w:t>Incentive fees increased $3.6 million, or 199%, to $5.4 million for the three months ended September 30, 2022 as compared to $1.8 million for the three months ended September 30, 2021 reflecting higher realization activity.</w:t>
      </w:r>
    </w:p>
    <w:p>
      <w:pPr>
        <w:spacing w:after="0" w:line="163" w:lineRule="exact"/>
        <w:rPr>
          <w:sz w:val="20"/>
          <w:szCs w:val="20"/>
          <w:color w:val="auto"/>
        </w:rPr>
      </w:pPr>
    </w:p>
    <w:p>
      <w:pPr>
        <w:ind w:firstLine="648"/>
        <w:spacing w:after="0" w:line="267" w:lineRule="auto"/>
        <w:rPr>
          <w:sz w:val="20"/>
          <w:szCs w:val="20"/>
          <w:color w:val="auto"/>
        </w:rPr>
      </w:pPr>
      <w:r>
        <w:rPr>
          <w:rFonts w:ascii="Arial" w:cs="Arial" w:eastAsia="Arial" w:hAnsi="Arial"/>
          <w:sz w:val="19"/>
          <w:szCs w:val="19"/>
          <w:color w:val="auto"/>
        </w:rPr>
        <w:t>Realized carried interest allocation revenues decreased $30.1 million, or 57%, to $22.5 million for the three months ended September 30, 2022 as compared to the three months ended September 30, 2021, reflecting lower realization activity within our private equity funds. Unrealized carried interest allocation revenues include the reversal of realized carried interest allocation revenues. Excluding the reversal of $22.5 million, unrealized carried interest allocation revenues decreased $350.7 million to $(154.3) million for the three months ended September 30, 2022 as compared to the three months ended September 30, 2021. The decrease in unrealized carried interest allocations for the three months ended September 30, 2022 primarily reflected a net decrease in the cumulative allocation of gains associated with the underlying portfolios within our private equity funds.</w:t>
      </w:r>
    </w:p>
    <w:p>
      <w:pPr>
        <w:spacing w:after="0" w:line="175" w:lineRule="exact"/>
        <w:rPr>
          <w:sz w:val="20"/>
          <w:szCs w:val="20"/>
          <w:color w:val="auto"/>
        </w:rPr>
      </w:pPr>
    </w:p>
    <w:p>
      <w:pPr>
        <w:ind w:right="60" w:firstLine="648"/>
        <w:spacing w:after="0" w:line="255" w:lineRule="auto"/>
        <w:rPr>
          <w:sz w:val="20"/>
          <w:szCs w:val="20"/>
          <w:color w:val="auto"/>
        </w:rPr>
      </w:pPr>
      <w:r>
        <w:rPr>
          <w:rFonts w:ascii="Arial" w:cs="Arial" w:eastAsia="Arial" w:hAnsi="Arial"/>
          <w:sz w:val="20"/>
          <w:szCs w:val="20"/>
          <w:color w:val="auto"/>
        </w:rPr>
        <w:t>Legacy Greenspring carried interest allocation revenues of $(128.7) million for the three months ended September 30, 2022 reflect gross realized carried interest allocations of $10.6 million and unrealized carried interest allocations, net of the reversal of realized carried interest allocations, of $(139.2) million. The three months ended September 30, 2021 reflect the net effect of gross realized carried interest allocations of $3.0 million and the reversal of such amounts in unrealized carried interest allocations for the period from September 20, 2021 to September 30, 2021.</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2022 Compared to Six Months Ended September 30, 2021</w:t>
      </w:r>
    </w:p>
    <w:p>
      <w:pPr>
        <w:spacing w:after="0" w:line="229" w:lineRule="exact"/>
        <w:rPr>
          <w:sz w:val="20"/>
          <w:szCs w:val="20"/>
          <w:color w:val="auto"/>
        </w:rPr>
      </w:pPr>
    </w:p>
    <w:p>
      <w:pPr>
        <w:ind w:right="240" w:firstLine="648"/>
        <w:spacing w:after="0" w:line="257" w:lineRule="auto"/>
        <w:rPr>
          <w:sz w:val="20"/>
          <w:szCs w:val="20"/>
          <w:color w:val="auto"/>
        </w:rPr>
      </w:pPr>
      <w:r>
        <w:rPr>
          <w:rFonts w:ascii="Arial" w:cs="Arial" w:eastAsia="Arial" w:hAnsi="Arial"/>
          <w:sz w:val="20"/>
          <w:szCs w:val="20"/>
          <w:color w:val="auto"/>
        </w:rPr>
        <w:t>Total revenues decreased $826.1 million to $(235.7) million for the six months ended September 30, 2022 as compared to the six months ended September 30, 2021, due to a decrease in carried interest allocations and the inclusion of legacy Greenspring carried interest allocations, partially offset by higher net management and advisory fees.</w:t>
      </w:r>
    </w:p>
    <w:p>
      <w:pPr>
        <w:spacing w:after="0" w:line="193" w:lineRule="exact"/>
        <w:rPr>
          <w:sz w:val="20"/>
          <w:szCs w:val="20"/>
          <w:color w:val="auto"/>
        </w:rPr>
      </w:pPr>
    </w:p>
    <w:p>
      <w:pPr>
        <w:ind w:right="40" w:firstLine="648"/>
        <w:spacing w:after="0" w:line="286" w:lineRule="auto"/>
        <w:rPr>
          <w:sz w:val="20"/>
          <w:szCs w:val="20"/>
          <w:color w:val="auto"/>
        </w:rPr>
      </w:pPr>
      <w:r>
        <w:rPr>
          <w:rFonts w:ascii="Arial" w:cs="Arial" w:eastAsia="Arial" w:hAnsi="Arial"/>
          <w:sz w:val="18"/>
          <w:szCs w:val="18"/>
          <w:color w:val="auto"/>
        </w:rPr>
        <w:t>Net management and advisory fees increased $74.2 million, or 46%, to $235.9 million for the six months ended September 30, 2022 as compared to the six months ended September 30, 2021. The increase was driven by new client activity and a 47% growth in average FEAUM (or 25% excluding the impact of Greenspring) across the platform, as well as retroactive fees of $2.4 million from the final closing of StepStone Capital Partners V. The six months ended September 30, 2021 included retroactive fees of $3.1 million from additional closings of STGF III. For new investors, fees relating to periods prior to the closing date are considered retroactive.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141" w:lineRule="exact"/>
        <w:rPr>
          <w:sz w:val="20"/>
          <w:szCs w:val="20"/>
          <w:color w:val="auto"/>
        </w:rPr>
      </w:pPr>
    </w:p>
    <w:p>
      <w:pPr>
        <w:ind w:right="380" w:firstLine="648"/>
        <w:spacing w:after="0" w:line="274" w:lineRule="auto"/>
        <w:rPr>
          <w:sz w:val="20"/>
          <w:szCs w:val="20"/>
          <w:color w:val="auto"/>
        </w:rPr>
      </w:pPr>
      <w:r>
        <w:rPr>
          <w:rFonts w:ascii="Arial" w:cs="Arial" w:eastAsia="Arial" w:hAnsi="Arial"/>
          <w:sz w:val="20"/>
          <w:szCs w:val="20"/>
          <w:color w:val="auto"/>
        </w:rPr>
        <w:t>Incentive fees decreased $0.6 million, or 10%, to $5.4 million for the six months ended September 30, 2022 as compared to $6.0 million for the six months ended September 30, 2021.</w:t>
      </w:r>
    </w:p>
    <w:p>
      <w:pPr>
        <w:spacing w:after="0" w:line="163" w:lineRule="exact"/>
        <w:rPr>
          <w:sz w:val="20"/>
          <w:szCs w:val="20"/>
          <w:color w:val="auto"/>
        </w:rPr>
      </w:pPr>
    </w:p>
    <w:p>
      <w:pPr>
        <w:ind w:right="60" w:firstLine="648"/>
        <w:spacing w:after="0" w:line="252" w:lineRule="auto"/>
        <w:rPr>
          <w:sz w:val="20"/>
          <w:szCs w:val="20"/>
          <w:color w:val="auto"/>
        </w:rPr>
      </w:pPr>
      <w:r>
        <w:rPr>
          <w:rFonts w:ascii="Arial" w:cs="Arial" w:eastAsia="Arial" w:hAnsi="Arial"/>
          <w:sz w:val="20"/>
          <w:szCs w:val="20"/>
          <w:color w:val="auto"/>
        </w:rPr>
        <w:t>Realized carried interest allocation revenues decreased $6.4 million, or 6%, to $96.1 million for the six months ended September 30, 2022 as compared to the six months ended September 30, 2021, reflecting lower realization activity within our private equity funds. Unrealized carried interest allocation revenues include the reversal of realized carried interest allocation revenues. Excluding the reversal of $96.1 million, unrealized carried interest allocation revenues decreased $617.4 million to $(194.7) million for the six months ended September 30, 2022 as compared to the six months ended September 30, 2021. The decrease in unrealized carried interest allocations for the six months ended September 30, 2022 primarily reflected a net decrease in the cumulative allocation of gains associated with the underlying portfolios within our private equity funds.</w:t>
      </w:r>
    </w:p>
    <w:p>
      <w:pPr>
        <w:spacing w:after="0" w:line="186" w:lineRule="exact"/>
        <w:rPr>
          <w:sz w:val="20"/>
          <w:szCs w:val="20"/>
          <w:color w:val="auto"/>
        </w:rPr>
      </w:pPr>
    </w:p>
    <w:p>
      <w:pPr>
        <w:ind w:right="60" w:firstLine="648"/>
        <w:spacing w:after="0" w:line="255" w:lineRule="auto"/>
        <w:rPr>
          <w:sz w:val="20"/>
          <w:szCs w:val="20"/>
          <w:color w:val="auto"/>
        </w:rPr>
      </w:pPr>
      <w:r>
        <w:rPr>
          <w:rFonts w:ascii="Arial" w:cs="Arial" w:eastAsia="Arial" w:hAnsi="Arial"/>
          <w:sz w:val="20"/>
          <w:szCs w:val="20"/>
          <w:color w:val="auto"/>
        </w:rPr>
        <w:t>Legacy Greenspring carried interest allocation revenues of $(282.3) million for the six months ended September 30, 2022 reflect gross realized carried interest allocations of $40.1 million and unrealized carried interest allocations, net of the reversal of realized carried interest allocations, of $(322.4) million. The six months ended September 30, 2021 reflect the net effect of gross realized carried interest allocations of $3.0 million and the reversal of such amounts in unrealized carried interest allocations for the period from September 20, 2021 to September 30, 2021.</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Expenses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September 30, 2022 Compared to Three Months Ended September 30, 2021</w:t>
      </w:r>
    </w:p>
    <w:p>
      <w:pPr>
        <w:spacing w:after="0" w:line="229" w:lineRule="exact"/>
        <w:rPr>
          <w:sz w:val="20"/>
          <w:szCs w:val="20"/>
          <w:color w:val="auto"/>
        </w:rPr>
      </w:pPr>
    </w:p>
    <w:p>
      <w:pPr>
        <w:ind w:right="20" w:firstLine="648"/>
        <w:spacing w:after="0" w:line="251" w:lineRule="auto"/>
        <w:rPr>
          <w:sz w:val="20"/>
          <w:szCs w:val="20"/>
          <w:color w:val="auto"/>
        </w:rPr>
      </w:pPr>
      <w:r>
        <w:rPr>
          <w:rFonts w:ascii="Arial" w:cs="Arial" w:eastAsia="Arial" w:hAnsi="Arial"/>
          <w:sz w:val="20"/>
          <w:szCs w:val="20"/>
          <w:color w:val="auto"/>
        </w:rPr>
        <w:t>Total expenses decreased $277.6 million to $(104.2) million for the three months ended September 30, 2022 as compared to the three months ended September 30, 2021, due to decreases in performance fee-related compensation and the inclusion of legacy Greenspring performance fee-related compensation, partially offset by increases in cash-based compensation, general, administrative and other expenses, and equity-based compensation.</w:t>
      </w:r>
    </w:p>
    <w:p>
      <w:pPr>
        <w:spacing w:after="0" w:line="199" w:lineRule="exact"/>
        <w:rPr>
          <w:sz w:val="20"/>
          <w:szCs w:val="20"/>
          <w:color w:val="auto"/>
        </w:rPr>
      </w:pPr>
    </w:p>
    <w:p>
      <w:pPr>
        <w:ind w:firstLine="648"/>
        <w:spacing w:after="0" w:line="299" w:lineRule="auto"/>
        <w:rPr>
          <w:sz w:val="20"/>
          <w:szCs w:val="20"/>
          <w:color w:val="auto"/>
        </w:rPr>
      </w:pPr>
      <w:r>
        <w:rPr>
          <w:rFonts w:ascii="Arial" w:cs="Arial" w:eastAsia="Arial" w:hAnsi="Arial"/>
          <w:sz w:val="18"/>
          <w:szCs w:val="18"/>
          <w:color w:val="auto"/>
        </w:rPr>
        <w:t>Cash-based compensation increased $15.6 million, or 36%, to $59.5 million for the three months ended September 30, 2022 as compared to the three months ended September 30, 2021, due to increased staffing and compensation levels. Our average full-time headcount increased 44% (or 27% excluding the impact of Greenspring) in the current year period as compared to the prior year period.</w:t>
      </w:r>
    </w:p>
    <w:p>
      <w:pPr>
        <w:spacing w:after="0" w:line="158" w:lineRule="exact"/>
        <w:rPr>
          <w:sz w:val="20"/>
          <w:szCs w:val="20"/>
          <w:color w:val="auto"/>
        </w:rPr>
      </w:pPr>
    </w:p>
    <w:p>
      <w:pPr>
        <w:ind w:right="600" w:firstLine="648"/>
        <w:spacing w:after="0" w:line="260" w:lineRule="auto"/>
        <w:rPr>
          <w:sz w:val="20"/>
          <w:szCs w:val="20"/>
          <w:color w:val="auto"/>
        </w:rPr>
      </w:pPr>
      <w:r>
        <w:rPr>
          <w:rFonts w:ascii="Arial" w:cs="Arial" w:eastAsia="Arial" w:hAnsi="Arial"/>
          <w:sz w:val="20"/>
          <w:szCs w:val="20"/>
          <w:color w:val="auto"/>
        </w:rPr>
        <w:t>Equity-based compensation increased $0.6 million, or 18%, to $3.8 million for the three months ended September 30, 2022 as compared to the three months ended September 30, 2021.</w:t>
      </w:r>
    </w:p>
    <w:p>
      <w:pPr>
        <w:spacing w:after="0" w:line="190" w:lineRule="exact"/>
        <w:rPr>
          <w:sz w:val="20"/>
          <w:szCs w:val="20"/>
          <w:color w:val="auto"/>
        </w:rPr>
      </w:pPr>
    </w:p>
    <w:p>
      <w:pPr>
        <w:ind w:right="80" w:firstLine="648"/>
        <w:spacing w:after="0" w:line="293" w:lineRule="auto"/>
        <w:rPr>
          <w:sz w:val="20"/>
          <w:szCs w:val="20"/>
          <w:color w:val="auto"/>
        </w:rPr>
      </w:pPr>
      <w:r>
        <w:rPr>
          <w:rFonts w:ascii="Arial" w:cs="Arial" w:eastAsia="Arial" w:hAnsi="Arial"/>
          <w:sz w:val="18"/>
          <w:szCs w:val="18"/>
          <w:color w:val="auto"/>
        </w:rPr>
        <w:t>Performance fee-related compensation expense decreased $173.5 million to $(72.5) million for the three months ended September 30, 2022 as compared to the three months ended September 30, 2021, primarily reflecting the decrease in carried interest allocation revenue. Realized performance fee-related compensation decreased $13.2 million, or 49%, to $13.6 million for the three months ended September 30, 2022 as compared to the three months ended September 30, 2021, primarily reflecting lower realization activity.</w:t>
      </w:r>
    </w:p>
    <w:p>
      <w:pPr>
        <w:spacing w:after="0" w:line="150" w:lineRule="exact"/>
        <w:rPr>
          <w:sz w:val="20"/>
          <w:szCs w:val="20"/>
          <w:color w:val="auto"/>
        </w:rPr>
      </w:pPr>
    </w:p>
    <w:p>
      <w:pPr>
        <w:ind w:right="80" w:firstLine="648"/>
        <w:spacing w:after="0" w:line="252" w:lineRule="auto"/>
        <w:rPr>
          <w:sz w:val="20"/>
          <w:szCs w:val="20"/>
          <w:color w:val="auto"/>
        </w:rPr>
      </w:pPr>
      <w:r>
        <w:rPr>
          <w:rFonts w:ascii="Arial" w:cs="Arial" w:eastAsia="Arial" w:hAnsi="Arial"/>
          <w:sz w:val="20"/>
          <w:szCs w:val="20"/>
          <w:color w:val="auto"/>
        </w:rPr>
        <w:t>Legacy Greenspring performance fee-related compensation expense of $(128.7) million for the three months ended September 30, 2022 reflects gross realized performance fee-related compensation expense of $10.6 million and unrealized performance fee-related compensation expense, net of the reversal of realized performance fee-related compensation expense, of $(139.2) million. The three months ended September 30, 2021 reflects the net effect of gross realized performance fee-related compensation expense of $3.0 million and the reversal of such amounts in unrealized performance fee-related compensation expense for the period from September 20, 2021 to September 30, 2021.</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141" w:lineRule="exact"/>
        <w:rPr>
          <w:sz w:val="20"/>
          <w:szCs w:val="20"/>
          <w:color w:val="auto"/>
        </w:rPr>
      </w:pPr>
    </w:p>
    <w:p>
      <w:pPr>
        <w:ind w:right="220" w:firstLine="648"/>
        <w:spacing w:after="0" w:line="285" w:lineRule="auto"/>
        <w:rPr>
          <w:sz w:val="20"/>
          <w:szCs w:val="20"/>
          <w:color w:val="auto"/>
        </w:rPr>
      </w:pPr>
      <w:r>
        <w:rPr>
          <w:rFonts w:ascii="Arial" w:cs="Arial" w:eastAsia="Arial" w:hAnsi="Arial"/>
          <w:sz w:val="18"/>
          <w:szCs w:val="18"/>
          <w:color w:val="auto"/>
        </w:rPr>
        <w:t>General, administrative and other expenses increased $8.4 million, or 33%, to $33.7 million for the three months ended September 30, 2022 as compared to the three months ended September 30, 2021. The overall increase primarily reflected increases of $9.0 million in amortization expense for intangibles, $4.7 million in loss on change in fair value for contingent consideration obligation, $2.9 million of travel and associated costs for investment evaluation and client service, $1.6 million in professional fees, $1.3 million in information and technology expenses and other general operating expenses, partially offset by a decrease in transaction costs of $10.3 million and a gain of $2.7 million within occupancy costs related to lease remeasurement adjustments due to a reduction in lease terms.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2022 Compared to Six Months Ended September 30, 2021</w:t>
      </w:r>
    </w:p>
    <w:p>
      <w:pPr>
        <w:spacing w:after="0" w:line="216" w:lineRule="exact"/>
        <w:rPr>
          <w:sz w:val="20"/>
          <w:szCs w:val="20"/>
          <w:color w:val="auto"/>
        </w:rPr>
      </w:pPr>
    </w:p>
    <w:p>
      <w:pPr>
        <w:ind w:right="100" w:firstLine="648"/>
        <w:spacing w:after="0" w:line="255" w:lineRule="auto"/>
        <w:rPr>
          <w:sz w:val="20"/>
          <w:szCs w:val="20"/>
          <w:color w:val="auto"/>
        </w:rPr>
      </w:pPr>
      <w:r>
        <w:rPr>
          <w:rFonts w:ascii="Arial" w:cs="Arial" w:eastAsia="Arial" w:hAnsi="Arial"/>
          <w:sz w:val="20"/>
          <w:szCs w:val="20"/>
          <w:color w:val="auto"/>
        </w:rPr>
        <w:t>Total expenses decreased $519.7 million to $(172.6) million for the six months ended September 30, 2022 as compared to the six months ended September 30, 2021, due to decreases in performance fee-related compensation and the inclusion of legacy Greenspring performance fee-related compensation, partially offset by increases in cash-based compensation, general, administrative and other expenses, and equity-based compensation.</w:t>
      </w:r>
    </w:p>
    <w:p>
      <w:pPr>
        <w:spacing w:after="0" w:line="197" w:lineRule="exact"/>
        <w:rPr>
          <w:sz w:val="20"/>
          <w:szCs w:val="20"/>
          <w:color w:val="auto"/>
        </w:rPr>
      </w:pPr>
    </w:p>
    <w:p>
      <w:pPr>
        <w:ind w:right="160" w:firstLine="648"/>
        <w:spacing w:after="0" w:line="299" w:lineRule="auto"/>
        <w:rPr>
          <w:sz w:val="20"/>
          <w:szCs w:val="20"/>
          <w:color w:val="auto"/>
        </w:rPr>
      </w:pPr>
      <w:r>
        <w:rPr>
          <w:rFonts w:ascii="Arial" w:cs="Arial" w:eastAsia="Arial" w:hAnsi="Arial"/>
          <w:sz w:val="18"/>
          <w:szCs w:val="18"/>
          <w:color w:val="auto"/>
        </w:rPr>
        <w:t>Cash-based compensation increased $33.0 million, or 38%, to $119.6 million for the six months ended September 30, 2022 as compared to the six months ended September 30, 2021, due to increased staffing and compensation levels. Our average full-time headcount increased 40% (or 22% excluding the impact of Greenspring) in the current year period as compared to the prior year period.</w:t>
      </w:r>
    </w:p>
    <w:p>
      <w:pPr>
        <w:spacing w:after="0" w:line="144" w:lineRule="exact"/>
        <w:rPr>
          <w:sz w:val="20"/>
          <w:szCs w:val="20"/>
          <w:color w:val="auto"/>
        </w:rPr>
      </w:pPr>
    </w:p>
    <w:p>
      <w:pPr>
        <w:ind w:right="20" w:firstLine="648"/>
        <w:spacing w:after="0" w:line="274" w:lineRule="auto"/>
        <w:rPr>
          <w:sz w:val="20"/>
          <w:szCs w:val="20"/>
          <w:color w:val="auto"/>
        </w:rPr>
      </w:pPr>
      <w:r>
        <w:rPr>
          <w:rFonts w:ascii="Arial" w:cs="Arial" w:eastAsia="Arial" w:hAnsi="Arial"/>
          <w:sz w:val="20"/>
          <w:szCs w:val="20"/>
          <w:color w:val="auto"/>
        </w:rPr>
        <w:t>Equity-based compensation increased $0.5 million, or 8%, to $7.5 million for the six months ended September 30, 2022 as compared to the six months ended September 30, 2021.</w:t>
      </w:r>
    </w:p>
    <w:p>
      <w:pPr>
        <w:spacing w:after="0" w:line="177" w:lineRule="exact"/>
        <w:rPr>
          <w:sz w:val="20"/>
          <w:szCs w:val="20"/>
          <w:color w:val="auto"/>
        </w:rPr>
      </w:pPr>
    </w:p>
    <w:p>
      <w:pPr>
        <w:ind w:right="20" w:firstLine="648"/>
        <w:spacing w:after="0" w:line="286" w:lineRule="auto"/>
        <w:rPr>
          <w:sz w:val="20"/>
          <w:szCs w:val="20"/>
          <w:color w:val="auto"/>
        </w:rPr>
      </w:pPr>
      <w:r>
        <w:rPr>
          <w:rFonts w:ascii="Arial" w:cs="Arial" w:eastAsia="Arial" w:hAnsi="Arial"/>
          <w:sz w:val="18"/>
          <w:szCs w:val="18"/>
          <w:color w:val="auto"/>
        </w:rPr>
        <w:t>Performance fee-related compensation expense decreased $297.2 million to $(85.3) million for the six months ended September 30, 2022 as compared to the six months ended September 30, 2021, primarily reflecting the decrease in carried interest allocation revenue. Realized performance fee-related compensation increased $3.3 million, or 6%, to $55.4 million for the six months ended September 30, 2022 as compared to the six months ended September 30, 2021, primarily reflecting realized carried interest allocations recognized in the current year period from certain funds for which a higher portion is paid to employees as realized performance fee-related compensation.</w:t>
      </w:r>
    </w:p>
    <w:p>
      <w:pPr>
        <w:spacing w:after="0" w:line="157" w:lineRule="exact"/>
        <w:rPr>
          <w:sz w:val="20"/>
          <w:szCs w:val="20"/>
          <w:color w:val="auto"/>
        </w:rPr>
      </w:pPr>
    </w:p>
    <w:p>
      <w:pPr>
        <w:ind w:right="80" w:firstLine="648"/>
        <w:spacing w:after="0" w:line="252" w:lineRule="auto"/>
        <w:rPr>
          <w:sz w:val="20"/>
          <w:szCs w:val="20"/>
          <w:color w:val="auto"/>
        </w:rPr>
      </w:pPr>
      <w:r>
        <w:rPr>
          <w:rFonts w:ascii="Arial" w:cs="Arial" w:eastAsia="Arial" w:hAnsi="Arial"/>
          <w:sz w:val="20"/>
          <w:szCs w:val="20"/>
          <w:color w:val="auto"/>
        </w:rPr>
        <w:t>Legacy Greenspring performance fee-related compensation expense of $(282.3) million for the six months ended September 30, 2022 reflects gross realized performance fee-related compensation expense of $40.1 million and unrealized performance fee-related compensation expense, net of the reversal of realized performance fee-related compensation expense, of $(322.4) million. The six months ended September 30, 2021 reflects the net effect of gross realized performance fee-related compensation expense of $3.0 million and the reversal of such amounts in unrealized performance fee-related compensation expense for the period from September 20, 2021 to September 30, 2021.</w:t>
      </w:r>
    </w:p>
    <w:p>
      <w:pPr>
        <w:spacing w:after="0" w:line="198"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General, administrative and other expenses increased $26.2 million, or 63%, to $68.0 million for the six months ended September 30, 2022 as compared to the six months ended September 30, 2021. The overall increase primarily reflected increases of $19.2 million in amortization expense for intangibles, $8.0 million in loss on change in fair value for contingent consideration obligation, $5.6 million of travel and associated costs for investment evaluation and client service, $2.7 million in information and technology expenses, $2.6 million in professional fees, and other general operating expenses, partially offset by a decrease in transaction costs of $13.8 million and a gain of $2.7 million within occupancy costs related to lease remeasurement adjustments due to a reduction in lease terms.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Other Income (Expense)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September 30, 2022 Compared to Three Months Ended September 30, 2021</w:t>
      </w:r>
    </w:p>
    <w:p>
      <w:pPr>
        <w:spacing w:after="0" w:line="216" w:lineRule="exact"/>
        <w:rPr>
          <w:sz w:val="20"/>
          <w:szCs w:val="20"/>
          <w:color w:val="auto"/>
        </w:rPr>
      </w:pPr>
    </w:p>
    <w:p>
      <w:pPr>
        <w:ind w:right="120" w:firstLine="648"/>
        <w:spacing w:after="0" w:line="257" w:lineRule="auto"/>
        <w:rPr>
          <w:sz w:val="20"/>
          <w:szCs w:val="20"/>
          <w:color w:val="auto"/>
        </w:rPr>
      </w:pPr>
      <w:r>
        <w:rPr>
          <w:rFonts w:ascii="Arial" w:cs="Arial" w:eastAsia="Arial" w:hAnsi="Arial"/>
          <w:sz w:val="20"/>
          <w:szCs w:val="20"/>
          <w:color w:val="auto"/>
        </w:rPr>
        <w:t>Investment income decreased $10.9 million to a loss of $3.7 million for the three months ended September 30, 2022 as compared to the three months ended September 30, 2021, primarily reflecting overall changes in the valuations of the underlying investments in the StepStone Funds.</w:t>
      </w:r>
    </w:p>
    <w:p>
      <w:pPr>
        <w:spacing w:after="0" w:line="193" w:lineRule="exact"/>
        <w:rPr>
          <w:sz w:val="20"/>
          <w:szCs w:val="20"/>
          <w:color w:val="auto"/>
        </w:rPr>
      </w:pPr>
    </w:p>
    <w:p>
      <w:pPr>
        <w:ind w:right="240" w:firstLine="648"/>
        <w:spacing w:after="0" w:line="293" w:lineRule="auto"/>
        <w:rPr>
          <w:sz w:val="20"/>
          <w:szCs w:val="20"/>
          <w:color w:val="auto"/>
        </w:rPr>
      </w:pPr>
      <w:r>
        <w:rPr>
          <w:rFonts w:ascii="Arial" w:cs="Arial" w:eastAsia="Arial" w:hAnsi="Arial"/>
          <w:sz w:val="18"/>
          <w:szCs w:val="18"/>
          <w:color w:val="auto"/>
        </w:rPr>
        <w:t>Legacy Greenspring investment loss of $15.4 million for the three months ended September 30, 2022 reflects gross realized investment income of $1.8 million and unrealized investment income, net of the reversal of realized investment loss, of $17.1 million. The three months ended September 30, 2021 reflects the net effect of gross realized investment income of $1.4 million and the reversal of such amounts in unrealized investment income for the period from September 20, 2021 to September 30, 2021.</w:t>
      </w:r>
    </w:p>
    <w:p>
      <w:pPr>
        <w:spacing w:after="0" w:line="150" w:lineRule="exact"/>
        <w:rPr>
          <w:sz w:val="20"/>
          <w:szCs w:val="20"/>
          <w:color w:val="auto"/>
        </w:rPr>
      </w:pPr>
    </w:p>
    <w:p>
      <w:pPr>
        <w:ind w:right="240" w:firstLine="648"/>
        <w:spacing w:after="0" w:line="274" w:lineRule="auto"/>
        <w:rPr>
          <w:sz w:val="20"/>
          <w:szCs w:val="20"/>
          <w:color w:val="auto"/>
        </w:rPr>
      </w:pPr>
      <w:r>
        <w:rPr>
          <w:rFonts w:ascii="Arial" w:cs="Arial" w:eastAsia="Arial" w:hAnsi="Arial"/>
          <w:sz w:val="20"/>
          <w:szCs w:val="20"/>
          <w:color w:val="auto"/>
        </w:rPr>
        <w:t>Interest income increased $0.2 million, or 73%, to $0.4 million for the three months ended September 30, 2022 as compared to the three months ended September 30, 2021.</w:t>
      </w:r>
    </w:p>
    <w:p>
      <w:pPr>
        <w:spacing w:after="0" w:line="177" w:lineRule="exact"/>
        <w:rPr>
          <w:sz w:val="20"/>
          <w:szCs w:val="20"/>
          <w:color w:val="auto"/>
        </w:rPr>
      </w:pPr>
    </w:p>
    <w:p>
      <w:pPr>
        <w:ind w:right="80" w:firstLine="648"/>
        <w:spacing w:after="0" w:line="251" w:lineRule="auto"/>
        <w:rPr>
          <w:sz w:val="20"/>
          <w:szCs w:val="20"/>
          <w:color w:val="auto"/>
        </w:rPr>
      </w:pPr>
      <w:r>
        <w:rPr>
          <w:rFonts w:ascii="Arial" w:cs="Arial" w:eastAsia="Arial" w:hAnsi="Arial"/>
          <w:sz w:val="20"/>
          <w:szCs w:val="20"/>
          <w:color w:val="auto"/>
        </w:rPr>
        <w:t>Interest expense increased $0.7 million, or 828%, to $0.8 million for the three months ended September 30, 2022 as compared to the three months ended September 30, 2021. The increase was primarily due to a full period of interest on the average outstanding balances under the Revolver during the current period, as compared with a partial period of interest on the average outstanding balances under the Revolver during the prior period.</w:t>
      </w:r>
    </w:p>
    <w:p>
      <w:pPr>
        <w:spacing w:after="0" w:line="199" w:lineRule="exact"/>
        <w:rPr>
          <w:sz w:val="20"/>
          <w:szCs w:val="20"/>
          <w:color w:val="auto"/>
        </w:rPr>
      </w:pPr>
    </w:p>
    <w:p>
      <w:pPr>
        <w:jc w:val="both"/>
        <w:ind w:right="180" w:firstLine="648"/>
        <w:spacing w:after="0" w:line="257" w:lineRule="auto"/>
        <w:rPr>
          <w:sz w:val="20"/>
          <w:szCs w:val="20"/>
          <w:color w:val="auto"/>
        </w:rPr>
      </w:pPr>
      <w:r>
        <w:rPr>
          <w:rFonts w:ascii="Arial" w:cs="Arial" w:eastAsia="Arial" w:hAnsi="Arial"/>
          <w:sz w:val="20"/>
          <w:szCs w:val="20"/>
          <w:color w:val="auto"/>
        </w:rPr>
        <w:t>Other loss decreased $1.3 million, or 68%, to $0.6 million for the three months ended September 30, 2022 as compared to the three months ended September 30, 2021, primarily reflecting the inclusion of losses related to adjustments for the Tax Receivable Agreements in the prior year period and no comparable losses in the current year period.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2022 Compared to Six Months Ended September 30, 2021</w:t>
      </w:r>
    </w:p>
    <w:p>
      <w:pPr>
        <w:spacing w:after="0" w:line="216" w:lineRule="exact"/>
        <w:rPr>
          <w:sz w:val="20"/>
          <w:szCs w:val="20"/>
          <w:color w:val="auto"/>
        </w:rPr>
      </w:pPr>
    </w:p>
    <w:p>
      <w:pPr>
        <w:ind w:firstLine="648"/>
        <w:spacing w:after="0" w:line="257" w:lineRule="auto"/>
        <w:rPr>
          <w:sz w:val="20"/>
          <w:szCs w:val="20"/>
          <w:color w:val="auto"/>
        </w:rPr>
      </w:pPr>
      <w:r>
        <w:rPr>
          <w:rFonts w:ascii="Arial" w:cs="Arial" w:eastAsia="Arial" w:hAnsi="Arial"/>
          <w:sz w:val="20"/>
          <w:szCs w:val="20"/>
          <w:color w:val="auto"/>
        </w:rPr>
        <w:t>Investment income decreased $18.4 million to a loss of $4.8 million for the six months ended September 30, 2022 as compared to the six months ended September 30, 2021, primarily reflecting overall changes in the valuations of the underlying investments in the StepStone Funds.</w:t>
      </w:r>
    </w:p>
    <w:p>
      <w:pPr>
        <w:spacing w:after="0" w:line="193"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Legacy Greenspring investment loss of $24.0 million for the six months ended September 30, 2022 reflects gross realized investment income of $3.4 million and unrealized investment income, net of the reversal of realized investment loss, of $(27.3) million. The six months ended September 30, 2021 reflects the net effect of gross realized investment income of $1.4 million and the reversal of such amounts in unrealized investment income for the period from September 20, 2021 to September 30, 2021.</w:t>
      </w:r>
    </w:p>
    <w:p>
      <w:pPr>
        <w:spacing w:after="0" w:line="167" w:lineRule="exact"/>
        <w:rPr>
          <w:sz w:val="20"/>
          <w:szCs w:val="20"/>
          <w:color w:val="auto"/>
        </w:rPr>
      </w:pPr>
    </w:p>
    <w:p>
      <w:pPr>
        <w:ind w:right="120" w:firstLine="648"/>
        <w:spacing w:after="0" w:line="274" w:lineRule="auto"/>
        <w:rPr>
          <w:sz w:val="20"/>
          <w:szCs w:val="20"/>
          <w:color w:val="auto"/>
        </w:rPr>
      </w:pPr>
      <w:r>
        <w:rPr>
          <w:rFonts w:ascii="Arial" w:cs="Arial" w:eastAsia="Arial" w:hAnsi="Arial"/>
          <w:sz w:val="20"/>
          <w:szCs w:val="20"/>
          <w:color w:val="auto"/>
        </w:rPr>
        <w:t>Interest income increased $0.1 million, or 28%, to $0.4 million for the six months ended September 30, 2022 as compared to the six months ended September 30, 2021.</w:t>
      </w:r>
    </w:p>
    <w:p>
      <w:pPr>
        <w:spacing w:after="0" w:line="177" w:lineRule="exact"/>
        <w:rPr>
          <w:sz w:val="20"/>
          <w:szCs w:val="20"/>
          <w:color w:val="auto"/>
        </w:rPr>
      </w:pPr>
    </w:p>
    <w:p>
      <w:pPr>
        <w:jc w:val="both"/>
        <w:ind w:right="100" w:firstLine="648"/>
        <w:spacing w:after="0" w:line="251" w:lineRule="auto"/>
        <w:rPr>
          <w:sz w:val="20"/>
          <w:szCs w:val="20"/>
          <w:color w:val="auto"/>
        </w:rPr>
      </w:pPr>
      <w:r>
        <w:rPr>
          <w:rFonts w:ascii="Arial" w:cs="Arial" w:eastAsia="Arial" w:hAnsi="Arial"/>
          <w:sz w:val="20"/>
          <w:szCs w:val="20"/>
          <w:color w:val="auto"/>
        </w:rPr>
        <w:t>Interest expense increased $1.3 million, or 1,394%, to $1.4 million for the six months ended September 30, 2022 as compared to the six months ended September 30, 2021. The increase was primarily due to a full period of interest on the average outstanding balances under the Revolver during the current period, as compared with a partial period of interest on the average outstanding balances under the Revolver during the prior period.</w:t>
      </w:r>
    </w:p>
    <w:p>
      <w:pPr>
        <w:spacing w:after="0" w:line="199" w:lineRule="exact"/>
        <w:rPr>
          <w:sz w:val="20"/>
          <w:szCs w:val="20"/>
          <w:color w:val="auto"/>
        </w:rPr>
      </w:pPr>
    </w:p>
    <w:p>
      <w:pPr>
        <w:ind w:right="180" w:firstLine="648"/>
        <w:spacing w:after="0" w:line="351" w:lineRule="auto"/>
        <w:rPr>
          <w:sz w:val="20"/>
          <w:szCs w:val="20"/>
          <w:color w:val="auto"/>
        </w:rPr>
      </w:pPr>
      <w:r>
        <w:rPr>
          <w:rFonts w:ascii="Arial" w:cs="Arial" w:eastAsia="Arial" w:hAnsi="Arial"/>
          <w:sz w:val="16"/>
          <w:szCs w:val="16"/>
          <w:color w:val="auto"/>
        </w:rPr>
        <w:t>Other loss decreased $0.7 million, or 27%, to $1.7 million for the six months ended September 30, 2022 as compared to the six months ended September 30, 2021, primarily reflecting the inclusion of losses related to adjustments for the Tax Receivable Agreements in the prior year period and no comparable losses in the current year period, partially offset by higher net foreign currency transaction losses.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60" w:name="page61"/>
    <w:bookmarkEnd w:id="60"/>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 Expense</w:t>
      </w:r>
    </w:p>
    <w:p>
      <w:pPr>
        <w:spacing w:after="0" w:line="235" w:lineRule="exact"/>
        <w:rPr>
          <w:sz w:val="20"/>
          <w:szCs w:val="20"/>
          <w:color w:val="auto"/>
        </w:rPr>
      </w:pPr>
    </w:p>
    <w:p>
      <w:pPr>
        <w:ind w:right="860" w:firstLine="648"/>
        <w:spacing w:after="0" w:line="260" w:lineRule="auto"/>
        <w:rPr>
          <w:sz w:val="20"/>
          <w:szCs w:val="20"/>
          <w:color w:val="auto"/>
        </w:rPr>
      </w:pPr>
      <w:r>
        <w:rPr>
          <w:rFonts w:ascii="Arial" w:cs="Arial" w:eastAsia="Arial" w:hAnsi="Arial"/>
          <w:sz w:val="20"/>
          <w:szCs w:val="20"/>
          <w:color w:val="auto"/>
        </w:rPr>
        <w:t>Income tax expense primarily reflects U.S. federal and state income taxes on our share of taxable income generated by the Partnership, as well as local and foreign income taxes of certain of the Partnership’s subsidiaries.</w:t>
      </w:r>
    </w:p>
    <w:p>
      <w:pPr>
        <w:spacing w:after="0" w:line="190" w:lineRule="exact"/>
        <w:rPr>
          <w:sz w:val="20"/>
          <w:szCs w:val="20"/>
          <w:color w:val="auto"/>
        </w:rPr>
      </w:pPr>
    </w:p>
    <w:p>
      <w:pPr>
        <w:ind w:firstLine="648"/>
        <w:spacing w:after="0" w:line="265" w:lineRule="auto"/>
        <w:rPr>
          <w:sz w:val="20"/>
          <w:szCs w:val="20"/>
          <w:color w:val="auto"/>
        </w:rPr>
      </w:pPr>
      <w:r>
        <w:rPr>
          <w:rFonts w:ascii="Arial" w:cs="Arial" w:eastAsia="Arial" w:hAnsi="Arial"/>
          <w:sz w:val="19"/>
          <w:szCs w:val="19"/>
          <w:color w:val="auto"/>
        </w:rPr>
        <w:t>Our effective income tax rate was 10.0% and (12.4)% for the three months ended September 30, 2022 and 2021, respectively, and 6.5% and 0.1% for the six months ended September 30, 2022 and 2021, respectively. Our overall effective tax rate in each of the periods described above is less than the statutory rate. The primary rate difference for the three and six months ended September 30, 2022 and 2021 relates to a portion of income that is allocated to non-controlling interests, as the tax liability on such income is borne by the holders of such non-controlling interests. Additionally, during the three and six months ended September 30, 2021, we recorded a benefit of $25.3 million, or 22.2% and 9.9%, respectively, related to the full release of the valuation allowance as a result of the deferred tax liability recorded in connection with the Greenspring acquisition.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September 30, 2022 Compared to Three Months Ended September 30, 2021</w:t>
      </w:r>
    </w:p>
    <w:p>
      <w:pPr>
        <w:spacing w:after="0" w:line="229" w:lineRule="exact"/>
        <w:rPr>
          <w:sz w:val="20"/>
          <w:szCs w:val="20"/>
          <w:color w:val="auto"/>
        </w:rPr>
      </w:pPr>
    </w:p>
    <w:p>
      <w:pPr>
        <w:ind w:right="220" w:firstLine="648"/>
        <w:spacing w:after="0" w:line="351" w:lineRule="auto"/>
        <w:rPr>
          <w:sz w:val="20"/>
          <w:szCs w:val="20"/>
          <w:color w:val="auto"/>
        </w:rPr>
      </w:pPr>
      <w:r>
        <w:rPr>
          <w:rFonts w:ascii="Arial" w:cs="Arial" w:eastAsia="Arial" w:hAnsi="Arial"/>
          <w:sz w:val="16"/>
          <w:szCs w:val="16"/>
          <w:color w:val="auto"/>
        </w:rPr>
        <w:t>Income tax benefit decreased $6.7 million, or 48%, to $7.4 million for the three months ended September 30, 2022 as compared to the three months ended September 30, 2021, primarily due to the significant benefit recognized as a result of the release of the valuation allowance for the three months ended September 30, 2021 and no comparable benefit for the three months ended September 30, 2022.</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2022 Compared to Six Months Ended September 30, 2021</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20"/>
          <w:szCs w:val="20"/>
          <w:color w:val="auto"/>
        </w:rPr>
        <w:t>Income tax expense decreased $6.4 million to an income tax benefit of $6.1 million for the six months ended September 30, 2022 as compared to the six months ended September 30, 2021. The decrease in tax expense was primarily driven by pre-tax net loss for the six months ended September 30, 2022.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Income Attributable to Non-Controlling Interests in Subsidiaries</w:t>
      </w:r>
    </w:p>
    <w:p>
      <w:pPr>
        <w:spacing w:after="0" w:line="222" w:lineRule="exact"/>
        <w:rPr>
          <w:sz w:val="20"/>
          <w:szCs w:val="20"/>
          <w:color w:val="auto"/>
        </w:rPr>
      </w:pPr>
    </w:p>
    <w:p>
      <w:pPr>
        <w:ind w:right="40" w:firstLine="648"/>
        <w:spacing w:after="0" w:line="257" w:lineRule="auto"/>
        <w:rPr>
          <w:sz w:val="20"/>
          <w:szCs w:val="20"/>
          <w:color w:val="auto"/>
        </w:rPr>
      </w:pPr>
      <w:r>
        <w:rPr>
          <w:rFonts w:ascii="Arial" w:cs="Arial" w:eastAsia="Arial" w:hAnsi="Arial"/>
          <w:sz w:val="20"/>
          <w:szCs w:val="20"/>
          <w:color w:val="auto"/>
        </w:rPr>
        <w:t>Net income attributable to non-controlling interests in subsidiaries increased $2.7 million, or 44%, to $8.7 million for the three months ended September 30, 2022 as compared to the three months ended September 30, 2021. The increase was primarily attributable to an increase in income generated by our consolidated subsidiaries not wholly-owned by us.</w:t>
      </w:r>
    </w:p>
    <w:p>
      <w:pPr>
        <w:spacing w:after="0" w:line="193" w:lineRule="exact"/>
        <w:rPr>
          <w:sz w:val="20"/>
          <w:szCs w:val="20"/>
          <w:color w:val="auto"/>
        </w:rPr>
      </w:pPr>
    </w:p>
    <w:p>
      <w:pPr>
        <w:ind w:right="200" w:firstLine="648"/>
        <w:spacing w:after="0" w:line="257" w:lineRule="auto"/>
        <w:rPr>
          <w:sz w:val="20"/>
          <w:szCs w:val="20"/>
          <w:color w:val="auto"/>
        </w:rPr>
      </w:pPr>
      <w:r>
        <w:rPr>
          <w:rFonts w:ascii="Arial" w:cs="Arial" w:eastAsia="Arial" w:hAnsi="Arial"/>
          <w:sz w:val="20"/>
          <w:szCs w:val="20"/>
          <w:color w:val="auto"/>
        </w:rPr>
        <w:t>Net income attributable to non-controlling interests in subsidiaries increased $4.6 million, or 40%, to $16.3 million for the six months ended September 30, 2022 as compared to the six months ended September 30, 2021. The increase was primarily attributable to an increase in income generated by our consolidated subsidiaries not wholly-owned by us.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Loss Attributable to Non-Controlling Interests in Legacy Greenspring Entities</w:t>
      </w:r>
    </w:p>
    <w:p>
      <w:pPr>
        <w:spacing w:after="0" w:line="222" w:lineRule="exact"/>
        <w:rPr>
          <w:sz w:val="20"/>
          <w:szCs w:val="20"/>
          <w:color w:val="auto"/>
        </w:rPr>
      </w:pPr>
    </w:p>
    <w:p>
      <w:pPr>
        <w:ind w:right="40" w:firstLine="648"/>
        <w:spacing w:after="0" w:line="267" w:lineRule="auto"/>
        <w:rPr>
          <w:sz w:val="20"/>
          <w:szCs w:val="20"/>
          <w:color w:val="auto"/>
        </w:rPr>
      </w:pPr>
      <w:r>
        <w:rPr>
          <w:rFonts w:ascii="Arial" w:cs="Arial" w:eastAsia="Arial" w:hAnsi="Arial"/>
          <w:sz w:val="19"/>
          <w:szCs w:val="19"/>
          <w:color w:val="auto"/>
        </w:rPr>
        <w:t>Net loss attributable to non-controlling interests in legacy Greenspring entities represents the net income or loss attributable to the interests held by the legacy Greenspring general partner entities. We did not acquire any direct economic interests in the legacy Greenspring general partner entities. As a result, all of the net income or loss related to the legacy Greenspring general partner entities is allocated to non-controlling interests in legacy Greenspring entities. Net loss attributable to non-controlling interests in legacy Greenspring entities was $15.4 million and $0 million for the three months ended September 30, 2022 and 2021, respectively, and $24.0 million and $0 million for the six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1" w:name="page62"/>
    <w:bookmarkEnd w:id="61"/>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Income (Loss) Attributable to Non-Controlling Interests in the Partnership</w:t>
      </w:r>
    </w:p>
    <w:p>
      <w:pPr>
        <w:spacing w:after="0" w:line="235" w:lineRule="exact"/>
        <w:rPr>
          <w:sz w:val="20"/>
          <w:szCs w:val="20"/>
          <w:color w:val="auto"/>
        </w:rPr>
      </w:pPr>
    </w:p>
    <w:p>
      <w:pPr>
        <w:ind w:right="160" w:firstLine="648"/>
        <w:spacing w:after="0" w:line="268" w:lineRule="auto"/>
        <w:rPr>
          <w:sz w:val="20"/>
          <w:szCs w:val="20"/>
          <w:color w:val="auto"/>
        </w:rPr>
      </w:pPr>
      <w:r>
        <w:rPr>
          <w:rFonts w:ascii="Arial" w:cs="Arial" w:eastAsia="Arial" w:hAnsi="Arial"/>
          <w:sz w:val="19"/>
          <w:szCs w:val="19"/>
          <w:color w:val="auto"/>
        </w:rPr>
        <w:t>Net income (loss) attributable to non-controlling interests in the Partnership represents the portion of net income or loss attributable to the interests held by the Class B and Class C unitholders of the Partnership. Net income (loss) attributable to non-controlling interests in the Partnership was $(31.2) million and $59.8 million for the three months ended September 30, 2022 and 2021, respectively, and $(40.6) million and $139.0 million for the six months ended September 30, 2022 and 2021, respectively.</w:t>
      </w:r>
    </w:p>
    <w:p>
      <w:pPr>
        <w:spacing w:after="0" w:line="179"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Operating Metrics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Management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AUM was $121 billion as of September 30, 2021, $134 billion as of March 31, 2022 and $135 billion as of September 30, 2022.</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Advisement</w:t>
      </w:r>
    </w:p>
    <w:p>
      <w:pPr>
        <w:spacing w:after="0" w:line="222" w:lineRule="exact"/>
        <w:rPr>
          <w:sz w:val="20"/>
          <w:szCs w:val="20"/>
          <w:color w:val="auto"/>
        </w:rPr>
      </w:pPr>
    </w:p>
    <w:p>
      <w:pPr>
        <w:ind w:right="840" w:firstLine="648"/>
        <w:spacing w:after="0" w:line="274" w:lineRule="auto"/>
        <w:rPr>
          <w:sz w:val="20"/>
          <w:szCs w:val="20"/>
          <w:color w:val="auto"/>
        </w:rPr>
      </w:pPr>
      <w:r>
        <w:rPr>
          <w:rFonts w:ascii="Arial" w:cs="Arial" w:eastAsia="Arial" w:hAnsi="Arial"/>
          <w:sz w:val="20"/>
          <w:szCs w:val="20"/>
          <w:color w:val="auto"/>
        </w:rPr>
        <w:t>Assets related to our advisory accounts were $397 billion as of September 30, 2021, $436 billion as of March 31, 2022 and $467 billion as of September 30, 2022.</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Fee-Earning AUM</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September 30, 2022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FEAUM increased approximately $2 billion, or 2%, to $80 billion as of September 30, 2022 as compared to $79 billion as of</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June 30, 2022. Of the increase, approximately $1 billion was from SMAs and approximately $1 billion was from focused commingled funds.</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2022</w:t>
      </w:r>
    </w:p>
    <w:p>
      <w:pPr>
        <w:spacing w:after="0" w:line="229" w:lineRule="exact"/>
        <w:rPr>
          <w:sz w:val="20"/>
          <w:szCs w:val="20"/>
          <w:color w:val="auto"/>
        </w:rPr>
      </w:pPr>
    </w:p>
    <w:p>
      <w:pPr>
        <w:ind w:right="260" w:firstLine="648"/>
        <w:spacing w:after="0" w:line="287" w:lineRule="auto"/>
        <w:rPr>
          <w:sz w:val="20"/>
          <w:szCs w:val="20"/>
          <w:color w:val="auto"/>
        </w:rPr>
      </w:pPr>
      <w:r>
        <w:rPr>
          <w:rFonts w:ascii="Arial" w:cs="Arial" w:eastAsia="Arial" w:hAnsi="Arial"/>
          <w:sz w:val="19"/>
          <w:szCs w:val="19"/>
          <w:color w:val="auto"/>
        </w:rPr>
        <w:t>FEAUM increased $5 billion, or 7%, to $80 billion as of September 30, 2022 as compared to $75 billion as of March 31, 2022. Of the increase, approximately $3 billion was from SMAs and approximately $2 billion was from focused commingled funds.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20" w:type="dxa"/>
            <w:vAlign w:val="bottom"/>
            <w:gridSpan w:val="8"/>
          </w:tcPr>
          <w:p>
            <w:pPr>
              <w:jc w:val="center"/>
              <w:ind w:right="500"/>
              <w:spacing w:after="0"/>
              <w:rPr>
                <w:sz w:val="20"/>
                <w:szCs w:val="20"/>
                <w:color w:val="auto"/>
              </w:rPr>
            </w:pPr>
            <w:r>
              <w:rPr>
                <w:rFonts w:ascii="Arial" w:cs="Arial" w:eastAsia="Arial" w:hAnsi="Arial"/>
                <w:sz w:val="18"/>
                <w:szCs w:val="18"/>
                <w:b w:val="1"/>
                <w:bCs w:val="1"/>
                <w:color w:val="auto"/>
                <w:w w:val="90"/>
              </w:rPr>
              <w:t>Three Months Ended September 30, 2022</w:t>
            </w:r>
          </w:p>
        </w:tc>
        <w:tc>
          <w:tcPr>
            <w:tcW w:w="260" w:type="dxa"/>
            <w:vAlign w:val="bottom"/>
          </w:tcPr>
          <w:p>
            <w:pPr>
              <w:spacing w:after="0"/>
              <w:rPr>
                <w:sz w:val="20"/>
                <w:szCs w:val="20"/>
                <w:color w:val="auto"/>
              </w:rPr>
            </w:pPr>
          </w:p>
        </w:tc>
        <w:tc>
          <w:tcPr>
            <w:tcW w:w="39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89"/>
              </w:rPr>
              <w:t>Six Months Ended September 30, 2022</w:t>
            </w:r>
          </w:p>
        </w:tc>
      </w:tr>
      <w:tr>
        <w:trPr>
          <w:trHeight w:val="169"/>
        </w:trPr>
        <w:tc>
          <w:tcPr>
            <w:tcW w:w="27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3"/>
              </w:rPr>
              <w:t>Focused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3"/>
              </w:rPr>
              <w:t>Focused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175"/>
        </w:trPr>
        <w:tc>
          <w:tcPr>
            <w:tcW w:w="2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9"/>
              </w:rPr>
              <w:t>Commingled</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9"/>
              </w:rPr>
              <w:t>Commingled</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SMAs</w:t>
            </w:r>
          </w:p>
        </w:tc>
        <w:tc>
          <w:tcPr>
            <w:tcW w:w="120" w:type="dxa"/>
            <w:vAlign w:val="bottom"/>
          </w:tcPr>
          <w:p>
            <w:pPr>
              <w:spacing w:after="0"/>
              <w:rPr>
                <w:sz w:val="21"/>
                <w:szCs w:val="21"/>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Funds</w:t>
            </w:r>
          </w:p>
        </w:tc>
        <w:tc>
          <w:tcPr>
            <w:tcW w:w="280" w:type="dxa"/>
            <w:vAlign w:val="bottom"/>
          </w:tcPr>
          <w:p>
            <w:pPr>
              <w:spacing w:after="0"/>
              <w:rPr>
                <w:sz w:val="21"/>
                <w:szCs w:val="21"/>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SMAs</w:t>
            </w:r>
          </w:p>
        </w:tc>
        <w:tc>
          <w:tcPr>
            <w:tcW w:w="14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Funds</w:t>
            </w:r>
          </w:p>
        </w:tc>
        <w:tc>
          <w:tcPr>
            <w:tcW w:w="280" w:type="dxa"/>
            <w:vAlign w:val="bottom"/>
          </w:tcPr>
          <w:p>
            <w:pPr>
              <w:spacing w:after="0"/>
              <w:rPr>
                <w:sz w:val="21"/>
                <w:szCs w:val="21"/>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52,198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78,550</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75,173</w:t>
            </w:r>
          </w:p>
        </w:tc>
      </w:tr>
      <w:tr>
        <w:trPr>
          <w:trHeight w:val="229"/>
        </w:trPr>
        <w:tc>
          <w:tcPr>
            <w:tcW w:w="2700" w:type="dxa"/>
            <w:vAlign w:val="bottom"/>
          </w:tcPr>
          <w:p>
            <w:pPr>
              <w:ind w:left="460"/>
              <w:spacing w:after="0" w:line="230" w:lineRule="exact"/>
              <w:rPr>
                <w:sz w:val="20"/>
                <w:szCs w:val="20"/>
                <w:color w:val="auto"/>
              </w:rPr>
            </w:pPr>
            <w:r>
              <w:rPr>
                <w:rFonts w:ascii="Arial" w:cs="Arial" w:eastAsia="Arial" w:hAnsi="Arial"/>
                <w:sz w:val="18"/>
                <w:szCs w:val="18"/>
                <w:color w:val="auto"/>
              </w:rPr>
              <w:t>Contributions</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7,430</w:t>
            </w:r>
          </w:p>
        </w:tc>
      </w:tr>
      <w:tr>
        <w:trPr>
          <w:trHeight w:val="230"/>
        </w:trPr>
        <w:tc>
          <w:tcPr>
            <w:tcW w:w="27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Distributions</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r>
      <w:tr>
        <w:trPr>
          <w:trHeight w:val="230"/>
        </w:trPr>
        <w:tc>
          <w:tcPr>
            <w:tcW w:w="270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w w:val="94"/>
              </w:rPr>
              <w:t>Market value, FX and other</w:t>
            </w:r>
            <w:r>
              <w:rPr>
                <w:rFonts w:ascii="Arial" w:cs="Arial" w:eastAsia="Arial" w:hAnsi="Arial"/>
                <w:sz w:val="23"/>
                <w:szCs w:val="23"/>
                <w:color w:val="auto"/>
                <w:w w:val="94"/>
                <w:vertAlign w:val="superscript"/>
              </w:rPr>
              <w:t>(3)</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r>
      <w:tr>
        <w:trPr>
          <w:trHeight w:val="248"/>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80,117</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80,117</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300" w:hanging="652"/>
        <w:spacing w:after="0" w:line="250" w:lineRule="auto"/>
        <w:tabs>
          <w:tab w:leader="none" w:pos="6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Contributions consist of new capital commitments that earn fees on committed capital and capital contributions to funds and accounts that earn fees on net invested capital or NAV.</w:t>
      </w:r>
    </w:p>
    <w:p>
      <w:pPr>
        <w:ind w:left="660" w:right="460" w:hanging="652"/>
        <w:spacing w:after="0" w:line="323" w:lineRule="auto"/>
        <w:tabs>
          <w:tab w:leader="none" w:pos="654"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Distributions consist of returns of capital from funds and accounts that pay fees on net invested capital or NAV and reductions in fee-earning AUM from funds that moved from a committed capital to net invested capital fee basis or from funds and accounts that no longer pay fees.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ind w:left="660" w:right="200" w:hanging="652"/>
        <w:spacing w:after="0" w:line="277" w:lineRule="auto"/>
        <w:tabs>
          <w:tab w:leader="none" w:pos="654"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value, FX and other primarily consist of changes in market value appreciation (depreciation) for funds that pay on NAV and the effect of foreign exchange rate changes on non-U.S. dollar denominated commitments.</w:t>
      </w:r>
    </w:p>
    <w:p>
      <w:pPr>
        <w:spacing w:after="0" w:line="16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The following tables set forth FEAUM by asset class and selected weighted-average management fee rate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74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September 30, 2022</w:t>
            </w: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 2022</w:t>
            </w: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September 30, 2021</w:t>
            </w:r>
          </w:p>
        </w:tc>
      </w:tr>
      <w:tr>
        <w:trPr>
          <w:trHeight w:val="209"/>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FEAUM</w:t>
            </w:r>
          </w:p>
        </w:tc>
        <w:tc>
          <w:tcPr>
            <w:tcW w:w="6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42,781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40,396</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37,953</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Infrastructure</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13,238</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Private debt</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12,216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10,990</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w:t>
            </w:r>
          </w:p>
        </w:tc>
      </w:tr>
      <w:tr>
        <w:trPr>
          <w:trHeight w:val="223"/>
        </w:trPr>
        <w:tc>
          <w:tcPr>
            <w:tcW w:w="6060" w:type="dxa"/>
            <w:vAlign w:val="bottom"/>
          </w:tcPr>
          <w:p>
            <w:pPr>
              <w:ind w:left="46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75,173</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66,680</w:t>
            </w:r>
          </w:p>
        </w:tc>
      </w:tr>
      <w:tr>
        <w:trPr>
          <w:trHeight w:val="20"/>
        </w:trPr>
        <w:tc>
          <w:tcPr>
            <w:tcW w:w="6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8"/>
              </w:rPr>
              <w:t>As of</w:t>
            </w:r>
          </w:p>
        </w:tc>
        <w:tc>
          <w:tcPr>
            <w:tcW w:w="1760" w:type="dxa"/>
            <w:vAlign w:val="bottom"/>
            <w:tcBorders>
              <w:bottom w:val="single" w:sz="8" w:color="auto"/>
            </w:tcBorders>
          </w:tcPr>
          <w:p>
            <w:pPr>
              <w:spacing w:after="0"/>
              <w:rPr>
                <w:sz w:val="20"/>
                <w:szCs w:val="20"/>
                <w:color w:val="auto"/>
              </w:rPr>
            </w:pPr>
          </w:p>
        </w:tc>
      </w:tr>
      <w:tr>
        <w:trPr>
          <w:trHeight w:val="223"/>
        </w:trPr>
        <w:tc>
          <w:tcPr>
            <w:tcW w:w="5820" w:type="dxa"/>
            <w:vAlign w:val="bottom"/>
          </w:tcPr>
          <w:p>
            <w:pPr>
              <w:spacing w:after="0"/>
              <w:rPr>
                <w:sz w:val="19"/>
                <w:szCs w:val="19"/>
                <w:color w:val="auto"/>
              </w:rPr>
            </w:pPr>
          </w:p>
        </w:tc>
        <w:tc>
          <w:tcPr>
            <w:tcW w:w="18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2022</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March 31, 2022</w:t>
            </w:r>
          </w:p>
        </w:tc>
        <w:tc>
          <w:tcPr>
            <w:tcW w:w="176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September 30, 2021</w:t>
            </w:r>
          </w:p>
        </w:tc>
      </w:tr>
      <w:tr>
        <w:trPr>
          <w:trHeight w:val="209"/>
        </w:trPr>
        <w:tc>
          <w:tcPr>
            <w:tcW w:w="582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b w:val="1"/>
                <w:bCs w:val="1"/>
                <w:color w:val="auto"/>
              </w:rPr>
              <w:t>Weighted-average fee rate</w:t>
            </w:r>
            <w:r>
              <w:rPr>
                <w:rFonts w:ascii="Arial" w:cs="Arial" w:eastAsia="Arial" w:hAnsi="Arial"/>
                <w:sz w:val="23"/>
                <w:szCs w:val="23"/>
                <w:b w:val="1"/>
                <w:bCs w:val="1"/>
                <w:color w:val="auto"/>
                <w:vertAlign w:val="superscript"/>
              </w:rPr>
              <w:t>(1)</w:t>
            </w: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Private equity</w:t>
            </w:r>
            <w:r>
              <w:rPr>
                <w:rFonts w:ascii="Arial" w:cs="Arial" w:eastAsia="Arial" w:hAnsi="Arial"/>
                <w:sz w:val="23"/>
                <w:szCs w:val="23"/>
                <w:color w:val="auto"/>
                <w:vertAlign w:val="superscript"/>
              </w:rPr>
              <w:t>(2)</w:t>
            </w:r>
          </w:p>
        </w:tc>
        <w:tc>
          <w:tcPr>
            <w:tcW w:w="1740" w:type="dxa"/>
            <w:vAlign w:val="bottom"/>
          </w:tcPr>
          <w:p>
            <w:pPr>
              <w:jc w:val="right"/>
              <w:spacing w:after="0"/>
              <w:rPr>
                <w:sz w:val="20"/>
                <w:szCs w:val="20"/>
                <w:color w:val="auto"/>
              </w:rPr>
            </w:pPr>
            <w:r>
              <w:rPr>
                <w:rFonts w:ascii="Arial" w:cs="Arial" w:eastAsia="Arial" w:hAnsi="Arial"/>
                <w:sz w:val="18"/>
                <w:szCs w:val="18"/>
                <w:color w:val="auto"/>
              </w:rPr>
              <w:t>0.67 %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0.64 %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0.62 %</w:t>
            </w:r>
          </w:p>
        </w:tc>
      </w:tr>
      <w:tr>
        <w:trPr>
          <w:trHeight w:val="229"/>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Real estate, infrastructure and private debt asset classes</w:t>
            </w:r>
            <w:r>
              <w:rPr>
                <w:rFonts w:ascii="Arial" w:cs="Arial" w:eastAsia="Arial" w:hAnsi="Arial"/>
                <w:sz w:val="23"/>
                <w:szCs w:val="23"/>
                <w:color w:val="auto"/>
                <w:vertAlign w:val="superscript"/>
              </w:rPr>
              <w:t>(3)</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0.41 %</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0.40 %</w:t>
            </w:r>
          </w:p>
        </w:tc>
        <w:tc>
          <w:tcPr>
            <w:tcW w:w="8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0.41 %</w:t>
            </w:r>
          </w:p>
        </w:tc>
      </w:tr>
      <w:tr>
        <w:trPr>
          <w:trHeight w:val="223"/>
        </w:trPr>
        <w:tc>
          <w:tcPr>
            <w:tcW w:w="5820" w:type="dxa"/>
            <w:vAlign w:val="bottom"/>
          </w:tcPr>
          <w:p>
            <w:pPr>
              <w:ind w:left="46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0.55 %</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0.52 %</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0.51 %</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80" w:hanging="652"/>
        <w:spacing w:after="0" w:line="250" w:lineRule="auto"/>
        <w:tabs>
          <w:tab w:leader="none" w:pos="6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Weighted-average fee rates reflect the applicable management fees for the last 12 months ending on each period presented, and is inclusive of any retroactive fees for such period.</w:t>
      </w:r>
    </w:p>
    <w:p>
      <w:pPr>
        <w:ind w:left="660" w:right="200" w:hanging="652"/>
        <w:spacing w:after="0" w:line="250" w:lineRule="auto"/>
        <w:tabs>
          <w:tab w:leader="none" w:pos="6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change in weighted-average fee rates primarily reflected the timing of new funds and shifts in mix between SMAs and focused commingled funds.</w:t>
      </w:r>
    </w:p>
    <w:p>
      <w:pPr>
        <w:ind w:left="640" w:hanging="63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change in weighted-average fee rates primarily reflected the timing of new funds and shifts in asset class mix.</w:t>
      </w:r>
    </w:p>
    <w:p>
      <w:pPr>
        <w:spacing w:after="0" w:line="20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b w:val="1"/>
          <w:bCs w:val="1"/>
          <w:color w:val="auto"/>
        </w:rPr>
        <w:t>Undeployed Fee-Earning Capital</w:t>
      </w:r>
    </w:p>
    <w:p>
      <w:pPr>
        <w:spacing w:after="0" w:line="235"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As of September 30, 2022, we had $16.5 billion of undeployed fee-earning capital, which will generate management fee revenue once this capital is invested or activated.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351"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Non-GAAP Financial Measures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presents the components of FRE and ANI:</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320" w:type="dxa"/>
            <w:vAlign w:val="bottom"/>
          </w:tcPr>
          <w:p>
            <w:pPr>
              <w:spacing w:after="0"/>
              <w:rPr>
                <w:sz w:val="20"/>
                <w:szCs w:val="20"/>
                <w:color w:val="auto"/>
              </w:rPr>
            </w:pPr>
          </w:p>
        </w:tc>
        <w:tc>
          <w:tcPr>
            <w:tcW w:w="32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6"/>
              </w:rPr>
              <w:t>Six Months Ended September 30,</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and advisory fees,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83,583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161,644</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Less: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Adjusted cash-based compensation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118,131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86,445</w:t>
            </w:r>
          </w:p>
        </w:tc>
        <w:tc>
          <w:tcPr>
            <w:tcW w:w="0" w:type="dxa"/>
            <w:vAlign w:val="bottom"/>
          </w:tcPr>
          <w:p>
            <w:pPr>
              <w:spacing w:after="0"/>
              <w:rPr>
                <w:sz w:val="1"/>
                <w:szCs w:val="1"/>
                <w:color w:val="auto"/>
              </w:rPr>
            </w:pPr>
          </w:p>
        </w:tc>
      </w:tr>
      <w:tr>
        <w:trPr>
          <w:trHeight w:val="229"/>
        </w:trPr>
        <w:tc>
          <w:tcPr>
            <w:tcW w:w="3980" w:type="dxa"/>
            <w:vAlign w:val="bottom"/>
          </w:tcPr>
          <w:p>
            <w:pPr>
              <w:ind w:left="400"/>
              <w:spacing w:after="0"/>
              <w:rPr>
                <w:sz w:val="20"/>
                <w:szCs w:val="20"/>
                <w:color w:val="auto"/>
              </w:rPr>
            </w:pPr>
            <w:r>
              <w:rPr>
                <w:rFonts w:ascii="Arial" w:cs="Arial" w:eastAsia="Arial" w:hAnsi="Arial"/>
                <w:sz w:val="18"/>
                <w:szCs w:val="18"/>
                <w:color w:val="auto"/>
              </w:rPr>
              <w:t>Adjusted equity-based compensation</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1,301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Adjusted general, administrative and other</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25,444</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Fee-related earnings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39,044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26,405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75,661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49,532</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400"/>
              <w:spacing w:after="0"/>
              <w:rPr>
                <w:sz w:val="20"/>
                <w:szCs w:val="20"/>
                <w:color w:val="auto"/>
              </w:rPr>
            </w:pPr>
            <w:r>
              <w:rPr>
                <w:rFonts w:ascii="Arial" w:cs="Arial" w:eastAsia="Arial" w:hAnsi="Arial"/>
                <w:sz w:val="18"/>
                <w:szCs w:val="18"/>
                <w:color w:val="auto"/>
              </w:rPr>
              <w:t>Realized carried interest allocations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22,469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52,531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96,076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102,494</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Incentive fees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w:t>
            </w:r>
          </w:p>
        </w:tc>
        <w:tc>
          <w:tcPr>
            <w:tcW w:w="0" w:type="dxa"/>
            <w:vAlign w:val="bottom"/>
          </w:tcPr>
          <w:p>
            <w:pPr>
              <w:spacing w:after="0"/>
              <w:rPr>
                <w:sz w:val="1"/>
                <w:szCs w:val="1"/>
                <w:color w:val="auto"/>
              </w:rPr>
            </w:pPr>
          </w:p>
        </w:tc>
      </w:tr>
      <w:tr>
        <w:trPr>
          <w:trHeight w:val="229"/>
        </w:trPr>
        <w:tc>
          <w:tcPr>
            <w:tcW w:w="3980" w:type="dxa"/>
            <w:vAlign w:val="bottom"/>
          </w:tcPr>
          <w:p>
            <w:pPr>
              <w:ind w:left="400"/>
              <w:spacing w:after="0"/>
              <w:rPr>
                <w:sz w:val="20"/>
                <w:szCs w:val="20"/>
                <w:color w:val="auto"/>
              </w:rPr>
            </w:pPr>
            <w:r>
              <w:rPr>
                <w:rFonts w:ascii="Arial" w:cs="Arial" w:eastAsia="Arial" w:hAnsi="Arial"/>
                <w:sz w:val="18"/>
                <w:szCs w:val="18"/>
                <w:color w:val="auto"/>
              </w:rPr>
              <w:t>Deferred incentive fees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3,683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Realized investment income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w:t>
            </w:r>
          </w:p>
        </w:tc>
        <w:tc>
          <w:tcPr>
            <w:tcW w:w="0" w:type="dxa"/>
            <w:vAlign w:val="bottom"/>
          </w:tcPr>
          <w:p>
            <w:pPr>
              <w:spacing w:after="0"/>
              <w:rPr>
                <w:sz w:val="1"/>
                <w:szCs w:val="1"/>
                <w:color w:val="auto"/>
              </w:rPr>
            </w:pPr>
          </w:p>
        </w:tc>
      </w:tr>
      <w:tr>
        <w:trPr>
          <w:trHeight w:val="229"/>
        </w:trPr>
        <w:tc>
          <w:tcPr>
            <w:tcW w:w="398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Other loss</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Less: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980" w:type="dxa"/>
            <w:vAlign w:val="bottom"/>
            <w:shd w:val="clear" w:color="auto" w:fill="CCEEFF"/>
          </w:tcPr>
          <w:p>
            <w:pPr>
              <w:ind w:left="400"/>
              <w:spacing w:after="0" w:line="182" w:lineRule="exact"/>
              <w:rPr>
                <w:sz w:val="20"/>
                <w:szCs w:val="20"/>
                <w:color w:val="auto"/>
              </w:rPr>
            </w:pPr>
            <w:r>
              <w:rPr>
                <w:rFonts w:ascii="Arial" w:cs="Arial" w:eastAsia="Arial" w:hAnsi="Arial"/>
                <w:sz w:val="18"/>
                <w:szCs w:val="18"/>
                <w:color w:val="auto"/>
              </w:rPr>
              <w:t>Realized performance fee-related</w:t>
            </w: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980" w:type="dxa"/>
            <w:vAlign w:val="bottom"/>
            <w:shd w:val="clear" w:color="auto" w:fill="CCEEFF"/>
          </w:tcPr>
          <w:p>
            <w:pPr>
              <w:ind w:left="600"/>
              <w:spacing w:after="0" w:line="235" w:lineRule="exact"/>
              <w:rPr>
                <w:sz w:val="20"/>
                <w:szCs w:val="20"/>
                <w:color w:val="auto"/>
              </w:rPr>
            </w:pPr>
            <w:r>
              <w:rPr>
                <w:rFonts w:ascii="Arial" w:cs="Arial" w:eastAsia="Arial" w:hAnsi="Arial"/>
                <w:sz w:val="18"/>
                <w:szCs w:val="18"/>
                <w:color w:val="auto"/>
              </w:rPr>
              <w:t>compensation</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55,365</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52,089</w:t>
            </w:r>
          </w:p>
        </w:tc>
        <w:tc>
          <w:tcPr>
            <w:tcW w:w="0" w:type="dxa"/>
            <w:vAlign w:val="bottom"/>
          </w:tcPr>
          <w:p>
            <w:pPr>
              <w:spacing w:after="0"/>
              <w:rPr>
                <w:sz w:val="1"/>
                <w:szCs w:val="1"/>
                <w:color w:val="auto"/>
              </w:rPr>
            </w:pPr>
          </w:p>
        </w:tc>
      </w:tr>
      <w:tr>
        <w:trPr>
          <w:trHeight w:val="230"/>
        </w:trPr>
        <w:tc>
          <w:tcPr>
            <w:tcW w:w="3980" w:type="dxa"/>
            <w:vAlign w:val="bottom"/>
          </w:tcPr>
          <w:p>
            <w:pPr>
              <w:ind w:left="40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88"/>
        </w:trPr>
        <w:tc>
          <w:tcPr>
            <w:tcW w:w="3980" w:type="dxa"/>
            <w:vAlign w:val="bottom"/>
            <w:shd w:val="clear" w:color="auto" w:fill="CCEEFF"/>
          </w:tcPr>
          <w:p>
            <w:pPr>
              <w:ind w:left="400"/>
              <w:spacing w:after="0" w:line="189" w:lineRule="exact"/>
              <w:rPr>
                <w:sz w:val="20"/>
                <w:szCs w:val="20"/>
                <w:color w:val="auto"/>
              </w:rPr>
            </w:pPr>
            <w:r>
              <w:rPr>
                <w:rFonts w:ascii="Arial" w:cs="Arial" w:eastAsia="Arial" w:hAnsi="Arial"/>
                <w:sz w:val="18"/>
                <w:szCs w:val="18"/>
                <w:color w:val="auto"/>
                <w:w w:val="96"/>
              </w:rPr>
              <w:t>Income attributable to non-controlling interests</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 subsidiaries:</w:t>
            </w: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980" w:type="dxa"/>
            <w:vAlign w:val="bottom"/>
          </w:tcPr>
          <w:p>
            <w:pPr>
              <w:ind w:left="620"/>
              <w:spacing w:after="0" w:line="182" w:lineRule="exact"/>
              <w:rPr>
                <w:sz w:val="20"/>
                <w:szCs w:val="20"/>
                <w:color w:val="auto"/>
              </w:rPr>
            </w:pPr>
            <w:r>
              <w:rPr>
                <w:rFonts w:ascii="Arial" w:cs="Arial" w:eastAsia="Arial" w:hAnsi="Arial"/>
                <w:sz w:val="18"/>
                <w:szCs w:val="18"/>
                <w:color w:val="auto"/>
              </w:rPr>
              <w:t>Fee-related earnings attributable to non-</w:t>
            </w: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980" w:type="dxa"/>
            <w:vAlign w:val="bottom"/>
          </w:tcPr>
          <w:p>
            <w:pPr>
              <w:ind w:left="800"/>
              <w:spacing w:after="0" w:line="235" w:lineRule="exact"/>
              <w:rPr>
                <w:sz w:val="20"/>
                <w:szCs w:val="20"/>
                <w:color w:val="auto"/>
              </w:rPr>
            </w:pPr>
            <w:r>
              <w:rPr>
                <w:rFonts w:ascii="Arial" w:cs="Arial" w:eastAsia="Arial" w:hAnsi="Arial"/>
                <w:sz w:val="18"/>
                <w:szCs w:val="18"/>
                <w:color w:val="auto"/>
              </w:rPr>
              <w:t>controlling interests in subsidiaries</w:t>
            </w:r>
            <w:r>
              <w:rPr>
                <w:rFonts w:ascii="Arial" w:cs="Arial" w:eastAsia="Arial" w:hAnsi="Arial"/>
                <w:sz w:val="23"/>
                <w:szCs w:val="23"/>
                <w:color w:val="auto"/>
                <w:vertAlign w:val="superscript"/>
              </w:rPr>
              <w:t>(3)</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10,149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5,853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18,663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11,376</w:t>
            </w:r>
          </w:p>
        </w:tc>
        <w:tc>
          <w:tcPr>
            <w:tcW w:w="0" w:type="dxa"/>
            <w:vAlign w:val="bottom"/>
          </w:tcPr>
          <w:p>
            <w:pPr>
              <w:spacing w:after="0"/>
              <w:rPr>
                <w:sz w:val="1"/>
                <w:szCs w:val="1"/>
                <w:color w:val="auto"/>
              </w:rPr>
            </w:pPr>
          </w:p>
        </w:tc>
      </w:tr>
      <w:tr>
        <w:trPr>
          <w:trHeight w:val="188"/>
        </w:trPr>
        <w:tc>
          <w:tcPr>
            <w:tcW w:w="3980" w:type="dxa"/>
            <w:vAlign w:val="bottom"/>
            <w:shd w:val="clear" w:color="auto" w:fill="CCEEFF"/>
          </w:tcPr>
          <w:p>
            <w:pPr>
              <w:ind w:left="620"/>
              <w:spacing w:after="0" w:line="189" w:lineRule="exact"/>
              <w:rPr>
                <w:sz w:val="20"/>
                <w:szCs w:val="20"/>
                <w:color w:val="auto"/>
              </w:rPr>
            </w:pPr>
            <w:r>
              <w:rPr>
                <w:rFonts w:ascii="Arial" w:cs="Arial" w:eastAsia="Arial" w:hAnsi="Arial"/>
                <w:sz w:val="18"/>
                <w:szCs w:val="18"/>
                <w:color w:val="auto"/>
                <w:w w:val="92"/>
              </w:rPr>
              <w:t>Non fee-related earnings (losses) attributable</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ind w:left="800"/>
              <w:spacing w:after="0" w:line="176" w:lineRule="exact"/>
              <w:rPr>
                <w:sz w:val="20"/>
                <w:szCs w:val="20"/>
                <w:color w:val="auto"/>
              </w:rPr>
            </w:pPr>
            <w:r>
              <w:rPr>
                <w:rFonts w:ascii="Arial" w:cs="Arial" w:eastAsia="Arial" w:hAnsi="Arial"/>
                <w:sz w:val="18"/>
                <w:szCs w:val="18"/>
                <w:color w:val="auto"/>
              </w:rPr>
              <w:t>to non-controlling interests in</w:t>
            </w:r>
          </w:p>
        </w:tc>
        <w:tc>
          <w:tcPr>
            <w:tcW w:w="2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800"/>
              <w:spacing w:after="0" w:line="230" w:lineRule="exact"/>
              <w:rPr>
                <w:sz w:val="20"/>
                <w:szCs w:val="20"/>
                <w:color w:val="auto"/>
              </w:rPr>
            </w:pPr>
            <w:r>
              <w:rPr>
                <w:rFonts w:ascii="Arial" w:cs="Arial" w:eastAsia="Arial" w:hAnsi="Arial"/>
                <w:sz w:val="18"/>
                <w:szCs w:val="18"/>
                <w:color w:val="auto"/>
              </w:rPr>
              <w:t>subsidiaries</w:t>
            </w:r>
            <w:r>
              <w:rPr>
                <w:rFonts w:ascii="Arial" w:cs="Arial" w:eastAsia="Arial" w:hAnsi="Arial"/>
                <w:sz w:val="23"/>
                <w:szCs w:val="23"/>
                <w:color w:val="auto"/>
                <w:vertAlign w:val="superscript"/>
              </w:rPr>
              <w:t>(4)</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80"/>
              <w:spacing w:after="0"/>
              <w:rPr>
                <w:sz w:val="20"/>
                <w:szCs w:val="20"/>
                <w:color w:val="auto"/>
              </w:rPr>
            </w:pPr>
            <w:r>
              <w:rPr>
                <w:rFonts w:ascii="Arial" w:cs="Arial" w:eastAsia="Arial" w:hAnsi="Arial"/>
                <w:sz w:val="18"/>
                <w:szCs w:val="18"/>
                <w:color w:val="auto"/>
              </w:rPr>
              <w:t>Pre-tax adjusted net income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47,955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51,795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108,617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104,129</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Less: Income taxes</w:t>
            </w:r>
            <w:r>
              <w:rPr>
                <w:rFonts w:ascii="Arial" w:cs="Arial" w:eastAsia="Arial" w:hAnsi="Arial"/>
                <w:sz w:val="23"/>
                <w:szCs w:val="23"/>
                <w:color w:val="auto"/>
                <w:vertAlign w:val="superscript"/>
              </w:rPr>
              <w:t>(5)</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23,481</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40,115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84,395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80,648</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420" w:hanging="652"/>
        <w:spacing w:after="0" w:line="250" w:lineRule="auto"/>
        <w:tabs>
          <w:tab w:leader="none" w:pos="6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Excludes amounts for Tax Receivable Agreements adjustments recognized as other income (loss) ($(1.4) million for the three and six months ended September 30, 2021).</w:t>
      </w:r>
    </w:p>
    <w:p>
      <w:pPr>
        <w:ind w:left="660" w:right="20" w:hanging="652"/>
        <w:spacing w:after="0" w:line="281" w:lineRule="auto"/>
        <w:tabs>
          <w:tab w:leader="none" w:pos="654"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carried interest-related compensation expense related to the portion of net carried interest allocation revenue attributable to equity holders of the Company’s consolidated subsidiaries that are not 100% owned ($2.4 million and $0.1 million for the three months ended September 30, 2022 and 2021, respectively, and $6.8 million and $0.2 million for the six months ended September 30, 2022 and 2021, respectively).</w:t>
      </w:r>
    </w:p>
    <w:p>
      <w:pPr>
        <w:spacing w:after="0" w:line="1" w:lineRule="exact"/>
        <w:rPr>
          <w:rFonts w:ascii="Arial" w:cs="Arial" w:eastAsia="Arial" w:hAnsi="Arial"/>
          <w:sz w:val="16"/>
          <w:szCs w:val="16"/>
          <w:color w:val="auto"/>
        </w:rPr>
      </w:pPr>
    </w:p>
    <w:p>
      <w:pPr>
        <w:ind w:left="640" w:hanging="63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the portion of fee-related earnings of our subsidiaries attributable to non-controlling interests.</w:t>
      </w:r>
    </w:p>
    <w:p>
      <w:pPr>
        <w:spacing w:after="0" w:line="9" w:lineRule="exact"/>
        <w:rPr>
          <w:rFonts w:ascii="Arial" w:cs="Arial" w:eastAsia="Arial" w:hAnsi="Arial"/>
          <w:sz w:val="18"/>
          <w:szCs w:val="18"/>
          <w:color w:val="auto"/>
        </w:rPr>
      </w:pPr>
    </w:p>
    <w:p>
      <w:pPr>
        <w:ind w:left="660" w:right="340" w:hanging="652"/>
        <w:spacing w:after="0" w:line="290" w:lineRule="auto"/>
        <w:tabs>
          <w:tab w:leader="none" w:pos="654"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Reflects components of pre-tax adjusted net income of our subsidiaries attributable to non-controlling interests other than fee-related earnings, including incentive fees and related compensation, realized investment income, net interest expense and other income (loss).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44" w:lineRule="exact"/>
        <w:rPr>
          <w:sz w:val="20"/>
          <w:szCs w:val="20"/>
          <w:color w:val="auto"/>
        </w:rPr>
      </w:pPr>
    </w:p>
    <w:p>
      <w:pPr>
        <w:ind w:left="660" w:right="80" w:hanging="652"/>
        <w:spacing w:after="0" w:line="296" w:lineRule="auto"/>
        <w:tabs>
          <w:tab w:leader="none" w:pos="654"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corporate income taxes at a blended statutory rate of 22.3% applied to pre-tax adjusted net income for the three and six months ended September 30, 2022, and a blended statutory rate of 22.6% applied to pre-tax adjusted net income for the three and six months ended September 30, 2021. The 22.3% rate for the three and six months ended September 30, 2022 is based on a federal statutory rate of 21.0% and a combined state, local and foreign rate net of federal benefits of 1.3%, and the 22.6% rate for the three and six months ended September 30, 2021 is based on a federal statutory rate of 21.0% and a combined state, local and foreign rate net of federal benefits of 1.6%.</w:t>
      </w:r>
    </w:p>
    <w:p>
      <w:pPr>
        <w:spacing w:after="0" w:line="15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b w:val="1"/>
          <w:bCs w:val="1"/>
          <w:color w:val="auto"/>
        </w:rPr>
        <w:t>Adjusted Revenues and Adjusted Net Income</w:t>
      </w:r>
    </w:p>
    <w:p>
      <w:pPr>
        <w:spacing w:after="0" w:line="23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i w:val="1"/>
          <w:iCs w:val="1"/>
          <w:color w:val="auto"/>
        </w:rPr>
        <w:t>Three Months Ended September 30, 2022 Compared to Three Months Ended September 30, 2021</w:t>
      </w:r>
    </w:p>
    <w:p>
      <w:pPr>
        <w:spacing w:after="0" w:line="216" w:lineRule="exact"/>
        <w:rPr>
          <w:sz w:val="20"/>
          <w:szCs w:val="20"/>
          <w:color w:val="auto"/>
        </w:rPr>
      </w:pPr>
    </w:p>
    <w:p>
      <w:pPr>
        <w:ind w:right="100" w:firstLine="648"/>
        <w:spacing w:after="0" w:line="257" w:lineRule="auto"/>
        <w:rPr>
          <w:sz w:val="20"/>
          <w:szCs w:val="20"/>
          <w:color w:val="auto"/>
        </w:rPr>
      </w:pPr>
      <w:r>
        <w:rPr>
          <w:rFonts w:ascii="Arial" w:cs="Arial" w:eastAsia="Arial" w:hAnsi="Arial"/>
          <w:sz w:val="20"/>
          <w:szCs w:val="20"/>
          <w:color w:val="auto"/>
        </w:rPr>
        <w:t>Adjusted revenues increased $11.0 million, or 8%, to $150.6 million for the three months ended September 30, 2022 as compared to the three months ended September 30, 2021, primarily reflecting increases in net management and advisory fees, partially offset by lower realized carried interest allocation revenues.</w:t>
      </w:r>
    </w:p>
    <w:p>
      <w:pPr>
        <w:spacing w:after="0" w:line="193"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ANI decreased $2.9 million, or 7%, to $37.3 million for the three months ended September 30, 2022 as compared to the three months ended September 30, 2021, primarily due to lower net realized performance fee-related earnings (incentive fees, including the deferred portion, plus realized carried interest allocation revenues, less realized performance fee-related compensation) and a higher allocation of income to non-controlling interests. The decrease was partially offset by the increase in FRE as discussed below.</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2022 Compared to Six Months Ended September 30, 2021</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20"/>
          <w:szCs w:val="20"/>
          <w:color w:val="auto"/>
        </w:rPr>
        <w:t>Adjusted revenues increased $65.1 million, or 24%, to $341.0 million for the six months ended September 30, 2022 as compared to the six months ended September 30, 2021, primarily reflecting increases in net management and advisory fees, partially offset by lower realized carried interest allocation revenues.</w:t>
      </w:r>
    </w:p>
    <w:p>
      <w:pPr>
        <w:spacing w:after="0" w:line="193" w:lineRule="exact"/>
        <w:rPr>
          <w:sz w:val="20"/>
          <w:szCs w:val="20"/>
          <w:color w:val="auto"/>
        </w:rPr>
      </w:pPr>
    </w:p>
    <w:p>
      <w:pPr>
        <w:ind w:right="200" w:firstLine="648"/>
        <w:spacing w:after="0" w:line="257" w:lineRule="auto"/>
        <w:rPr>
          <w:sz w:val="20"/>
          <w:szCs w:val="20"/>
          <w:color w:val="auto"/>
        </w:rPr>
      </w:pPr>
      <w:r>
        <w:rPr>
          <w:rFonts w:ascii="Arial" w:cs="Arial" w:eastAsia="Arial" w:hAnsi="Arial"/>
          <w:sz w:val="20"/>
          <w:szCs w:val="20"/>
          <w:color w:val="auto"/>
        </w:rPr>
        <w:t>ANI increased $3.7 million, or 5%, to $84.4 million for the six months ended September 30, 2022 as compared to the six months ended September 30, 2021, primarily due to the increase in FRE as discussed below. The increase was partially offset by lower net realized performance fee-related earnings and a higher allocation of income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Net Income Per Share</w:t>
      </w:r>
    </w:p>
    <w:p>
      <w:pPr>
        <w:spacing w:after="0" w:line="235" w:lineRule="exact"/>
        <w:rPr>
          <w:sz w:val="20"/>
          <w:szCs w:val="20"/>
          <w:color w:val="auto"/>
        </w:rPr>
      </w:pPr>
    </w:p>
    <w:p>
      <w:pPr>
        <w:ind w:right="420" w:firstLine="648"/>
        <w:spacing w:after="0" w:line="316" w:lineRule="auto"/>
        <w:rPr>
          <w:sz w:val="20"/>
          <w:szCs w:val="20"/>
          <w:color w:val="auto"/>
        </w:rPr>
      </w:pPr>
      <w:r>
        <w:rPr>
          <w:rFonts w:ascii="Arial" w:cs="Arial" w:eastAsia="Arial" w:hAnsi="Arial"/>
          <w:sz w:val="18"/>
          <w:szCs w:val="18"/>
          <w:color w:val="auto"/>
        </w:rPr>
        <w:t>The following table shows a reconciliation of diluted weighted-average shares of Class A common stock outstanding to adjusted shares outstanding used in the computation of ANI per share for the three and six months ended September 30, 2022 and 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0"/>
                <w:szCs w:val="20"/>
                <w:color w:val="auto"/>
              </w:rPr>
            </w:pPr>
          </w:p>
        </w:tc>
        <w:tc>
          <w:tcPr>
            <w:tcW w:w="33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7"/>
              </w:rPr>
              <w:t>Six Months Ended September 30,</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(in thousands, except share and per share amounts)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40,115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84,395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80,648</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960" w:type="dxa"/>
            <w:vAlign w:val="bottom"/>
          </w:tcPr>
          <w:p>
            <w:pPr>
              <w:ind w:left="20"/>
              <w:spacing w:after="0" w:line="176" w:lineRule="exact"/>
              <w:rPr>
                <w:sz w:val="20"/>
                <w:szCs w:val="20"/>
                <w:color w:val="auto"/>
              </w:rPr>
            </w:pPr>
            <w:r>
              <w:rPr>
                <w:rFonts w:ascii="Arial" w:cs="Arial" w:eastAsia="Arial" w:hAnsi="Arial"/>
                <w:sz w:val="18"/>
                <w:szCs w:val="18"/>
                <w:color w:val="auto"/>
                <w:w w:val="94"/>
              </w:rPr>
              <w:t>Weighted-average shares of Class A common stock</w:t>
            </w: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40"/>
              <w:spacing w:after="0"/>
              <w:rPr>
                <w:sz w:val="20"/>
                <w:szCs w:val="20"/>
                <w:color w:val="auto"/>
              </w:rPr>
            </w:pPr>
            <w:r>
              <w:rPr>
                <w:rFonts w:ascii="Arial" w:cs="Arial" w:eastAsia="Arial" w:hAnsi="Arial"/>
                <w:sz w:val="18"/>
                <w:szCs w:val="18"/>
                <w:color w:val="auto"/>
              </w:rPr>
              <w:t>outstanding – Basic</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61,407,834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41,745,492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61,276,707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40,401,379</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Assumed vesting of RSUs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1,691,661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1,523,631</w:t>
            </w:r>
          </w:p>
        </w:tc>
        <w:tc>
          <w:tcPr>
            <w:tcW w:w="0" w:type="dxa"/>
            <w:vAlign w:val="bottom"/>
          </w:tcPr>
          <w:p>
            <w:pPr>
              <w:spacing w:after="0"/>
              <w:rPr>
                <w:sz w:val="1"/>
                <w:szCs w:val="1"/>
                <w:color w:val="auto"/>
              </w:rPr>
            </w:pPr>
          </w:p>
        </w:tc>
      </w:tr>
      <w:tr>
        <w:trPr>
          <w:trHeight w:val="176"/>
        </w:trPr>
        <w:tc>
          <w:tcPr>
            <w:tcW w:w="3960" w:type="dxa"/>
            <w:vAlign w:val="bottom"/>
          </w:tcPr>
          <w:p>
            <w:pPr>
              <w:ind w:left="460"/>
              <w:spacing w:after="0" w:line="176" w:lineRule="exact"/>
              <w:rPr>
                <w:sz w:val="20"/>
                <w:szCs w:val="20"/>
                <w:color w:val="auto"/>
              </w:rPr>
            </w:pPr>
            <w:r>
              <w:rPr>
                <w:rFonts w:ascii="Arial" w:cs="Arial" w:eastAsia="Arial" w:hAnsi="Arial"/>
                <w:sz w:val="18"/>
                <w:szCs w:val="18"/>
                <w:color w:val="auto"/>
                <w:w w:val="98"/>
              </w:rPr>
              <w:t>Assumed vesting and exchange of Class B2</w:t>
            </w: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680"/>
              <w:spacing w:after="0"/>
              <w:rPr>
                <w:sz w:val="20"/>
                <w:szCs w:val="20"/>
                <w:color w:val="auto"/>
              </w:rPr>
            </w:pPr>
            <w:r>
              <w:rPr>
                <w:rFonts w:ascii="Arial" w:cs="Arial" w:eastAsia="Arial" w:hAnsi="Arial"/>
                <w:sz w:val="18"/>
                <w:szCs w:val="18"/>
                <w:color w:val="auto"/>
              </w:rPr>
              <w:t>units</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2,466,194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2,471,208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2,457,561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2,480,045</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w w:val="92"/>
              </w:rPr>
              <w:t>Exchange of Class B units in the Partnership</w:t>
            </w:r>
            <w:r>
              <w:rPr>
                <w:rFonts w:ascii="Arial" w:cs="Arial" w:eastAsia="Arial" w:hAnsi="Arial"/>
                <w:sz w:val="23"/>
                <w:szCs w:val="23"/>
                <w:color w:val="auto"/>
                <w:w w:val="92"/>
                <w:vertAlign w:val="superscript"/>
              </w:rPr>
              <w:t>(1)</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46,889,995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54,457,705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47,017,716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55,112,174</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w w:val="92"/>
              </w:rPr>
              <w:t>Exchange of Class C units in the Partnership</w:t>
            </w:r>
            <w:r>
              <w:rPr>
                <w:rFonts w:ascii="Arial" w:cs="Arial" w:eastAsia="Arial" w:hAnsi="Arial"/>
                <w:sz w:val="23"/>
                <w:szCs w:val="23"/>
                <w:color w:val="auto"/>
                <w:w w:val="92"/>
                <w:vertAlign w:val="superscript"/>
              </w:rPr>
              <w:t>(2)</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2,928,824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2,928,824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167,843</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shares</w:t>
            </w:r>
          </w:p>
        </w:tc>
        <w:tc>
          <w:tcPr>
            <w:tcW w:w="2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114,606,326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100,699,927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114,537,025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99,685,072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_______________________________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96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40" w:hanging="632"/>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Assumes the full exchange of Class B units in the Partnership for Class A common stock of SSG pursuant to the Class B Exchange Agreement.</w:t>
      </w:r>
    </w:p>
    <w:p>
      <w:pPr>
        <w:spacing w:after="0" w:line="32" w:lineRule="exact"/>
        <w:rPr>
          <w:rFonts w:ascii="Arial" w:cs="Arial" w:eastAsia="Arial" w:hAnsi="Arial"/>
          <w:sz w:val="16"/>
          <w:szCs w:val="16"/>
          <w:color w:val="auto"/>
        </w:rPr>
      </w:pPr>
    </w:p>
    <w:p>
      <w:pPr>
        <w:ind w:left="640" w:hanging="632"/>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Assumes the full exchange of Class C units in the Partnership for Class A common stock of SSG pursuant to the Class C Exchange Agreement.</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b w:val="1"/>
          <w:bCs w:val="1"/>
          <w:color w:val="auto"/>
        </w:rPr>
        <w:t>Fee-Related Earnings</w:t>
      </w:r>
    </w:p>
    <w:p>
      <w:pPr>
        <w:spacing w:after="0" w:line="23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i w:val="1"/>
          <w:iCs w:val="1"/>
          <w:color w:val="auto"/>
        </w:rPr>
        <w:t>Three Months Ended September 30, 2022 Compared to Three Months Ended September 30, 2021</w:t>
      </w:r>
    </w:p>
    <w:p>
      <w:pPr>
        <w:spacing w:after="0" w:line="229" w:lineRule="exact"/>
        <w:rPr>
          <w:sz w:val="20"/>
          <w:szCs w:val="20"/>
          <w:color w:val="auto"/>
        </w:rPr>
      </w:pPr>
    </w:p>
    <w:p>
      <w:pPr>
        <w:ind w:right="280" w:firstLine="648"/>
        <w:spacing w:after="0" w:line="299" w:lineRule="auto"/>
        <w:rPr>
          <w:sz w:val="20"/>
          <w:szCs w:val="20"/>
          <w:color w:val="auto"/>
        </w:rPr>
      </w:pPr>
      <w:r>
        <w:rPr>
          <w:rFonts w:ascii="Arial" w:cs="Arial" w:eastAsia="Arial" w:hAnsi="Arial"/>
          <w:sz w:val="18"/>
          <w:szCs w:val="18"/>
          <w:color w:val="auto"/>
        </w:rPr>
        <w:t>FRE increased $12.6 million, or 48%, to $39.0 million for the three months ended September 30, 2022 as compared to the three months ended September 30, 2021, primarily reflecting higher net management and advisory fees, partially offset by higher adjusted cash-based compensation, adjusted equity-based compensation and adjusted general, administrative and other expenses.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Six Months Ended September 30, 2022 Compared to Six Months Ended September 30, 2021</w:t>
      </w:r>
    </w:p>
    <w:p>
      <w:pPr>
        <w:spacing w:after="0" w:line="229" w:lineRule="exact"/>
        <w:rPr>
          <w:sz w:val="20"/>
          <w:szCs w:val="20"/>
          <w:color w:val="auto"/>
        </w:rPr>
      </w:pPr>
    </w:p>
    <w:p>
      <w:pPr>
        <w:ind w:right="180" w:firstLine="648"/>
        <w:spacing w:after="0" w:line="299" w:lineRule="auto"/>
        <w:rPr>
          <w:sz w:val="20"/>
          <w:szCs w:val="20"/>
          <w:color w:val="auto"/>
        </w:rPr>
      </w:pPr>
      <w:r>
        <w:rPr>
          <w:rFonts w:ascii="Arial" w:cs="Arial" w:eastAsia="Arial" w:hAnsi="Arial"/>
          <w:sz w:val="18"/>
          <w:szCs w:val="18"/>
          <w:color w:val="auto"/>
        </w:rPr>
        <w:t>FRE increased $26.1 million, or 53%, to $75.7 million for the six months ended September 30, 2022 as compared to the six months ended September 30, 2021, primarily reflecting higher net management and advisory fees, partially offset by higher adjusted cash-based compensation, adjusted equity-based compensation and adjusted general, administrative and other expenses.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Reconciliation of GAAP to Non-GAAP Financial Measures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table below shows a reconciliation of revenues to adjusted revenues.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0"/>
                <w:szCs w:val="20"/>
                <w:color w:val="auto"/>
              </w:rPr>
            </w:pPr>
          </w:p>
        </w:tc>
        <w:tc>
          <w:tcPr>
            <w:tcW w:w="32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5"/>
              </w:rPr>
              <w:t>Six Months Ended September 30,</w:t>
            </w:r>
          </w:p>
        </w:tc>
      </w:tr>
      <w:tr>
        <w:trPr>
          <w:trHeight w:val="22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(158,495)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(235,713)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590,370</w:t>
            </w: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rPr>
              <w:t>Unrealized carried interest allocations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176,778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(143,855)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290,728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(320,254)</w:t>
            </w: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incentive fees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w:t>
            </w: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w w:val="96"/>
              </w:rPr>
              <w:t>Legacy Greenspring carried interest allocations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128,672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282,279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revenues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275,927</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table below shows a reconciliation of expenses to adjusted expenses.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0"/>
                <w:szCs w:val="20"/>
                <w:color w:val="auto"/>
              </w:rPr>
            </w:pPr>
          </w:p>
        </w:tc>
        <w:tc>
          <w:tcPr>
            <w:tcW w:w="32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5"/>
              </w:rPr>
              <w:t>Six Months Ended September 30,</w:t>
            </w:r>
          </w:p>
        </w:tc>
      </w:tr>
      <w:tr>
        <w:trPr>
          <w:trHeight w:val="22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Cash-based compensation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119,562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86,552</w:t>
            </w:r>
          </w:p>
        </w:tc>
      </w:tr>
      <w:tr>
        <w:trPr>
          <w:trHeight w:val="230"/>
        </w:trPr>
        <w:tc>
          <w:tcPr>
            <w:tcW w:w="4100" w:type="dxa"/>
            <w:vAlign w:val="bottom"/>
          </w:tcPr>
          <w:p>
            <w:pPr>
              <w:ind w:left="460"/>
              <w:spacing w:after="0" w:line="230" w:lineRule="exact"/>
              <w:rPr>
                <w:sz w:val="20"/>
                <w:szCs w:val="20"/>
                <w:color w:val="auto"/>
              </w:rPr>
            </w:pPr>
            <w:r>
              <w:rPr>
                <w:rFonts w:ascii="Arial" w:cs="Arial" w:eastAsia="Arial" w:hAnsi="Arial"/>
                <w:sz w:val="18"/>
                <w:szCs w:val="18"/>
                <w:color w:val="auto"/>
              </w:rPr>
              <w:t>Adjustments</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(740)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(1,431)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48"/>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cash-based compensation</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86,445</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w:t>
            </w:r>
          </w:p>
        </w:tc>
      </w:tr>
      <w:tr>
        <w:trPr>
          <w:trHeight w:val="230"/>
        </w:trPr>
        <w:tc>
          <w:tcPr>
            <w:tcW w:w="410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rPr>
              <w:t>Adjustments</w:t>
            </w:r>
            <w:r>
              <w:rPr>
                <w:rFonts w:ascii="Arial" w:cs="Arial" w:eastAsia="Arial" w:hAnsi="Arial"/>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(6,733)</w:t>
            </w: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equity-based compensation</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administrative and other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41,750</w:t>
            </w:r>
          </w:p>
        </w:tc>
      </w:tr>
      <w:tr>
        <w:trPr>
          <w:trHeight w:val="230"/>
        </w:trPr>
        <w:tc>
          <w:tcPr>
            <w:tcW w:w="410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rPr>
              <w:t>Adjustments</w:t>
            </w:r>
            <w:r>
              <w:rPr>
                <w:rFonts w:ascii="Arial" w:cs="Arial" w:eastAsia="Arial" w:hAnsi="Arial"/>
                <w:sz w:val="23"/>
                <w:szCs w:val="23"/>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(16,306)</w:t>
            </w: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general, administrative and other</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25,444</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w:t>
      </w:r>
    </w:p>
    <w:p>
      <w:pPr>
        <w:spacing w:after="0" w:line="27" w:lineRule="exact"/>
        <w:rPr>
          <w:sz w:val="20"/>
          <w:szCs w:val="20"/>
          <w:color w:val="auto"/>
        </w:rPr>
      </w:pPr>
    </w:p>
    <w:p>
      <w:pPr>
        <w:ind w:left="640" w:hanging="632"/>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the removal of severance and compensation paid to certain employees as part of an acquisition earn-out.</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the removal of equity-based compensation for awards granted prior to and in connection with the IPO.</w:t>
      </w:r>
    </w:p>
    <w:p>
      <w:pPr>
        <w:spacing w:after="0" w:line="9" w:lineRule="exact"/>
        <w:rPr>
          <w:rFonts w:ascii="Arial" w:cs="Arial" w:eastAsia="Arial" w:hAnsi="Arial"/>
          <w:sz w:val="18"/>
          <w:szCs w:val="18"/>
          <w:color w:val="auto"/>
        </w:rPr>
      </w:pPr>
    </w:p>
    <w:p>
      <w:pPr>
        <w:ind w:left="660" w:right="660" w:hanging="652"/>
        <w:spacing w:after="0" w:line="260" w:lineRule="auto"/>
        <w:tabs>
          <w:tab w:leader="none" w:pos="654"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the removal of lease remeasurement adjustments, accelerated depreciation of leasehold improvements for changes in lease terms, amortization of intangibles, transaction-related costs and other non-core operating income and expenses.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table below shows a reconciliation of income (loss) before income tax to ANI and FRE.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0"/>
                <w:szCs w:val="20"/>
                <w:color w:val="auto"/>
              </w:rPr>
            </w:pPr>
          </w:p>
        </w:tc>
        <w:tc>
          <w:tcPr>
            <w:tcW w:w="32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5"/>
              </w:rPr>
              <w:t>Six Months Ended September 30,</w:t>
            </w:r>
          </w:p>
        </w:tc>
      </w:tr>
      <w:tr>
        <w:trPr>
          <w:trHeight w:val="22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(74,487)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254,659</w:t>
            </w:r>
          </w:p>
        </w:tc>
      </w:tr>
      <w:tr>
        <w:trPr>
          <w:trHeight w:val="176"/>
        </w:trPr>
        <w:tc>
          <w:tcPr>
            <w:tcW w:w="4100" w:type="dxa"/>
            <w:vAlign w:val="bottom"/>
          </w:tcPr>
          <w:p>
            <w:pPr>
              <w:ind w:left="460"/>
              <w:spacing w:after="0" w:line="176"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4100" w:type="dxa"/>
            <w:vAlign w:val="bottom"/>
          </w:tcPr>
          <w:p>
            <w:pPr>
              <w:ind w:left="680"/>
              <w:spacing w:after="0" w:line="243" w:lineRule="exact"/>
              <w:rPr>
                <w:sz w:val="20"/>
                <w:szCs w:val="20"/>
                <w:color w:val="auto"/>
              </w:rPr>
            </w:pPr>
            <w:r>
              <w:rPr>
                <w:rFonts w:ascii="Arial" w:cs="Arial" w:eastAsia="Arial" w:hAnsi="Arial"/>
                <w:sz w:val="18"/>
                <w:szCs w:val="18"/>
                <w:color w:val="auto"/>
              </w:rPr>
              <w:t>interests in subsidiaries</w:t>
            </w:r>
            <w:r>
              <w:rPr>
                <w:rFonts w:ascii="Arial" w:cs="Arial" w:eastAsia="Arial" w:hAnsi="Arial"/>
                <w:sz w:val="23"/>
                <w:szCs w:val="23"/>
                <w:color w:val="auto"/>
                <w:vertAlign w:val="superscript"/>
              </w:rPr>
              <w:t>(1)</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(9,985)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(18,101)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(11,625)</w:t>
            </w:r>
          </w:p>
        </w:tc>
      </w:tr>
      <w:tr>
        <w:trPr>
          <w:trHeight w:val="176"/>
        </w:trPr>
        <w:tc>
          <w:tcPr>
            <w:tcW w:w="41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6"/>
              </w:rPr>
              <w:t>Net loss attributable to non-controlling interests</w:t>
            </w: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 legacy Greenspring entities</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rPr>
              <w:t>Unrealized carried interest allocations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176,778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(143,855)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290,728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(320,254)</w:t>
            </w:r>
          </w:p>
        </w:tc>
      </w:tr>
      <w:tr>
        <w:trPr>
          <w:trHeight w:val="229"/>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0"/>
              </w:rPr>
              <w:t>Unrealized performance fee-related compensation</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(140,679)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159,778</w:t>
            </w:r>
          </w:p>
        </w:tc>
      </w:tr>
      <w:tr>
        <w:trPr>
          <w:trHeight w:val="230"/>
        </w:trPr>
        <w:tc>
          <w:tcPr>
            <w:tcW w:w="4100" w:type="dxa"/>
            <w:vAlign w:val="bottom"/>
          </w:tcPr>
          <w:p>
            <w:pPr>
              <w:ind w:left="460"/>
              <w:spacing w:after="0"/>
              <w:rPr>
                <w:sz w:val="20"/>
                <w:szCs w:val="20"/>
                <w:color w:val="auto"/>
              </w:rPr>
            </w:pPr>
            <w:r>
              <w:rPr>
                <w:rFonts w:ascii="Arial" w:cs="Arial" w:eastAsia="Arial" w:hAnsi="Arial"/>
                <w:sz w:val="18"/>
                <w:szCs w:val="18"/>
                <w:color w:val="auto"/>
              </w:rPr>
              <w:t>Unrealized investment (income) loss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5,795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8,865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(8,777)</w:t>
            </w:r>
          </w:p>
        </w:tc>
      </w:tr>
      <w:tr>
        <w:trPr>
          <w:trHeight w:val="229"/>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incentive fees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w:t>
            </w:r>
          </w:p>
        </w:tc>
      </w:tr>
      <w:tr>
        <w:trPr>
          <w:trHeight w:val="229"/>
        </w:trPr>
        <w:tc>
          <w:tcPr>
            <w:tcW w:w="4100" w:type="dxa"/>
            <w:vAlign w:val="bottom"/>
          </w:tcPr>
          <w:p>
            <w:pPr>
              <w:ind w:left="460"/>
              <w:spacing w:after="0" w:line="230" w:lineRule="exact"/>
              <w:rPr>
                <w:sz w:val="20"/>
                <w:szCs w:val="20"/>
                <w:color w:val="auto"/>
              </w:rPr>
            </w:pPr>
            <w:r>
              <w:rPr>
                <w:rFonts w:ascii="Arial" w:cs="Arial" w:eastAsia="Arial" w:hAnsi="Arial"/>
                <w:sz w:val="18"/>
                <w:szCs w:val="18"/>
                <w:color w:val="auto"/>
              </w:rPr>
              <w:t>Equity-based compensation</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3,125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6,196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6,733</w:t>
            </w: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intangibles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r>
      <w:tr>
        <w:trPr>
          <w:trHeight w:val="175"/>
        </w:trPr>
        <w:tc>
          <w:tcPr>
            <w:tcW w:w="4100" w:type="dxa"/>
            <w:vAlign w:val="bottom"/>
          </w:tcPr>
          <w:p>
            <w:pPr>
              <w:ind w:left="460"/>
              <w:spacing w:after="0" w:line="176" w:lineRule="exact"/>
              <w:rPr>
                <w:sz w:val="20"/>
                <w:szCs w:val="20"/>
                <w:color w:val="auto"/>
              </w:rPr>
            </w:pPr>
            <w:r>
              <w:rPr>
                <w:rFonts w:ascii="Arial" w:cs="Arial" w:eastAsia="Arial" w:hAnsi="Arial"/>
                <w:sz w:val="18"/>
                <w:szCs w:val="18"/>
                <w:color w:val="auto"/>
                <w:w w:val="91"/>
              </w:rPr>
              <w:t>Tax Receivable Agreements adjustments through</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4100" w:type="dxa"/>
            <w:vAlign w:val="bottom"/>
          </w:tcPr>
          <w:p>
            <w:pPr>
              <w:ind w:left="680"/>
              <w:spacing w:after="0"/>
              <w:rPr>
                <w:sz w:val="20"/>
                <w:szCs w:val="20"/>
                <w:color w:val="auto"/>
              </w:rPr>
            </w:pPr>
            <w:r>
              <w:rPr>
                <w:rFonts w:ascii="Arial" w:cs="Arial" w:eastAsia="Arial" w:hAnsi="Arial"/>
                <w:sz w:val="18"/>
                <w:szCs w:val="18"/>
                <w:color w:val="auto"/>
              </w:rPr>
              <w:t>earnings</w:t>
            </w:r>
          </w:p>
        </w:tc>
        <w:tc>
          <w:tcPr>
            <w:tcW w:w="24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1,391</w:t>
            </w:r>
          </w:p>
        </w:tc>
      </w:tr>
      <w:tr>
        <w:trPr>
          <w:trHeight w:val="229"/>
        </w:trPr>
        <w:tc>
          <w:tcPr>
            <w:tcW w:w="41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Non-core items</w:t>
            </w:r>
            <w:r>
              <w:rPr>
                <w:rFonts w:ascii="Arial" w:cs="Arial" w:eastAsia="Arial" w:hAnsi="Arial"/>
                <w:sz w:val="23"/>
                <w:szCs w:val="23"/>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13,923</w:t>
            </w: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Pre-tax adjusted net income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47,955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51,795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108,617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104,129</w:t>
            </w:r>
          </w:p>
        </w:tc>
      </w:tr>
      <w:tr>
        <w:trPr>
          <w:trHeight w:val="229"/>
        </w:trPr>
        <w:tc>
          <w:tcPr>
            <w:tcW w:w="41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Income taxes</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(23,481)</w:t>
            </w: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37,261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40,115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84,395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80,648</w:t>
            </w:r>
          </w:p>
        </w:tc>
      </w:tr>
      <w:tr>
        <w:trPr>
          <w:trHeight w:val="230"/>
        </w:trPr>
        <w:tc>
          <w:tcPr>
            <w:tcW w:w="41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Income taxes</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23,481</w:t>
            </w: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rPr>
              <w:t>Realized carried interest allocations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(22,469)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(52,531)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(96,076)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(102,494)</w:t>
            </w:r>
          </w:p>
        </w:tc>
      </w:tr>
      <w:tr>
        <w:trPr>
          <w:trHeight w:val="230"/>
        </w:trPr>
        <w:tc>
          <w:tcPr>
            <w:tcW w:w="41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w w:val="89"/>
              </w:rPr>
              <w:t>Realized performance fee-related compensation</w:t>
            </w:r>
            <w:r>
              <w:rPr>
                <w:rFonts w:ascii="Arial" w:cs="Arial" w:eastAsia="Arial" w:hAnsi="Arial"/>
                <w:sz w:val="23"/>
                <w:szCs w:val="23"/>
                <w:color w:val="auto"/>
                <w:w w:val="89"/>
                <w:vertAlign w:val="superscript"/>
              </w:rPr>
              <w:t>(5)</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52,089</w:t>
            </w:r>
          </w:p>
        </w:tc>
      </w:tr>
      <w:tr>
        <w:trPr>
          <w:trHeight w:val="230"/>
        </w:trPr>
        <w:tc>
          <w:tcPr>
            <w:tcW w:w="4100" w:type="dxa"/>
            <w:vAlign w:val="bottom"/>
          </w:tcPr>
          <w:p>
            <w:pPr>
              <w:ind w:left="460"/>
              <w:spacing w:after="0"/>
              <w:rPr>
                <w:sz w:val="20"/>
                <w:szCs w:val="20"/>
                <w:color w:val="auto"/>
              </w:rPr>
            </w:pPr>
            <w:r>
              <w:rPr>
                <w:rFonts w:ascii="Arial" w:cs="Arial" w:eastAsia="Arial" w:hAnsi="Arial"/>
                <w:sz w:val="18"/>
                <w:szCs w:val="18"/>
                <w:color w:val="auto"/>
              </w:rPr>
              <w:t>Realized investment income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(2,104)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(4,073)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(4,834)</w:t>
            </w: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Incentive fees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w:t>
            </w: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rPr>
              <w:t>Deferred incentive fees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(3,683)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(3,683)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(5,811)</w:t>
            </w: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410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41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Other loss</w:t>
            </w:r>
            <w:r>
              <w:rPr>
                <w:rFonts w:ascii="Arial" w:cs="Arial" w:eastAsia="Arial" w:hAnsi="Arial"/>
                <w:sz w:val="23"/>
                <w:szCs w:val="23"/>
                <w:color w:val="auto"/>
                <w:vertAlign w:val="superscript"/>
              </w:rPr>
              <w:t>(6)</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175"/>
        </w:trPr>
        <w:tc>
          <w:tcPr>
            <w:tcW w:w="4100" w:type="dxa"/>
            <w:vAlign w:val="bottom"/>
          </w:tcPr>
          <w:p>
            <w:pPr>
              <w:ind w:left="460"/>
              <w:spacing w:after="0" w:line="176"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4100" w:type="dxa"/>
            <w:vAlign w:val="bottom"/>
            <w:tcBorders>
              <w:bottom w:val="single" w:sz="8" w:color="CCEEFF"/>
            </w:tcBorders>
          </w:tcPr>
          <w:p>
            <w:pPr>
              <w:ind w:left="680"/>
              <w:spacing w:after="0" w:line="243" w:lineRule="exact"/>
              <w:rPr>
                <w:sz w:val="20"/>
                <w:szCs w:val="20"/>
                <w:color w:val="auto"/>
              </w:rPr>
            </w:pPr>
            <w:r>
              <w:rPr>
                <w:rFonts w:ascii="Arial" w:cs="Arial" w:eastAsia="Arial" w:hAnsi="Arial"/>
                <w:sz w:val="18"/>
                <w:szCs w:val="18"/>
                <w:color w:val="auto"/>
              </w:rPr>
              <w:t>interests in subsidiaries</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9,985</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18,101</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11,625</w:t>
            </w: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Fee-related earnings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75,661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49,532</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Reflects the portion of pre-tax adjusted net income of our subsidiaries attributable to non-controlling interests.</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Reflects equity-based compensation for awards granted prior to and in connection with the IPO.</w:t>
      </w:r>
    </w:p>
    <w:p>
      <w:pPr>
        <w:spacing w:after="0" w:line="9" w:lineRule="exact"/>
        <w:rPr>
          <w:rFonts w:ascii="Arial" w:cs="Arial" w:eastAsia="Arial" w:hAnsi="Arial"/>
          <w:sz w:val="18"/>
          <w:szCs w:val="18"/>
          <w:color w:val="auto"/>
        </w:rPr>
      </w:pPr>
    </w:p>
    <w:p>
      <w:pPr>
        <w:ind w:left="660" w:right="20" w:hanging="652"/>
        <w:spacing w:after="0" w:line="288" w:lineRule="auto"/>
        <w:tabs>
          <w:tab w:leader="none" w:pos="654"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(income) expense related to transaction costs ($10.3 million and $13.8 million for the three and six months ended September 30, 2021, respectively), lease remeasurement adjustments ($(2.7) million for the three and six months ended September 30, 2022), accelerated depreciation of leasehold improvements for changes in lease terms ($0.2 million for the three and six months ended September 30, 2022), severance costs ($0.1 million for the three months ended September 30, 2022, and $0.2 million and $0.1 million for the six months ended September 30, 2022 and 2021, respectively), loss on change in fair value for contingent consideration obligation ($4.7 million and $8.0 million for the three and six months ended September 30, 2022, respectively), compensation paid to certain employees as part of an acquisition earn-out ($0.6 million and $1.3 million for the three and six months ended September 30, 2022, respectively) and other non-core operating income and expenses.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44" w:lineRule="exact"/>
        <w:rPr>
          <w:sz w:val="20"/>
          <w:szCs w:val="20"/>
          <w:color w:val="auto"/>
        </w:rPr>
      </w:pPr>
    </w:p>
    <w:p>
      <w:pPr>
        <w:ind w:left="660" w:right="100" w:hanging="652"/>
        <w:spacing w:after="0" w:line="285" w:lineRule="auto"/>
        <w:tabs>
          <w:tab w:leader="none" w:pos="654"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corporate income taxes at a blended statutory rate of 22.3% applied to pre-tax adjusted net income for the three and six months ended September 30, 2022, and a blended statutory rate of 22.6% applied to pre-tax adjusted net income for the three and six months ended September 30, 2021. The 22.3% rate for the three and six months ended September 30, 2022 is based on a federal statutory rate of 21.0% and a combined state, local and foreign rate net of federal benefits of 1.3%, and the 22.6% rate for the three and six months ended September 30, 2021 is based on a federal statutory rate of 21.0% and a combined state, local and foreign rate net of federal benefits of 1.6%.</w:t>
      </w:r>
    </w:p>
    <w:p>
      <w:pPr>
        <w:spacing w:after="0" w:line="1" w:lineRule="exact"/>
        <w:rPr>
          <w:rFonts w:ascii="Arial" w:cs="Arial" w:eastAsia="Arial" w:hAnsi="Arial"/>
          <w:sz w:val="16"/>
          <w:szCs w:val="16"/>
          <w:color w:val="auto"/>
        </w:rPr>
      </w:pPr>
    </w:p>
    <w:p>
      <w:pPr>
        <w:ind w:left="660" w:right="20" w:hanging="652"/>
        <w:spacing w:after="0" w:line="281" w:lineRule="auto"/>
        <w:tabs>
          <w:tab w:leader="none" w:pos="654"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carried interest-related compensation expense related to the portion of net carried interest allocation revenue attributable to equity holders of the Company’s consolidated subsidiaries that are not 100% owned ($2.4 million and $0.1 million for the three months ended September 30, 2022 and 2021, respectively, and $6.8 million and $0.2 million for the six months ended September 30, 2022 and 2021, respectively).</w:t>
      </w:r>
    </w:p>
    <w:p>
      <w:pPr>
        <w:spacing w:after="0" w:line="1" w:lineRule="exact"/>
        <w:rPr>
          <w:rFonts w:ascii="Arial" w:cs="Arial" w:eastAsia="Arial" w:hAnsi="Arial"/>
          <w:sz w:val="16"/>
          <w:szCs w:val="16"/>
          <w:color w:val="auto"/>
        </w:rPr>
      </w:pPr>
    </w:p>
    <w:p>
      <w:pPr>
        <w:ind w:left="660" w:right="420" w:hanging="652"/>
        <w:spacing w:after="0" w:line="260" w:lineRule="auto"/>
        <w:tabs>
          <w:tab w:leader="none" w:pos="6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Excludes amounts for Tax Receivable Agreements adjustments recognized as other income (loss) ($(1.4) million for the three and six months ended September 30, 2021).</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Investment Performance</w:t>
      </w:r>
    </w:p>
    <w:p>
      <w:pPr>
        <w:spacing w:after="0" w:line="235" w:lineRule="exact"/>
        <w:rPr>
          <w:sz w:val="20"/>
          <w:szCs w:val="20"/>
          <w:color w:val="auto"/>
        </w:rPr>
      </w:pPr>
    </w:p>
    <w:p>
      <w:pPr>
        <w:ind w:right="80" w:firstLine="648"/>
        <w:spacing w:after="0" w:line="251" w:lineRule="auto"/>
        <w:rPr>
          <w:sz w:val="20"/>
          <w:szCs w:val="20"/>
          <w:color w:val="auto"/>
        </w:rPr>
      </w:pPr>
      <w:r>
        <w:rPr>
          <w:rFonts w:ascii="Arial" w:cs="Arial" w:eastAsia="Arial" w:hAnsi="Arial"/>
          <w:sz w:val="20"/>
          <w:szCs w:val="20"/>
          <w:color w:val="auto"/>
        </w:rPr>
        <w:t>The following table presents information relating to the performance of all the investments that StepStone has recommended and subsequently tracked across asset classes and investment strategies, except as set forth in greater detail below. The data for these investments is generally presented from the inception date of each strategy and asset class through June 30, 2022 and have not been adjusted to reflect acquisitions or disposals of investments subsequent to that date.</w:t>
      </w:r>
    </w:p>
    <w:p>
      <w:pPr>
        <w:spacing w:after="0" w:line="199" w:lineRule="exact"/>
        <w:rPr>
          <w:sz w:val="20"/>
          <w:szCs w:val="20"/>
          <w:color w:val="auto"/>
        </w:rPr>
      </w:pPr>
    </w:p>
    <w:p>
      <w:pPr>
        <w:ind w:right="200" w:firstLine="648"/>
        <w:spacing w:after="0" w:line="274" w:lineRule="auto"/>
        <w:rPr>
          <w:sz w:val="20"/>
          <w:szCs w:val="20"/>
          <w:color w:val="auto"/>
        </w:rPr>
      </w:pPr>
      <w:r>
        <w:rPr>
          <w:rFonts w:ascii="Arial" w:cs="Arial" w:eastAsia="Arial" w:hAnsi="Arial"/>
          <w:sz w:val="20"/>
          <w:szCs w:val="20"/>
          <w:color w:val="auto"/>
        </w:rPr>
        <w:t>The historical results of our investments are not indicative of future results to be expected of existing or new investment funds, and are not a proxy for the performance of our Class A common stock, including because:</w:t>
      </w:r>
    </w:p>
    <w:p>
      <w:pPr>
        <w:spacing w:after="0" w:line="163"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market conditions and investment opportunities may differ from those in the past;</w:t>
      </w:r>
    </w:p>
    <w:p>
      <w:pPr>
        <w:spacing w:after="0" w:line="229" w:lineRule="exact"/>
        <w:rPr>
          <w:rFonts w:ascii="Arial" w:cs="Arial" w:eastAsia="Arial" w:hAnsi="Arial"/>
          <w:sz w:val="20"/>
          <w:szCs w:val="20"/>
          <w:color w:val="auto"/>
        </w:rPr>
      </w:pPr>
    </w:p>
    <w:p>
      <w:pPr>
        <w:ind w:left="660" w:right="200" w:hanging="328"/>
        <w:spacing w:after="0" w:line="260"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performance of our funds is largely based on the NAV (as defined below) of the funds’ investments, including unrealized gains, which may never be realized;</w:t>
      </w:r>
    </w:p>
    <w:p>
      <w:pPr>
        <w:spacing w:after="0" w:line="190" w:lineRule="exact"/>
        <w:rPr>
          <w:rFonts w:ascii="Arial" w:cs="Arial" w:eastAsia="Arial" w:hAnsi="Arial"/>
          <w:sz w:val="20"/>
          <w:szCs w:val="20"/>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newly-established funds may generate lower investment returns during the period that they initially deploy their capital;</w:t>
      </w:r>
    </w:p>
    <w:p>
      <w:pPr>
        <w:spacing w:after="0" w:line="229" w:lineRule="exact"/>
        <w:rPr>
          <w:rFonts w:ascii="Arial" w:cs="Arial" w:eastAsia="Arial" w:hAnsi="Arial"/>
          <w:sz w:val="20"/>
          <w:szCs w:val="20"/>
          <w:color w:val="auto"/>
        </w:rPr>
      </w:pPr>
    </w:p>
    <w:p>
      <w:pPr>
        <w:ind w:left="660" w:hanging="328"/>
        <w:spacing w:after="0" w:line="257"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changes in the global tax and regulatory environment may impact both the investment preferences of our clients and the financing strategies employed by businesses in which particular funds invest, which may reduce the overall capital available for investment and the availability of suitable investments, thereby reducing investment returns in the future;</w:t>
      </w:r>
    </w:p>
    <w:p>
      <w:pPr>
        <w:spacing w:after="0" w:line="179" w:lineRule="exact"/>
        <w:rPr>
          <w:rFonts w:ascii="Arial" w:cs="Arial" w:eastAsia="Arial" w:hAnsi="Arial"/>
          <w:sz w:val="20"/>
          <w:szCs w:val="20"/>
          <w:color w:val="auto"/>
        </w:rPr>
      </w:pPr>
    </w:p>
    <w:p>
      <w:pPr>
        <w:ind w:left="660" w:right="340" w:hanging="328"/>
        <w:spacing w:after="0" w:line="332"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competition for investment opportunities, resulting from the increasing amount of capital invested in private markets alternatives, may increase the cost and reduce the availability of suitable investments, thereby reducing investment returns in the future; and</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industries and businesses in which particular funds invest will vary.</w:t>
      </w:r>
    </w:p>
    <w:p>
      <w:pPr>
        <w:spacing w:after="0" w:line="216" w:lineRule="exact"/>
        <w:rPr>
          <w:sz w:val="20"/>
          <w:szCs w:val="20"/>
          <w:color w:val="auto"/>
        </w:rPr>
      </w:pPr>
    </w:p>
    <w:p>
      <w:pPr>
        <w:ind w:right="20" w:firstLine="648"/>
        <w:spacing w:after="0" w:line="274" w:lineRule="auto"/>
        <w:rPr>
          <w:sz w:val="20"/>
          <w:szCs w:val="20"/>
          <w:color w:val="auto"/>
        </w:rPr>
      </w:pPr>
      <w:r>
        <w:rPr>
          <w:rFonts w:ascii="Arial" w:cs="Arial" w:eastAsia="Arial" w:hAnsi="Arial"/>
          <w:sz w:val="20"/>
          <w:szCs w:val="20"/>
          <w:color w:val="auto"/>
        </w:rPr>
        <w:t>Historical and future returns of investments included in our track record are not directly correlated to potential returns on our Class A common stock.</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the purposes of the following table:</w:t>
      </w:r>
    </w:p>
    <w:p>
      <w:pPr>
        <w:spacing w:after="0" w:line="229" w:lineRule="exact"/>
        <w:rPr>
          <w:sz w:val="20"/>
          <w:szCs w:val="20"/>
          <w:color w:val="auto"/>
        </w:rPr>
      </w:pPr>
    </w:p>
    <w:p>
      <w:pPr>
        <w:ind w:left="660" w:right="1000" w:hanging="328"/>
        <w:spacing w:after="0" w:line="260" w:lineRule="auto"/>
        <w:tabs>
          <w:tab w:leader="none" w:pos="648" w:val="left"/>
        </w:tabs>
        <w:numPr>
          <w:ilvl w:val="0"/>
          <w:numId w:val="39"/>
        </w:numPr>
        <w:rPr>
          <w:rFonts w:ascii="Arial" w:cs="Arial" w:eastAsia="Arial" w:hAnsi="Arial"/>
          <w:sz w:val="20"/>
          <w:szCs w:val="20"/>
          <w:color w:val="auto"/>
        </w:rPr>
      </w:pPr>
      <w:r>
        <w:rPr>
          <w:rFonts w:ascii="Arial" w:cs="Arial" w:eastAsia="Arial" w:hAnsi="Arial"/>
          <w:sz w:val="20"/>
          <w:szCs w:val="20"/>
          <w:color w:val="auto"/>
        </w:rPr>
        <w:t>“Invested capital” refers to the total amount of all investments made by a fund, including commitment-reducing and non-commitment-reducing capital calls;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1" w:lineRule="exact"/>
        <w:rPr>
          <w:sz w:val="20"/>
          <w:szCs w:val="20"/>
          <w:color w:val="auto"/>
        </w:rPr>
      </w:pPr>
    </w:p>
    <w:p>
      <w:pPr>
        <w:ind w:left="660" w:right="120" w:hanging="328"/>
        <w:spacing w:after="0" w:line="274" w:lineRule="auto"/>
        <w:tabs>
          <w:tab w:leader="none" w:pos="648" w:val="left"/>
        </w:tabs>
        <w:numPr>
          <w:ilvl w:val="0"/>
          <w:numId w:val="40"/>
        </w:numPr>
        <w:rPr>
          <w:rFonts w:ascii="Arial" w:cs="Arial" w:eastAsia="Arial" w:hAnsi="Arial"/>
          <w:sz w:val="20"/>
          <w:szCs w:val="20"/>
          <w:color w:val="auto"/>
        </w:rPr>
      </w:pPr>
      <w:r>
        <w:rPr>
          <w:rFonts w:ascii="Arial" w:cs="Arial" w:eastAsia="Arial" w:hAnsi="Arial"/>
          <w:sz w:val="20"/>
          <w:szCs w:val="20"/>
          <w:color w:val="auto"/>
        </w:rPr>
        <w:t>“NAV” refers to the estimated fair value of unrealized investments plus any net assets or liabilities associated with the investment as of June 30, 2022;</w:t>
      </w:r>
    </w:p>
    <w:p>
      <w:pPr>
        <w:spacing w:after="0" w:line="163" w:lineRule="exact"/>
        <w:rPr>
          <w:rFonts w:ascii="Arial" w:cs="Arial" w:eastAsia="Arial" w:hAnsi="Arial"/>
          <w:sz w:val="20"/>
          <w:szCs w:val="20"/>
          <w:color w:val="auto"/>
        </w:rPr>
      </w:pPr>
    </w:p>
    <w:p>
      <w:pPr>
        <w:ind w:left="660" w:right="260" w:hanging="328"/>
        <w:spacing w:after="0" w:line="332"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“IRR” refers to the annualized internal rate of return for all investments within the relevant investment strategy on an inception-to-date basis as of June 30, 2022 (except as noted otherwise below), based on contributions, distributions and unrealized value;</w:t>
      </w:r>
    </w:p>
    <w:p>
      <w:pPr>
        <w:spacing w:after="0" w:line="115" w:lineRule="exact"/>
        <w:rPr>
          <w:rFonts w:ascii="Arial" w:cs="Arial" w:eastAsia="Arial" w:hAnsi="Arial"/>
          <w:sz w:val="18"/>
          <w:szCs w:val="18"/>
          <w:color w:val="auto"/>
        </w:rPr>
      </w:pPr>
    </w:p>
    <w:p>
      <w:pPr>
        <w:ind w:left="640" w:hanging="308"/>
        <w:spacing w:after="0"/>
        <w:tabs>
          <w:tab w:leader="none" w:pos="6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“Net IRR” refers to IRR net of fees and expenses charged by both the underlying fund managers and StepStone; and</w:t>
      </w:r>
    </w:p>
    <w:p>
      <w:pPr>
        <w:spacing w:after="0" w:line="229" w:lineRule="exact"/>
        <w:rPr>
          <w:rFonts w:ascii="Arial" w:cs="Arial" w:eastAsia="Arial" w:hAnsi="Arial"/>
          <w:sz w:val="20"/>
          <w:szCs w:val="20"/>
          <w:color w:val="auto"/>
        </w:rPr>
      </w:pPr>
    </w:p>
    <w:p>
      <w:pPr>
        <w:ind w:left="660" w:right="320" w:hanging="328"/>
        <w:spacing w:after="0" w:line="274" w:lineRule="auto"/>
        <w:tabs>
          <w:tab w:leader="none" w:pos="648" w:val="left"/>
        </w:tabs>
        <w:numPr>
          <w:ilvl w:val="0"/>
          <w:numId w:val="40"/>
        </w:numPr>
        <w:rPr>
          <w:rFonts w:ascii="Arial" w:cs="Arial" w:eastAsia="Arial" w:hAnsi="Arial"/>
          <w:sz w:val="20"/>
          <w:szCs w:val="20"/>
          <w:color w:val="auto"/>
        </w:rPr>
      </w:pPr>
      <w:r>
        <w:rPr>
          <w:rFonts w:ascii="Arial" w:cs="Arial" w:eastAsia="Arial" w:hAnsi="Arial"/>
          <w:sz w:val="20"/>
          <w:szCs w:val="20"/>
          <w:color w:val="auto"/>
        </w:rPr>
        <w:t>“Net TVM” refers to the total value to paid-in capital or invested capital expressed as a multiple, and is calculated as distributions plus unrealized valuations divided by invested capital (including all capitalized costs).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StepStone Performance Summary by Asset Class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60" w:type="dxa"/>
            <w:vAlign w:val="bottom"/>
            <w:gridSpan w:val="2"/>
          </w:tcPr>
          <w:p>
            <w:pPr>
              <w:ind w:left="900"/>
              <w:spacing w:after="0"/>
              <w:rPr>
                <w:sz w:val="20"/>
                <w:szCs w:val="20"/>
                <w:color w:val="auto"/>
              </w:rPr>
            </w:pPr>
            <w:r>
              <w:rPr>
                <w:rFonts w:ascii="Arial" w:cs="Arial" w:eastAsia="Arial" w:hAnsi="Arial"/>
                <w:sz w:val="14"/>
                <w:szCs w:val="14"/>
                <w:b w:val="1"/>
                <w:bCs w:val="1"/>
                <w:color w:val="auto"/>
              </w:rPr>
              <w:t>PRIVATE EQUITY</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2"/>
          </w:tcPr>
          <w:p>
            <w:pPr>
              <w:ind w:left="1080"/>
              <w:spacing w:after="0"/>
              <w:rPr>
                <w:sz w:val="20"/>
                <w:szCs w:val="20"/>
                <w:color w:val="auto"/>
              </w:rPr>
            </w:pPr>
            <w:r>
              <w:rPr>
                <w:rFonts w:ascii="Arial" w:cs="Arial" w:eastAsia="Arial" w:hAnsi="Arial"/>
                <w:sz w:val="14"/>
                <w:szCs w:val="14"/>
                <w:b w:val="1"/>
                <w:bCs w:val="1"/>
                <w:color w:val="auto"/>
              </w:rPr>
              <w:t>REAL ESTATE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ind w:left="520"/>
              <w:spacing w:after="0"/>
              <w:rPr>
                <w:sz w:val="20"/>
                <w:szCs w:val="20"/>
                <w:color w:val="auto"/>
              </w:rPr>
            </w:pPr>
            <w:r>
              <w:rPr>
                <w:rFonts w:ascii="Arial" w:cs="Arial" w:eastAsia="Arial" w:hAnsi="Arial"/>
                <w:sz w:val="14"/>
                <w:szCs w:val="14"/>
                <w:b w:val="1"/>
                <w:bCs w:val="1"/>
                <w:color w:val="auto"/>
              </w:rPr>
              <w:t>INFRASTRUCTURE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ind w:left="680"/>
              <w:spacing w:after="0"/>
              <w:rPr>
                <w:sz w:val="20"/>
                <w:szCs w:val="20"/>
                <w:color w:val="auto"/>
              </w:rPr>
            </w:pPr>
            <w:r>
              <w:rPr>
                <w:rFonts w:ascii="Arial" w:cs="Arial" w:eastAsia="Arial" w:hAnsi="Arial"/>
                <w:sz w:val="14"/>
                <w:szCs w:val="14"/>
                <w:b w:val="1"/>
                <w:bCs w:val="1"/>
                <w:color w:val="auto"/>
              </w:rPr>
              <w:t>PRIVATE DEBT</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42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INVESTMENT</w:t>
            </w:r>
          </w:p>
        </w:tc>
        <w:tc>
          <w:tcPr>
            <w:tcW w:w="940" w:type="dxa"/>
            <w:vAlign w:val="bottom"/>
            <w:shd w:val="clear" w:color="auto" w:fill="CCEEFF"/>
          </w:tcPr>
          <w:p>
            <w:pPr>
              <w:jc w:val="center"/>
              <w:ind w:left="234"/>
              <w:spacing w:after="0" w:line="129" w:lineRule="exact"/>
              <w:rPr>
                <w:sz w:val="20"/>
                <w:szCs w:val="20"/>
                <w:color w:val="auto"/>
              </w:rPr>
            </w:pPr>
            <w:r>
              <w:rPr>
                <w:rFonts w:ascii="Arial" w:cs="Arial" w:eastAsia="Arial" w:hAnsi="Arial"/>
                <w:sz w:val="14"/>
                <w:szCs w:val="14"/>
                <w:b w:val="1"/>
                <w:bCs w:val="1"/>
                <w:color w:val="auto"/>
                <w:w w:val="99"/>
              </w:rPr>
              <w:t>NET</w:t>
            </w:r>
          </w:p>
        </w:tc>
        <w:tc>
          <w:tcPr>
            <w:tcW w:w="68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b w:val="1"/>
                <w:bCs w:val="1"/>
                <w:color w:val="auto"/>
                <w:w w:val="99"/>
              </w:rPr>
              <w:t>NET</w:t>
            </w: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INVESTMENT</w:t>
            </w:r>
          </w:p>
        </w:tc>
        <w:tc>
          <w:tcPr>
            <w:tcW w:w="60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b w:val="1"/>
                <w:bCs w:val="1"/>
                <w:color w:val="auto"/>
              </w:rPr>
              <w:t>NET</w:t>
            </w:r>
          </w:p>
        </w:tc>
        <w:tc>
          <w:tcPr>
            <w:tcW w:w="68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INVESTMENT</w:t>
            </w:r>
          </w:p>
        </w:tc>
        <w:tc>
          <w:tcPr>
            <w:tcW w:w="520" w:type="dxa"/>
            <w:vAlign w:val="bottom"/>
            <w:shd w:val="clear" w:color="auto" w:fill="CCEEFF"/>
          </w:tcPr>
          <w:p>
            <w:pPr>
              <w:jc w:val="center"/>
              <w:ind w:right="74"/>
              <w:spacing w:after="0" w:line="129" w:lineRule="exact"/>
              <w:rPr>
                <w:sz w:val="20"/>
                <w:szCs w:val="20"/>
                <w:color w:val="auto"/>
              </w:rPr>
            </w:pPr>
            <w:r>
              <w:rPr>
                <w:rFonts w:ascii="Arial" w:cs="Arial" w:eastAsia="Arial" w:hAnsi="Arial"/>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INVESTMENT</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7"/>
              </w:rPr>
              <w:t>IRR</w:t>
            </w:r>
            <w:r>
              <w:rPr>
                <w:rFonts w:ascii="Arial" w:cs="Arial" w:eastAsia="Arial" w:hAnsi="Arial"/>
                <w:sz w:val="18"/>
                <w:szCs w:val="18"/>
                <w:b w:val="1"/>
                <w:bCs w:val="1"/>
                <w:color w:val="auto"/>
                <w:w w:val="97"/>
                <w:vertAlign w:val="superscript"/>
              </w:rPr>
              <w:t>(7)</w:t>
            </w: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STRATEGY</w:t>
            </w:r>
            <w:r>
              <w:rPr>
                <w:rFonts w:ascii="Arial" w:cs="Arial" w:eastAsia="Arial" w:hAnsi="Arial"/>
                <w:sz w:val="9"/>
                <w:szCs w:val="9"/>
                <w:b w:val="1"/>
                <w:bCs w:val="1"/>
                <w:color w:val="auto"/>
              </w:rPr>
              <w:t>(1,3)</w:t>
            </w:r>
          </w:p>
        </w:tc>
        <w:tc>
          <w:tcPr>
            <w:tcW w:w="940" w:type="dxa"/>
            <w:vAlign w:val="bottom"/>
            <w:shd w:val="clear" w:color="auto" w:fill="CCEEFF"/>
          </w:tcPr>
          <w:p>
            <w:pPr>
              <w:jc w:val="center"/>
              <w:ind w:left="234"/>
              <w:spacing w:after="0" w:line="202" w:lineRule="exact"/>
              <w:rPr>
                <w:sz w:val="20"/>
                <w:szCs w:val="20"/>
                <w:color w:val="auto"/>
              </w:rPr>
            </w:pPr>
            <w:r>
              <w:rPr>
                <w:rFonts w:ascii="Arial" w:cs="Arial" w:eastAsia="Arial" w:hAnsi="Arial"/>
                <w:sz w:val="23"/>
                <w:szCs w:val="23"/>
                <w:b w:val="1"/>
                <w:bCs w:val="1"/>
                <w:color w:val="auto"/>
                <w:w w:val="99"/>
                <w:vertAlign w:val="subscript"/>
              </w:rPr>
              <w:t>IRR</w:t>
            </w:r>
            <w:r>
              <w:rPr>
                <w:rFonts w:ascii="Arial" w:cs="Arial" w:eastAsia="Arial" w:hAnsi="Arial"/>
                <w:sz w:val="8"/>
                <w:szCs w:val="8"/>
                <w:b w:val="1"/>
                <w:bCs w:val="1"/>
                <w:color w:val="auto"/>
                <w:w w:val="99"/>
              </w:rPr>
              <w:t>(2)</w:t>
            </w:r>
          </w:p>
        </w:tc>
        <w:tc>
          <w:tcPr>
            <w:tcW w:w="760" w:type="dxa"/>
            <w:vAlign w:val="bottom"/>
            <w:gridSpan w:val="2"/>
            <w:shd w:val="clear" w:color="auto" w:fill="CCEEFF"/>
          </w:tcPr>
          <w:p>
            <w:pPr>
              <w:jc w:val="center"/>
              <w:ind w:right="80"/>
              <w:spacing w:after="0" w:line="202" w:lineRule="exact"/>
              <w:rPr>
                <w:sz w:val="20"/>
                <w:szCs w:val="20"/>
                <w:color w:val="auto"/>
              </w:rPr>
            </w:pPr>
            <w:r>
              <w:rPr>
                <w:rFonts w:ascii="Arial" w:cs="Arial" w:eastAsia="Arial" w:hAnsi="Arial"/>
                <w:sz w:val="23"/>
                <w:szCs w:val="23"/>
                <w:b w:val="1"/>
                <w:bCs w:val="1"/>
                <w:color w:val="auto"/>
                <w:vertAlign w:val="subscript"/>
              </w:rPr>
              <w:t>TVM</w:t>
            </w:r>
            <w:r>
              <w:rPr>
                <w:rFonts w:ascii="Arial" w:cs="Arial" w:eastAsia="Arial" w:hAnsi="Arial"/>
                <w:sz w:val="8"/>
                <w:szCs w:val="8"/>
                <w:b w:val="1"/>
                <w:bCs w:val="1"/>
                <w:color w:val="auto"/>
              </w:rPr>
              <w:t>(2)</w:t>
            </w:r>
          </w:p>
        </w:tc>
        <w:tc>
          <w:tcPr>
            <w:tcW w:w="1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STRATEGY</w:t>
            </w:r>
            <w:r>
              <w:rPr>
                <w:rFonts w:ascii="Arial" w:cs="Arial" w:eastAsia="Arial" w:hAnsi="Arial"/>
                <w:sz w:val="9"/>
                <w:szCs w:val="9"/>
                <w:b w:val="1"/>
                <w:bCs w:val="1"/>
                <w:color w:val="auto"/>
              </w:rPr>
              <w:t>(3,4)</w:t>
            </w:r>
          </w:p>
        </w:tc>
        <w:tc>
          <w:tcPr>
            <w:tcW w:w="600" w:type="dxa"/>
            <w:vAlign w:val="bottom"/>
            <w:shd w:val="clear" w:color="auto" w:fill="CCEEFF"/>
          </w:tcPr>
          <w:p>
            <w:pPr>
              <w:jc w:val="center"/>
              <w:spacing w:after="0" w:line="202" w:lineRule="exact"/>
              <w:rPr>
                <w:sz w:val="20"/>
                <w:szCs w:val="20"/>
                <w:color w:val="auto"/>
              </w:rPr>
            </w:pPr>
            <w:r>
              <w:rPr>
                <w:rFonts w:ascii="Arial" w:cs="Arial" w:eastAsia="Arial" w:hAnsi="Arial"/>
                <w:sz w:val="23"/>
                <w:szCs w:val="23"/>
                <w:b w:val="1"/>
                <w:bCs w:val="1"/>
                <w:color w:val="auto"/>
                <w:vertAlign w:val="subscript"/>
              </w:rPr>
              <w:t>IRR</w:t>
            </w:r>
            <w:r>
              <w:rPr>
                <w:rFonts w:ascii="Arial" w:cs="Arial" w:eastAsia="Arial" w:hAnsi="Arial"/>
                <w:sz w:val="8"/>
                <w:szCs w:val="8"/>
                <w:b w:val="1"/>
                <w:bCs w:val="1"/>
                <w:color w:val="auto"/>
              </w:rPr>
              <w:t>(2)</w:t>
            </w:r>
          </w:p>
        </w:tc>
        <w:tc>
          <w:tcPr>
            <w:tcW w:w="680" w:type="dxa"/>
            <w:vAlign w:val="bottom"/>
            <w:shd w:val="clear" w:color="auto" w:fill="CCEEFF"/>
          </w:tcPr>
          <w:p>
            <w:pPr>
              <w:jc w:val="center"/>
              <w:spacing w:after="0" w:line="202" w:lineRule="exact"/>
              <w:rPr>
                <w:sz w:val="20"/>
                <w:szCs w:val="20"/>
                <w:color w:val="auto"/>
              </w:rPr>
            </w:pPr>
            <w:r>
              <w:rPr>
                <w:rFonts w:ascii="Arial" w:cs="Arial" w:eastAsia="Arial" w:hAnsi="Arial"/>
                <w:sz w:val="23"/>
                <w:szCs w:val="23"/>
                <w:b w:val="1"/>
                <w:bCs w:val="1"/>
                <w:color w:val="auto"/>
                <w:vertAlign w:val="subscript"/>
              </w:rPr>
              <w:t>TVM</w:t>
            </w:r>
            <w:r>
              <w:rPr>
                <w:rFonts w:ascii="Arial" w:cs="Arial" w:eastAsia="Arial" w:hAnsi="Arial"/>
                <w:sz w:val="8"/>
                <w:szCs w:val="8"/>
                <w:b w:val="1"/>
                <w:bCs w:val="1"/>
                <w:color w:val="auto"/>
              </w:rPr>
              <w:t>(2)</w:t>
            </w: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STRATEGY</w:t>
            </w:r>
            <w:r>
              <w:rPr>
                <w:rFonts w:ascii="Arial" w:cs="Arial" w:eastAsia="Arial" w:hAnsi="Arial"/>
                <w:sz w:val="9"/>
                <w:szCs w:val="9"/>
                <w:b w:val="1"/>
                <w:bCs w:val="1"/>
                <w:color w:val="auto"/>
              </w:rPr>
              <w:t>(3,5)</w:t>
            </w:r>
          </w:p>
        </w:tc>
        <w:tc>
          <w:tcPr>
            <w:tcW w:w="620" w:type="dxa"/>
            <w:vAlign w:val="bottom"/>
            <w:gridSpan w:val="2"/>
            <w:shd w:val="clear" w:color="auto" w:fill="CCEEFF"/>
          </w:tcPr>
          <w:p>
            <w:pPr>
              <w:jc w:val="center"/>
              <w:ind w:right="240"/>
              <w:spacing w:after="0" w:line="202" w:lineRule="exact"/>
              <w:rPr>
                <w:sz w:val="20"/>
                <w:szCs w:val="20"/>
                <w:color w:val="auto"/>
              </w:rPr>
            </w:pPr>
            <w:r>
              <w:rPr>
                <w:rFonts w:ascii="Arial" w:cs="Arial" w:eastAsia="Arial" w:hAnsi="Arial"/>
                <w:sz w:val="23"/>
                <w:szCs w:val="23"/>
                <w:b w:val="1"/>
                <w:bCs w:val="1"/>
                <w:color w:val="auto"/>
                <w:vertAlign w:val="subscript"/>
              </w:rPr>
              <w:t>IRR</w:t>
            </w:r>
            <w:r>
              <w:rPr>
                <w:rFonts w:ascii="Arial" w:cs="Arial" w:eastAsia="Arial" w:hAnsi="Arial"/>
                <w:sz w:val="8"/>
                <w:szCs w:val="8"/>
                <w:b w:val="1"/>
                <w:bCs w:val="1"/>
                <w:color w:val="auto"/>
              </w:rPr>
              <w:t>(2)</w:t>
            </w:r>
          </w:p>
        </w:tc>
        <w:tc>
          <w:tcPr>
            <w:tcW w:w="1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STRATEGY</w:t>
            </w:r>
            <w:r>
              <w:rPr>
                <w:rFonts w:ascii="Arial" w:cs="Arial" w:eastAsia="Arial" w:hAnsi="Arial"/>
                <w:sz w:val="9"/>
                <w:szCs w:val="9"/>
                <w:b w:val="1"/>
                <w:bCs w:val="1"/>
                <w:color w:val="auto"/>
              </w:rPr>
              <w:t>(3,7)</w:t>
            </w: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Primaries</w:t>
            </w:r>
          </w:p>
        </w:tc>
        <w:tc>
          <w:tcPr>
            <w:tcW w:w="940" w:type="dxa"/>
            <w:vAlign w:val="bottom"/>
            <w:tcBorders>
              <w:top w:val="single" w:sz="8" w:color="auto"/>
              <w:bottom w:val="single" w:sz="8" w:color="auto"/>
            </w:tcBorders>
          </w:tcPr>
          <w:p>
            <w:pPr>
              <w:jc w:val="center"/>
              <w:ind w:left="234"/>
              <w:spacing w:after="0"/>
              <w:rPr>
                <w:sz w:val="20"/>
                <w:szCs w:val="20"/>
                <w:color w:val="auto"/>
              </w:rPr>
            </w:pPr>
            <w:r>
              <w:rPr>
                <w:rFonts w:ascii="Arial" w:cs="Arial" w:eastAsia="Arial" w:hAnsi="Arial"/>
                <w:sz w:val="14"/>
                <w:szCs w:val="14"/>
                <w:color w:val="auto"/>
                <w:w w:val="90"/>
              </w:rPr>
              <w:t>18.1%</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0"/>
              </w:rPr>
              <w:t>1.6x</w:t>
            </w:r>
          </w:p>
        </w:tc>
        <w:tc>
          <w:tcPr>
            <w:tcW w:w="80" w:type="dxa"/>
            <w:vAlign w:val="bottom"/>
            <w:tcBorders>
              <w:bottom w:val="single" w:sz="8" w:color="CCEEFF"/>
            </w:tcBorders>
          </w:tcPr>
          <w:p>
            <w:pPr>
              <w:spacing w:after="0"/>
              <w:rPr>
                <w:sz w:val="17"/>
                <w:szCs w:val="17"/>
                <w:color w:val="auto"/>
              </w:rPr>
            </w:pPr>
          </w:p>
        </w:tc>
        <w:tc>
          <w:tcPr>
            <w:tcW w:w="1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98"/>
              </w:rPr>
              <w:t>Core/Core+ fund investments</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3"/>
              </w:rPr>
              <w:t>9.5%</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8"/>
              </w:rPr>
              <w:t>1.6x</w:t>
            </w:r>
          </w:p>
        </w:tc>
        <w:tc>
          <w:tcPr>
            <w:tcW w:w="100" w:type="dxa"/>
            <w:vAlign w:val="bottom"/>
            <w:tcBorders>
              <w:bottom w:val="single" w:sz="8" w:color="CCEEFF"/>
            </w:tcBorders>
          </w:tcPr>
          <w:p>
            <w:pPr>
              <w:spacing w:after="0"/>
              <w:rPr>
                <w:sz w:val="17"/>
                <w:szCs w:val="17"/>
                <w:color w:val="auto"/>
              </w:rPr>
            </w:pPr>
          </w:p>
        </w:tc>
        <w:tc>
          <w:tcPr>
            <w:tcW w:w="1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Primaries</w:t>
            </w:r>
          </w:p>
        </w:tc>
        <w:tc>
          <w:tcPr>
            <w:tcW w:w="520" w:type="dxa"/>
            <w:vAlign w:val="bottom"/>
            <w:tcBorders>
              <w:top w:val="single" w:sz="8" w:color="auto"/>
              <w:bottom w:val="single" w:sz="8" w:color="auto"/>
            </w:tcBorders>
          </w:tcPr>
          <w:p>
            <w:pPr>
              <w:jc w:val="center"/>
              <w:ind w:right="74"/>
              <w:spacing w:after="0"/>
              <w:rPr>
                <w:sz w:val="20"/>
                <w:szCs w:val="20"/>
                <w:color w:val="auto"/>
              </w:rPr>
            </w:pPr>
            <w:r>
              <w:rPr>
                <w:rFonts w:ascii="Arial" w:cs="Arial" w:eastAsia="Arial" w:hAnsi="Arial"/>
                <w:sz w:val="14"/>
                <w:szCs w:val="14"/>
                <w:color w:val="auto"/>
                <w:w w:val="95"/>
              </w:rPr>
              <w:t>11.8%</w:t>
            </w:r>
          </w:p>
        </w:tc>
        <w:tc>
          <w:tcPr>
            <w:tcW w:w="100" w:type="dxa"/>
            <w:vAlign w:val="bottom"/>
            <w:tcBorders>
              <w:bottom w:val="single" w:sz="8" w:color="CCEEFF"/>
            </w:tcBorders>
          </w:tcPr>
          <w:p>
            <w:pPr>
              <w:spacing w:after="0"/>
              <w:rPr>
                <w:sz w:val="17"/>
                <w:szCs w:val="17"/>
                <w:color w:val="auto"/>
              </w:rPr>
            </w:pPr>
          </w:p>
        </w:tc>
        <w:tc>
          <w:tcPr>
            <w:tcW w:w="180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4"/>
                <w:szCs w:val="14"/>
                <w:color w:val="auto"/>
              </w:rPr>
              <w:t>Direct lending (Gross)</w:t>
            </w:r>
            <w:r>
              <w:rPr>
                <w:rFonts w:ascii="Arial" w:cs="Arial" w:eastAsia="Arial" w:hAnsi="Arial"/>
                <w:sz w:val="18"/>
                <w:szCs w:val="18"/>
                <w:color w:val="auto"/>
                <w:vertAlign w:val="superscript"/>
              </w:rPr>
              <w:t>(8)</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3"/>
              </w:rPr>
              <w:t>7.2%</w:t>
            </w:r>
          </w:p>
        </w:tc>
        <w:tc>
          <w:tcPr>
            <w:tcW w:w="0" w:type="dxa"/>
            <w:vAlign w:val="bottom"/>
          </w:tcPr>
          <w:p>
            <w:pPr>
              <w:spacing w:after="0"/>
              <w:rPr>
                <w:sz w:val="1"/>
                <w:szCs w:val="1"/>
                <w:color w:val="auto"/>
              </w:rPr>
            </w:pPr>
          </w:p>
        </w:tc>
      </w:tr>
      <w:tr>
        <w:trPr>
          <w:trHeight w:val="128"/>
        </w:trPr>
        <w:tc>
          <w:tcPr>
            <w:tcW w:w="14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Secondaries</w:t>
            </w:r>
          </w:p>
        </w:tc>
        <w:tc>
          <w:tcPr>
            <w:tcW w:w="940" w:type="dxa"/>
            <w:vAlign w:val="bottom"/>
            <w:vMerge w:val="restart"/>
            <w:shd w:val="clear" w:color="auto" w:fill="CCEEFF"/>
          </w:tcPr>
          <w:p>
            <w:pPr>
              <w:jc w:val="center"/>
              <w:ind w:left="234"/>
              <w:spacing w:after="0"/>
              <w:rPr>
                <w:sz w:val="20"/>
                <w:szCs w:val="20"/>
                <w:color w:val="auto"/>
              </w:rPr>
            </w:pPr>
            <w:r>
              <w:rPr>
                <w:rFonts w:ascii="Arial" w:cs="Arial" w:eastAsia="Arial" w:hAnsi="Arial"/>
                <w:sz w:val="14"/>
                <w:szCs w:val="14"/>
                <w:color w:val="auto"/>
                <w:w w:val="90"/>
              </w:rPr>
              <w:t>18.9%</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1.5x</w:t>
            </w:r>
          </w:p>
        </w:tc>
        <w:tc>
          <w:tcPr>
            <w:tcW w:w="80" w:type="dxa"/>
            <w:vAlign w:val="bottom"/>
            <w:vMerge w:val="restart"/>
            <w:shd w:val="clear" w:color="auto" w:fill="CCEEFF"/>
          </w:tcPr>
          <w:p>
            <w:pPr>
              <w:spacing w:after="0"/>
              <w:rPr>
                <w:sz w:val="11"/>
                <w:szCs w:val="11"/>
                <w:color w:val="auto"/>
              </w:rPr>
            </w:pPr>
          </w:p>
        </w:tc>
        <w:tc>
          <w:tcPr>
            <w:tcW w:w="18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Value-add/opportunistic fund</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10.5%</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1.4x</w:t>
            </w:r>
          </w:p>
        </w:tc>
        <w:tc>
          <w:tcPr>
            <w:tcW w:w="100" w:type="dxa"/>
            <w:vAlign w:val="bottom"/>
            <w:shd w:val="clear" w:color="auto" w:fill="CCEEFF"/>
          </w:tcPr>
          <w:p>
            <w:pPr>
              <w:spacing w:after="0"/>
              <w:rPr>
                <w:sz w:val="11"/>
                <w:szCs w:val="11"/>
                <w:color w:val="auto"/>
              </w:rPr>
            </w:pPr>
          </w:p>
        </w:tc>
        <w:tc>
          <w:tcPr>
            <w:tcW w:w="18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Secondaries</w:t>
            </w:r>
          </w:p>
        </w:tc>
        <w:tc>
          <w:tcPr>
            <w:tcW w:w="520" w:type="dxa"/>
            <w:vAlign w:val="bottom"/>
            <w:vMerge w:val="restart"/>
            <w:shd w:val="clear" w:color="auto" w:fill="CCEEFF"/>
          </w:tcPr>
          <w:p>
            <w:pPr>
              <w:jc w:val="center"/>
              <w:ind w:right="74"/>
              <w:spacing w:after="0"/>
              <w:rPr>
                <w:sz w:val="20"/>
                <w:szCs w:val="20"/>
                <w:color w:val="auto"/>
              </w:rPr>
            </w:pPr>
            <w:r>
              <w:rPr>
                <w:rFonts w:ascii="Arial" w:cs="Arial" w:eastAsia="Arial" w:hAnsi="Arial"/>
                <w:sz w:val="14"/>
                <w:szCs w:val="14"/>
                <w:color w:val="auto"/>
                <w:w w:val="95"/>
              </w:rPr>
              <w:t>13.2%</w:t>
            </w:r>
          </w:p>
        </w:tc>
        <w:tc>
          <w:tcPr>
            <w:tcW w:w="100" w:type="dxa"/>
            <w:vAlign w:val="bottom"/>
            <w:shd w:val="clear" w:color="auto" w:fill="CCEEFF"/>
          </w:tcPr>
          <w:p>
            <w:pPr>
              <w:spacing w:after="0"/>
              <w:rPr>
                <w:sz w:val="11"/>
                <w:szCs w:val="11"/>
                <w:color w:val="auto"/>
              </w:rPr>
            </w:pPr>
          </w:p>
        </w:tc>
        <w:tc>
          <w:tcPr>
            <w:tcW w:w="18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Distressed debt (Gross)</w:t>
            </w:r>
            <w:r>
              <w:rPr>
                <w:rFonts w:ascii="Arial" w:cs="Arial" w:eastAsia="Arial" w:hAnsi="Arial"/>
                <w:sz w:val="18"/>
                <w:szCs w:val="18"/>
                <w:color w:val="auto"/>
                <w:vertAlign w:val="superscript"/>
              </w:rPr>
              <w:t>(8)</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9.8%</w:t>
            </w:r>
          </w:p>
        </w:tc>
        <w:tc>
          <w:tcPr>
            <w:tcW w:w="0" w:type="dxa"/>
            <w:vAlign w:val="bottom"/>
          </w:tcPr>
          <w:p>
            <w:pPr>
              <w:spacing w:after="0"/>
              <w:rPr>
                <w:sz w:val="1"/>
                <w:szCs w:val="1"/>
                <w:color w:val="auto"/>
              </w:rPr>
            </w:pPr>
          </w:p>
        </w:tc>
      </w:tr>
      <w:tr>
        <w:trPr>
          <w:trHeight w:val="203"/>
        </w:trPr>
        <w:tc>
          <w:tcPr>
            <w:tcW w:w="142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420" w:type="dxa"/>
            <w:vAlign w:val="bottom"/>
            <w:vMerge w:val="restart"/>
          </w:tcPr>
          <w:p>
            <w:pPr>
              <w:ind w:left="20"/>
              <w:spacing w:after="0"/>
              <w:rPr>
                <w:sz w:val="20"/>
                <w:szCs w:val="20"/>
                <w:color w:val="auto"/>
              </w:rPr>
            </w:pPr>
            <w:r>
              <w:rPr>
                <w:rFonts w:ascii="Arial" w:cs="Arial" w:eastAsia="Arial" w:hAnsi="Arial"/>
                <w:sz w:val="14"/>
                <w:szCs w:val="14"/>
                <w:color w:val="auto"/>
              </w:rPr>
              <w:t>Co-investments</w:t>
            </w:r>
          </w:p>
        </w:tc>
        <w:tc>
          <w:tcPr>
            <w:tcW w:w="940" w:type="dxa"/>
            <w:vAlign w:val="bottom"/>
            <w:vMerge w:val="restart"/>
          </w:tcPr>
          <w:p>
            <w:pPr>
              <w:jc w:val="center"/>
              <w:ind w:left="234"/>
              <w:spacing w:after="0"/>
              <w:rPr>
                <w:sz w:val="20"/>
                <w:szCs w:val="20"/>
                <w:color w:val="auto"/>
              </w:rPr>
            </w:pPr>
            <w:r>
              <w:rPr>
                <w:rFonts w:ascii="Arial" w:cs="Arial" w:eastAsia="Arial" w:hAnsi="Arial"/>
                <w:sz w:val="14"/>
                <w:szCs w:val="14"/>
                <w:color w:val="auto"/>
                <w:w w:val="90"/>
              </w:rPr>
              <w:t>21.0%</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0"/>
              </w:rPr>
              <w:t>1.7x</w:t>
            </w:r>
          </w:p>
        </w:tc>
        <w:tc>
          <w:tcPr>
            <w:tcW w:w="1840" w:type="dxa"/>
            <w:vAlign w:val="bottom"/>
          </w:tcPr>
          <w:p>
            <w:pPr>
              <w:ind w:left="20"/>
              <w:spacing w:after="0" w:line="129" w:lineRule="exact"/>
              <w:rPr>
                <w:sz w:val="20"/>
                <w:szCs w:val="20"/>
                <w:color w:val="auto"/>
              </w:rPr>
            </w:pPr>
            <w:r>
              <w:rPr>
                <w:rFonts w:ascii="Arial" w:cs="Arial" w:eastAsia="Arial" w:hAnsi="Arial"/>
                <w:sz w:val="14"/>
                <w:szCs w:val="14"/>
                <w:color w:val="auto"/>
              </w:rPr>
              <w:t>Real estate debt fund</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6.2%</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8"/>
              </w:rPr>
              <w:t>1.2x</w:t>
            </w:r>
          </w:p>
        </w:tc>
        <w:tc>
          <w:tcPr>
            <w:tcW w:w="100" w:type="dxa"/>
            <w:vAlign w:val="bottom"/>
          </w:tcPr>
          <w:p>
            <w:pPr>
              <w:spacing w:after="0"/>
              <w:rPr>
                <w:sz w:val="11"/>
                <w:szCs w:val="11"/>
                <w:color w:val="auto"/>
              </w:rPr>
            </w:pPr>
          </w:p>
        </w:tc>
        <w:tc>
          <w:tcPr>
            <w:tcW w:w="1880" w:type="dxa"/>
            <w:vAlign w:val="bottom"/>
            <w:vMerge w:val="restart"/>
          </w:tcPr>
          <w:p>
            <w:pPr>
              <w:ind w:left="20"/>
              <w:spacing w:after="0"/>
              <w:rPr>
                <w:sz w:val="20"/>
                <w:szCs w:val="20"/>
                <w:color w:val="auto"/>
              </w:rPr>
            </w:pPr>
            <w:r>
              <w:rPr>
                <w:rFonts w:ascii="Arial" w:cs="Arial" w:eastAsia="Arial" w:hAnsi="Arial"/>
                <w:sz w:val="14"/>
                <w:szCs w:val="14"/>
                <w:color w:val="auto"/>
              </w:rPr>
              <w:t>Co-investments</w:t>
            </w:r>
            <w:r>
              <w:rPr>
                <w:rFonts w:ascii="Arial" w:cs="Arial" w:eastAsia="Arial" w:hAnsi="Arial"/>
                <w:sz w:val="18"/>
                <w:szCs w:val="18"/>
                <w:color w:val="auto"/>
                <w:vertAlign w:val="superscript"/>
              </w:rPr>
              <w:t>(6)</w:t>
            </w:r>
          </w:p>
        </w:tc>
        <w:tc>
          <w:tcPr>
            <w:tcW w:w="520" w:type="dxa"/>
            <w:vAlign w:val="bottom"/>
            <w:vMerge w:val="restart"/>
          </w:tcPr>
          <w:p>
            <w:pPr>
              <w:jc w:val="center"/>
              <w:ind w:right="74"/>
              <w:spacing w:after="0"/>
              <w:rPr>
                <w:sz w:val="20"/>
                <w:szCs w:val="20"/>
                <w:color w:val="auto"/>
              </w:rPr>
            </w:pPr>
            <w:r>
              <w:rPr>
                <w:rFonts w:ascii="Arial" w:cs="Arial" w:eastAsia="Arial" w:hAnsi="Arial"/>
                <w:sz w:val="14"/>
                <w:szCs w:val="14"/>
                <w:color w:val="auto"/>
                <w:w w:val="93"/>
              </w:rPr>
              <w:t>9.5%</w:t>
            </w:r>
          </w:p>
        </w:tc>
        <w:tc>
          <w:tcPr>
            <w:tcW w:w="100" w:type="dxa"/>
            <w:vAlign w:val="bottom"/>
          </w:tcPr>
          <w:p>
            <w:pPr>
              <w:spacing w:after="0"/>
              <w:rPr>
                <w:sz w:val="11"/>
                <w:szCs w:val="11"/>
                <w:color w:val="auto"/>
              </w:rPr>
            </w:pPr>
          </w:p>
        </w:tc>
        <w:tc>
          <w:tcPr>
            <w:tcW w:w="1800" w:type="dxa"/>
            <w:vAlign w:val="bottom"/>
            <w:vMerge w:val="restart"/>
          </w:tcPr>
          <w:p>
            <w:pPr>
              <w:ind w:left="20"/>
              <w:spacing w:after="0"/>
              <w:rPr>
                <w:sz w:val="20"/>
                <w:szCs w:val="20"/>
                <w:color w:val="auto"/>
              </w:rPr>
            </w:pPr>
            <w:r>
              <w:rPr>
                <w:rFonts w:ascii="Arial" w:cs="Arial" w:eastAsia="Arial" w:hAnsi="Arial"/>
                <w:sz w:val="14"/>
                <w:szCs w:val="14"/>
                <w:color w:val="auto"/>
              </w:rPr>
              <w:t>Other (Gross)</w:t>
            </w:r>
            <w:r>
              <w:rPr>
                <w:rFonts w:ascii="Arial" w:cs="Arial" w:eastAsia="Arial" w:hAnsi="Arial"/>
                <w:sz w:val="18"/>
                <w:szCs w:val="18"/>
                <w:color w:val="auto"/>
                <w:vertAlign w:val="superscript"/>
              </w:rPr>
              <w:t>(8,9)</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7.2%</w:t>
            </w:r>
          </w:p>
        </w:tc>
        <w:tc>
          <w:tcPr>
            <w:tcW w:w="0" w:type="dxa"/>
            <w:vAlign w:val="bottom"/>
          </w:tcPr>
          <w:p>
            <w:pPr>
              <w:spacing w:after="0"/>
              <w:rPr>
                <w:sz w:val="1"/>
                <w:szCs w:val="1"/>
                <w:color w:val="auto"/>
              </w:rPr>
            </w:pPr>
          </w:p>
        </w:tc>
      </w:tr>
      <w:tr>
        <w:trPr>
          <w:trHeight w:val="203"/>
        </w:trPr>
        <w:tc>
          <w:tcPr>
            <w:tcW w:w="14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84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6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4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Value-add/opportunistic</w:t>
            </w:r>
          </w:p>
        </w:tc>
        <w:tc>
          <w:tcPr>
            <w:tcW w:w="6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16.4%</w:t>
            </w:r>
          </w:p>
        </w:tc>
        <w:tc>
          <w:tcPr>
            <w:tcW w:w="6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1.3x</w:t>
            </w:r>
          </w:p>
        </w:tc>
        <w:tc>
          <w:tcPr>
            <w:tcW w:w="100" w:type="dxa"/>
            <w:vAlign w:val="bottom"/>
            <w:tcBorders>
              <w:top w:val="single" w:sz="8" w:color="CCEEFF"/>
            </w:tcBorders>
            <w:shd w:val="clear" w:color="auto" w:fill="CCEEFF"/>
          </w:tcPr>
          <w:p>
            <w:pPr>
              <w:spacing w:after="0"/>
              <w:rPr>
                <w:sz w:val="11"/>
                <w:szCs w:val="11"/>
                <w:color w:val="auto"/>
              </w:rPr>
            </w:pPr>
          </w:p>
        </w:tc>
        <w:tc>
          <w:tcPr>
            <w:tcW w:w="18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Private debt gross track</w:t>
            </w:r>
          </w:p>
        </w:tc>
        <w:tc>
          <w:tcPr>
            <w:tcW w:w="6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7.7%</w:t>
            </w:r>
          </w:p>
        </w:tc>
        <w:tc>
          <w:tcPr>
            <w:tcW w:w="0" w:type="dxa"/>
            <w:vAlign w:val="bottom"/>
          </w:tcPr>
          <w:p>
            <w:pPr>
              <w:spacing w:after="0"/>
              <w:rPr>
                <w:sz w:val="1"/>
                <w:szCs w:val="1"/>
                <w:color w:val="auto"/>
              </w:rPr>
            </w:pPr>
          </w:p>
        </w:tc>
      </w:tr>
      <w:tr>
        <w:trPr>
          <w:trHeight w:val="196"/>
        </w:trPr>
        <w:tc>
          <w:tcPr>
            <w:tcW w:w="1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6"/>
              </w:rPr>
              <w:t>secondaries &amp; co-investments</w:t>
            </w: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record</w:t>
            </w:r>
            <w:r>
              <w:rPr>
                <w:rFonts w:ascii="Arial" w:cs="Arial" w:eastAsia="Arial" w:hAnsi="Arial"/>
                <w:sz w:val="9"/>
                <w:szCs w:val="9"/>
                <w:b w:val="1"/>
                <w:bCs w:val="1"/>
                <w:color w:val="auto"/>
              </w:rPr>
              <w:t>(8)</w:t>
            </w: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Private debt net track</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6.9%</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record</w:t>
            </w: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160" w:hanging="652"/>
        <w:spacing w:after="0" w:line="250" w:lineRule="auto"/>
        <w:tabs>
          <w:tab w:leader="none" w:pos="654"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Private Equity includes 1,411 investments totaling $145.5 billion of capital commitments and excludes (i) two advisory co-investments, totaling $100.0 million, (ii) all client-directed private equity investments (175 investments totaling $22.4 billion of capital commitments), and (iii) investments for which StepStone does not provide monitoring and reporting services to the client that made the investment, and (iv) Greenspring investments until the data integration is completed.</w:t>
      </w:r>
    </w:p>
    <w:p>
      <w:pPr>
        <w:spacing w:after="0" w:line="1" w:lineRule="exact"/>
        <w:rPr>
          <w:rFonts w:ascii="Arial" w:cs="Arial" w:eastAsia="Arial" w:hAnsi="Arial"/>
          <w:sz w:val="18"/>
          <w:szCs w:val="18"/>
          <w:color w:val="auto"/>
        </w:rPr>
      </w:pPr>
    </w:p>
    <w:p>
      <w:pPr>
        <w:ind w:left="660" w:right="180" w:hanging="652"/>
        <w:spacing w:after="0" w:line="250" w:lineRule="auto"/>
        <w:tabs>
          <w:tab w:leader="none" w:pos="654"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IRR and Net TVM are presented solely for illustrative purposes and do not represent actual returns received by any investor in any of the StepStone Funds represented above. No individual investor received the aggregate returns described herein as the investments were made across multiple mandates over multiple years. StepStone fees and expenses are based on the following assumptions (management fees represent an annual rate):</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Primaries: 25 basis points of net invested capital for management fee, applied quarterly.</w:t>
      </w:r>
    </w:p>
    <w:p>
      <w:pPr>
        <w:spacing w:after="0" w:line="9" w:lineRule="exact"/>
        <w:rPr>
          <w:rFonts w:ascii="Arial" w:cs="Arial" w:eastAsia="Arial" w:hAnsi="Arial"/>
          <w:sz w:val="18"/>
          <w:szCs w:val="18"/>
          <w:color w:val="auto"/>
        </w:rPr>
      </w:pPr>
    </w:p>
    <w:p>
      <w:pPr>
        <w:ind w:left="1300" w:right="520" w:hanging="644"/>
        <w:spacing w:after="0" w:line="250" w:lineRule="auto"/>
        <w:tabs>
          <w:tab w:leader="none" w:pos="1296" w:val="left"/>
        </w:tabs>
        <w:numPr>
          <w:ilvl w:val="1"/>
          <w:numId w:val="41"/>
        </w:numPr>
        <w:rPr>
          <w:rFonts w:ascii="Arial" w:cs="Arial" w:eastAsia="Arial" w:hAnsi="Arial"/>
          <w:sz w:val="18"/>
          <w:szCs w:val="18"/>
          <w:color w:val="auto"/>
        </w:rPr>
      </w:pPr>
      <w:r>
        <w:rPr>
          <w:rFonts w:ascii="Arial" w:cs="Arial" w:eastAsia="Arial" w:hAnsi="Arial"/>
          <w:sz w:val="18"/>
          <w:szCs w:val="18"/>
          <w:color w:val="auto"/>
        </w:rPr>
        <w:t>Secondaries: 125 basis points (60 basis points for Infrastructure) on capital commitments in years 1 through 4 for management fee, applied quarterly. In year 5, management fees step down to 90% of the previous year’s fee.</w:t>
      </w:r>
    </w:p>
    <w:p>
      <w:pPr>
        <w:ind w:left="1300" w:right="240" w:hanging="644"/>
        <w:spacing w:after="0" w:line="250" w:lineRule="auto"/>
        <w:tabs>
          <w:tab w:leader="none" w:pos="1292"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Co-investments: 100 basis points and 50 basis points for co-investments and direct asset management investments, respectively, on net committed capital for management fees, charged quarterly.</w:t>
      </w:r>
    </w:p>
    <w:p>
      <w:pPr>
        <w:ind w:left="1300" w:right="560" w:hanging="644"/>
        <w:spacing w:after="0" w:line="250" w:lineRule="auto"/>
        <w:tabs>
          <w:tab w:leader="none" w:pos="1284"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investment types assess 5 basis points of capital commitments for fund expenses, applied quarterly, and 1 basis point of capital commitments drawn down in the first cash flow quarter for organizational costs.</w:t>
      </w:r>
    </w:p>
    <w:p>
      <w:pPr>
        <w:jc w:val="both"/>
        <w:ind w:left="1300" w:right="300" w:hanging="644"/>
        <w:spacing w:after="0" w:line="255" w:lineRule="auto"/>
        <w:tabs>
          <w:tab w:leader="none" w:pos="1288" w:val="left"/>
        </w:tabs>
        <w:numPr>
          <w:ilvl w:val="1"/>
          <w:numId w:val="41"/>
        </w:numPr>
        <w:rPr>
          <w:rFonts w:ascii="Arial" w:cs="Arial" w:eastAsia="Arial" w:hAnsi="Arial"/>
          <w:sz w:val="18"/>
          <w:szCs w:val="18"/>
          <w:color w:val="auto"/>
        </w:rPr>
      </w:pPr>
      <w:r>
        <w:rPr>
          <w:rFonts w:ascii="Arial" w:cs="Arial" w:eastAsia="Arial" w:hAnsi="Arial"/>
          <w:sz w:val="18"/>
          <w:szCs w:val="18"/>
          <w:color w:val="auto"/>
        </w:rPr>
        <w:t>Private Equity and Infrastructure secondaries and co-investments include 12.5% and 10.0% of paid and unrealized carry, respectively, with an 8.0% preferred return hurdle. Real Estate secondaries and co-investments include 15.0% of paid and unrealized carry, with an 8.0% preferred return hurdle.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44" w:lineRule="exact"/>
        <w:rPr>
          <w:sz w:val="20"/>
          <w:szCs w:val="20"/>
          <w:color w:val="auto"/>
        </w:rPr>
      </w:pPr>
    </w:p>
    <w:p>
      <w:pPr>
        <w:ind w:left="660" w:right="180"/>
        <w:spacing w:after="0" w:line="284" w:lineRule="auto"/>
        <w:rPr>
          <w:sz w:val="20"/>
          <w:szCs w:val="20"/>
          <w:color w:val="auto"/>
        </w:rPr>
      </w:pPr>
      <w:r>
        <w:rPr>
          <w:rFonts w:ascii="Arial" w:cs="Arial" w:eastAsia="Arial" w:hAnsi="Arial"/>
          <w:sz w:val="16"/>
          <w:szCs w:val="16"/>
          <w:color w:val="auto"/>
        </w:rPr>
        <w:t>Net IRR and Net TVM for certain investments may have been impacted by StepStone’s or the underlying fund manager’s use of subscription backed credit facilities by such vehicles. Reinvested/recycled amounts increase contributed capital. Investment returns reflect NAV data for underlying investments as of June 30, 2022, as reported by underlying managers up to 100 days following June 30, 2022. For investment returns where NAV data is not available by 100 days following June 30, 2022, such NAVs are adjusted for cash activity following the last available reported NAV. Investment returns are calculated on a constant currency adjusted reporting basis converting non-USD investment cash flows and NAVs to USD using the foreign currency exchange rate corresponding to each client’s first cash flow date.</w:t>
      </w:r>
    </w:p>
    <w:p>
      <w:pPr>
        <w:spacing w:after="0" w:line="4" w:lineRule="exact"/>
        <w:rPr>
          <w:sz w:val="20"/>
          <w:szCs w:val="20"/>
          <w:color w:val="auto"/>
        </w:rPr>
      </w:pPr>
    </w:p>
    <w:p>
      <w:pPr>
        <w:ind w:left="660" w:right="40" w:hanging="652"/>
        <w:spacing w:after="0" w:line="250" w:lineRule="auto"/>
        <w:tabs>
          <w:tab w:leader="none" w:pos="6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Investments of former clients are included in performance summary past the client termination date until such time as StepStone stops receiving current investment data (quarterly valuations and cash flows) for the investment. At that point, StepStone will then ‘liquidate’ the fund by entering a distribution amount equal to the last reported NAV, thus ending its contribution to the track record as of that date. Historical performance contribution will be maintained up until the ‘liquidation’ date.</w:t>
      </w:r>
    </w:p>
    <w:p>
      <w:pPr>
        <w:spacing w:after="0" w:line="1" w:lineRule="exact"/>
        <w:rPr>
          <w:rFonts w:ascii="Arial" w:cs="Arial" w:eastAsia="Arial" w:hAnsi="Arial"/>
          <w:sz w:val="18"/>
          <w:szCs w:val="18"/>
          <w:color w:val="auto"/>
        </w:rPr>
      </w:pPr>
    </w:p>
    <w:p>
      <w:pPr>
        <w:ind w:left="660" w:right="140" w:hanging="652"/>
        <w:spacing w:after="0" w:line="250" w:lineRule="auto"/>
        <w:tabs>
          <w:tab w:leader="none" w:pos="6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Real Estate includes 452 investments totaling $70.0 billion of capital commitments and excludes (i) all client-directed real estate investments (66 investments totaling $10.4 billion of capital commitments), (ii) eight secondary/co-investment core/core+ or credit investments, totaling $589.7 million, (iii) four advisory fund investments totaling $463.6 million, and (iv) investments for which StepStone does not provide monitoring and reporting services to the client that made the investment. Includes the discretionary track record of Courtland Partners, Ltd., which StepStone acquired on April 1, 2018 (the “Courtland acquisition”).</w:t>
      </w:r>
    </w:p>
    <w:p>
      <w:pPr>
        <w:spacing w:after="0" w:line="1" w:lineRule="exact"/>
        <w:rPr>
          <w:rFonts w:ascii="Arial" w:cs="Arial" w:eastAsia="Arial" w:hAnsi="Arial"/>
          <w:sz w:val="18"/>
          <w:szCs w:val="18"/>
          <w:color w:val="auto"/>
        </w:rPr>
      </w:pPr>
    </w:p>
    <w:p>
      <w:pPr>
        <w:ind w:left="660" w:hanging="652"/>
        <w:spacing w:after="0" w:line="250" w:lineRule="auto"/>
        <w:tabs>
          <w:tab w:leader="none" w:pos="6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Infrastructure includes 196 investments totaling $40.7 billion of capital commitments and excludes (i) 11 infrastructure investments made by the Partnership prior to the formation of the Infrastructure subsidiary in 2013 or made prior to the Courtland acquisition totaling $501.9 million, (ii) all client-directed infrastructure investments (20 investments totaling $3.7 billion of capital commitments), and (iii) investments for which StepStone does not provide monitoring and reporting services to the client that made the investment.</w:t>
      </w:r>
    </w:p>
    <w:p>
      <w:pPr>
        <w:spacing w:after="0" w:line="1" w:lineRule="exact"/>
        <w:rPr>
          <w:rFonts w:ascii="Arial" w:cs="Arial" w:eastAsia="Arial" w:hAnsi="Arial"/>
          <w:sz w:val="18"/>
          <w:szCs w:val="18"/>
          <w:color w:val="auto"/>
        </w:rPr>
      </w:pPr>
    </w:p>
    <w:p>
      <w:pPr>
        <w:ind w:left="640" w:hanging="632"/>
        <w:spacing w:after="0" w:line="236"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asset management investments.</w:t>
      </w:r>
    </w:p>
    <w:p>
      <w:pPr>
        <w:ind w:left="660" w:right="120" w:hanging="652"/>
        <w:spacing w:after="0" w:line="263" w:lineRule="auto"/>
        <w:tabs>
          <w:tab w:leader="none" w:pos="654"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Private Debt includes 748 investments totaling $39.1 billion of capital commitments and excludes (i) all client-directed debt investments (26 client-directed investments, totaling $2.0 billion of capital commitments), and (ii)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 IRR is presented solely for illustrative purposes and does not represent actual returns received by any investor in any of the StepStone Funds represented above. No individual investor received the aggregate returns described herein as the investments were made across multiple mandates over multiple years. StepStone fees and expenses are based on the following assumptions (management fees represent an annual rate): Private Debt fund investments include 65 basis points on the quarterly NAV for management fee. Net IRR for certain investments may have been impacted by StepStone’s or the underlying fund manager’s use of subscription backed credit facilities by such vehicles. Reinvested/recycled amounts increase contributed capital. Investment returns reflect NAV data for underlying investments as of June 30, 2022, as reported by underlying managers up to 100 days following June 30, 2022. For investment returns where NAV data is not available by 100 days following June 30, 2022, such NAVs are adjusted for cash activity following the last available reported NAV.</w:t>
      </w:r>
    </w:p>
    <w:p>
      <w:pPr>
        <w:spacing w:after="0" w:line="8" w:lineRule="exact"/>
        <w:rPr>
          <w:rFonts w:ascii="Arial" w:cs="Arial" w:eastAsia="Arial" w:hAnsi="Arial"/>
          <w:sz w:val="16"/>
          <w:szCs w:val="16"/>
          <w:color w:val="auto"/>
        </w:rPr>
      </w:pPr>
    </w:p>
    <w:p>
      <w:pPr>
        <w:ind w:left="660" w:right="600" w:hanging="652"/>
        <w:spacing w:after="0" w:line="250" w:lineRule="auto"/>
        <w:tabs>
          <w:tab w:leader="none" w:pos="6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Subset performance is presented net of fees and expenses charged by the underlying fund manager only (performance results do not reflect StepStone fees and expenses).</w:t>
      </w:r>
    </w:p>
    <w:p>
      <w:pPr>
        <w:ind w:left="660" w:right="220" w:hanging="652"/>
        <w:spacing w:after="0" w:line="260" w:lineRule="auto"/>
        <w:tabs>
          <w:tab w:leader="none" w:pos="6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includes mezzanine debt, collateralized loan obligations, private performing debt, senior/enhanced senior debt, leasing, regulatory capital, trade finance, intellectual property/royalty, multi-strategy debt, real estate debt and infrastructure debt.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Sources and Uses of Liquidity</w:t>
      </w:r>
    </w:p>
    <w:p>
      <w:pPr>
        <w:spacing w:after="0" w:line="222" w:lineRule="exact"/>
        <w:rPr>
          <w:sz w:val="20"/>
          <w:szCs w:val="20"/>
          <w:color w:val="auto"/>
        </w:rPr>
      </w:pPr>
    </w:p>
    <w:p>
      <w:pPr>
        <w:ind w:right="160" w:firstLine="648"/>
        <w:spacing w:after="0" w:line="255" w:lineRule="auto"/>
        <w:rPr>
          <w:sz w:val="20"/>
          <w:szCs w:val="20"/>
          <w:color w:val="auto"/>
        </w:rPr>
      </w:pPr>
      <w:r>
        <w:rPr>
          <w:rFonts w:ascii="Arial" w:cs="Arial" w:eastAsia="Arial" w:hAnsi="Arial"/>
          <w:sz w:val="20"/>
          <w:szCs w:val="20"/>
          <w:color w:val="auto"/>
        </w:rPr>
        <w:t>We generate cash primarily from management and advisory fees and realized carried interest allocations. We have historically managed our liquidity and capital resource needs through (a) cash generated from our operating activities, (b) realizations from investment activities, (c) borrowings, interest payments and repayments under credit agreements and other borrowing arrangements, (d) funding capital commitments to our funds, and (e) funding our growth initiatives, including capital expenditures and acquisitions to expand into new businesses.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41" w:lineRule="exact"/>
        <w:rPr>
          <w:sz w:val="20"/>
          <w:szCs w:val="20"/>
          <w:color w:val="auto"/>
        </w:rPr>
      </w:pPr>
    </w:p>
    <w:p>
      <w:pPr>
        <w:jc w:val="both"/>
        <w:ind w:right="180" w:firstLine="648"/>
        <w:spacing w:after="0" w:line="257" w:lineRule="auto"/>
        <w:rPr>
          <w:sz w:val="20"/>
          <w:szCs w:val="20"/>
          <w:color w:val="auto"/>
        </w:rPr>
      </w:pPr>
      <w:r>
        <w:rPr>
          <w:rFonts w:ascii="Arial" w:cs="Arial" w:eastAsia="Arial" w:hAnsi="Arial"/>
          <w:sz w:val="20"/>
          <w:szCs w:val="20"/>
          <w:color w:val="auto"/>
        </w:rPr>
        <w:t>As of September 30, 2022, we had $144.5 million of cash, cash equivalents and restricted cash and $1,296.3 million of investments in StepStone Funds, including $1,189.3 million of accrued carried interest allocations, against $63.1 million in debt obligations, net of debt issuance costs, and $625.4 million in accrued carried interest-related compensation payable.</w:t>
      </w:r>
    </w:p>
    <w:p>
      <w:pPr>
        <w:spacing w:after="0" w:line="193" w:lineRule="exact"/>
        <w:rPr>
          <w:sz w:val="20"/>
          <w:szCs w:val="20"/>
          <w:color w:val="auto"/>
        </w:rPr>
      </w:pPr>
    </w:p>
    <w:p>
      <w:pPr>
        <w:ind w:right="80" w:firstLine="648"/>
        <w:spacing w:after="0" w:line="267" w:lineRule="auto"/>
        <w:rPr>
          <w:sz w:val="20"/>
          <w:szCs w:val="20"/>
          <w:color w:val="auto"/>
        </w:rPr>
      </w:pPr>
      <w:r>
        <w:rPr>
          <w:rFonts w:ascii="Arial" w:cs="Arial" w:eastAsia="Arial" w:hAnsi="Arial"/>
          <w:sz w:val="19"/>
          <w:szCs w:val="19"/>
          <w:color w:val="auto"/>
        </w:rPr>
        <w:t>Ongoing sources of cash include (a) management and advisory fees, which are collected monthly or quarterly, (b) carried interest allocations and incentive fees, which are volatile and largely unpredictable as to amount and timing; and (c) distributions from our investments in the StepStone Funds. We use cash flow from operations and distributions from our investments in the StepStone Funds to pay compensation and related expenses, general and administrative expenses, income taxes, debt service, capital expenditures, dividends to our stockholders and distributions to holders of Partnership units, and to make investments in the StepStone Funds. We believe we will have sufficient cash to meet our obligations for the next 12 months.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Cash Flows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our cash flows attributable to operating, investing and financing activities: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3"/>
              </w:rPr>
              <w:t>Six Months Ended September 30,</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135,500</w:t>
            </w: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(17,312)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(189,997)</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46,471</w:t>
            </w:r>
          </w:p>
        </w:tc>
      </w:tr>
      <w:tr>
        <w:trPr>
          <w:trHeight w:val="229"/>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48"/>
        </w:trPr>
        <w:tc>
          <w:tcPr>
            <w:tcW w:w="7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Operating Activities</w:t>
      </w:r>
    </w:p>
    <w:p>
      <w:pPr>
        <w:spacing w:after="0" w:line="229" w:lineRule="exact"/>
        <w:rPr>
          <w:sz w:val="20"/>
          <w:szCs w:val="20"/>
          <w:color w:val="auto"/>
        </w:rPr>
      </w:pPr>
    </w:p>
    <w:p>
      <w:pPr>
        <w:ind w:right="420" w:firstLine="648"/>
        <w:spacing w:after="0" w:line="316" w:lineRule="auto"/>
        <w:rPr>
          <w:sz w:val="20"/>
          <w:szCs w:val="20"/>
          <w:color w:val="auto"/>
        </w:rPr>
      </w:pPr>
      <w:r>
        <w:rPr>
          <w:rFonts w:ascii="Arial" w:cs="Arial" w:eastAsia="Arial" w:hAnsi="Arial"/>
          <w:sz w:val="18"/>
          <w:szCs w:val="18"/>
          <w:color w:val="auto"/>
        </w:rPr>
        <w:t>Operating activities provided $145.7 million and $135.5 million of cash for the six months ended September 30, 2022 and 2021, respectively. For the six months ended September 30, 2022 and 2021, respectively, these amounts primarily consisted of the following:</w:t>
      </w:r>
    </w:p>
    <w:p>
      <w:pPr>
        <w:spacing w:after="0" w:line="143" w:lineRule="exact"/>
        <w:rPr>
          <w:sz w:val="20"/>
          <w:szCs w:val="20"/>
          <w:color w:val="auto"/>
        </w:rPr>
      </w:pPr>
    </w:p>
    <w:p>
      <w:pPr>
        <w:jc w:val="both"/>
        <w:ind w:left="980" w:right="60" w:hanging="324"/>
        <w:spacing w:after="0" w:line="257" w:lineRule="auto"/>
        <w:tabs>
          <w:tab w:leader="none" w:pos="968" w:val="left"/>
        </w:tabs>
        <w:numPr>
          <w:ilvl w:val="0"/>
          <w:numId w:val="43"/>
        </w:numPr>
        <w:rPr>
          <w:rFonts w:ascii="Arial" w:cs="Arial" w:eastAsia="Arial" w:hAnsi="Arial"/>
          <w:sz w:val="20"/>
          <w:szCs w:val="20"/>
          <w:color w:val="auto"/>
        </w:rPr>
      </w:pPr>
      <w:r>
        <w:rPr>
          <w:rFonts w:ascii="Arial" w:cs="Arial" w:eastAsia="Arial" w:hAnsi="Arial"/>
          <w:sz w:val="20"/>
          <w:szCs w:val="20"/>
          <w:color w:val="auto"/>
        </w:rPr>
        <w:t>net income (loss), after adjustments for non-cash items (including unrealized carried interest allocations, unrealized performance fee-related compensation, unrealized investment income and acquisition-related contingent consideration), of $120.8 million and $93.9 million; and</w:t>
      </w:r>
    </w:p>
    <w:p>
      <w:pPr>
        <w:spacing w:after="0" w:line="192" w:lineRule="exact"/>
        <w:rPr>
          <w:rFonts w:ascii="Arial" w:cs="Arial" w:eastAsia="Arial" w:hAnsi="Arial"/>
          <w:sz w:val="20"/>
          <w:szCs w:val="20"/>
          <w:color w:val="auto"/>
        </w:rPr>
      </w:pPr>
    </w:p>
    <w:p>
      <w:pPr>
        <w:ind w:left="960" w:hanging="304"/>
        <w:spacing w:after="0"/>
        <w:tabs>
          <w:tab w:leader="none" w:pos="9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net change in operating assets and liabilities of $24.9 million and $41.6 million.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Investing Activities</w:t>
      </w:r>
    </w:p>
    <w:p>
      <w:pPr>
        <w:spacing w:after="0" w:line="229" w:lineRule="exact"/>
        <w:rPr>
          <w:sz w:val="20"/>
          <w:szCs w:val="20"/>
          <w:color w:val="auto"/>
        </w:rPr>
      </w:pPr>
    </w:p>
    <w:p>
      <w:pPr>
        <w:ind w:right="920" w:firstLine="648"/>
        <w:spacing w:after="0" w:line="274" w:lineRule="auto"/>
        <w:rPr>
          <w:sz w:val="20"/>
          <w:szCs w:val="20"/>
          <w:color w:val="auto"/>
        </w:rPr>
      </w:pPr>
      <w:r>
        <w:rPr>
          <w:rFonts w:ascii="Arial" w:cs="Arial" w:eastAsia="Arial" w:hAnsi="Arial"/>
          <w:sz w:val="20"/>
          <w:szCs w:val="20"/>
          <w:color w:val="auto"/>
        </w:rPr>
        <w:t>Investing activities used $17.3 million and $190.0 million of cash for the six months ended September 30, 2022 and 2021, respectively, and primarily consisted of the following amounts:</w:t>
      </w:r>
    </w:p>
    <w:p>
      <w:pPr>
        <w:spacing w:after="0" w:line="163" w:lineRule="exact"/>
        <w:rPr>
          <w:sz w:val="20"/>
          <w:szCs w:val="20"/>
          <w:color w:val="auto"/>
        </w:rPr>
      </w:pPr>
    </w:p>
    <w:p>
      <w:pPr>
        <w:ind w:left="960" w:hanging="304"/>
        <w:spacing w:after="0"/>
        <w:tabs>
          <w:tab w:leader="none" w:pos="9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net contributions to investments of $8.9 million and $7.2 million;</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net contributions to investments in legacy Greenspring entities of $6.3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purchases of fixed assets of $2.1 million and $1.3 million; and</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cash payments for acquisitions, net of cash acquired, of $0 million and $181.5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Financing Activities</w:t>
      </w:r>
    </w:p>
    <w:p>
      <w:pPr>
        <w:spacing w:after="0" w:line="229"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Financing activities provided (used) $(102.8) million and $46.5 million of cash for the six months ended September 30, 2022 and 2021, respectively, and primarily consisted of the following:</w:t>
      </w:r>
    </w:p>
    <w:p>
      <w:pPr>
        <w:spacing w:after="0" w:line="190" w:lineRule="exact"/>
        <w:rPr>
          <w:sz w:val="20"/>
          <w:szCs w:val="20"/>
          <w:color w:val="auto"/>
        </w:rPr>
      </w:pPr>
    </w:p>
    <w:p>
      <w:pPr>
        <w:ind w:left="960" w:hanging="304"/>
        <w:spacing w:after="0"/>
        <w:tabs>
          <w:tab w:leader="none" w:pos="9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net borrowings on revolving credit facility of $0 million and $112.6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purchase of non-controlling interests of $0 million and $3.0 million;</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payment of deferred offering costs of $0 million and $1.1 million;</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distributions to non-controlling interests of $73.8 million and $55.8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proceeds from capital contributions to legacy Greenspring entities of $8.8 million and $0 million;</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distributions to non-controlling interests in legacy Greenspring entities of $5.9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dividends paid to common stockholders of $24.5 million and $5.6 million;</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payments for employee taxes related to the net settlement of RSUs of $2.7 million and $0 million; and</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payments to related parties under the Tax Receivable Agreements of $4.8 million and $0.6 million.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Revolving Credit Facility</w:t>
      </w:r>
    </w:p>
    <w:p>
      <w:pPr>
        <w:spacing w:after="0" w:line="235"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In September 2021, we entered into the Credit Agreement in connection with the Greenspring acquisition. The Credit Agreement was arranged by JPMorgan Chase Bank, N.A., as administrative agent, and provides for a $225.0 million multicurrency Revolver with a five-year maturity. As of September 30, 2022, we had $63.1 million outstanding on the Revolver, net of debt issuance costs.</w:t>
      </w:r>
    </w:p>
    <w:p>
      <w:pPr>
        <w:spacing w:after="0" w:line="158" w:lineRule="exact"/>
        <w:rPr>
          <w:sz w:val="20"/>
          <w:szCs w:val="20"/>
          <w:color w:val="auto"/>
        </w:rPr>
      </w:pPr>
    </w:p>
    <w:p>
      <w:pPr>
        <w:ind w:right="20" w:firstLine="648"/>
        <w:spacing w:after="0" w:line="263" w:lineRule="auto"/>
        <w:rPr>
          <w:sz w:val="20"/>
          <w:szCs w:val="20"/>
          <w:color w:val="auto"/>
        </w:rPr>
      </w:pPr>
      <w:r>
        <w:rPr>
          <w:rFonts w:ascii="Arial" w:cs="Arial" w:eastAsia="Arial" w:hAnsi="Arial"/>
          <w:sz w:val="19"/>
          <w:szCs w:val="19"/>
          <w:color w:val="auto"/>
        </w:rPr>
        <w:t>Borrowings under the Revolver bear interest at a variable rate per annum. We may designate each borrowing as (i) in the case of any borrowing in U.S. dollars, a base rate loan or a LIBOR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LIBOR, multiplied by the Statutory Reserve Rate (as defined in the Credit Agreement), plus 1.00%, (ii) in the case of a LIBOR rate loan, the LIBOR rate multiplied by the Statutory Reserve Rate plus 2.00%, (iii) in the case of a EURIBOR rate loan, the EURIBOR rate multiplied by the Statutory Reserve Rate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The interest rate in effect for the Revolver as of September 30, 2022 was 5.13%.</w:t>
      </w:r>
    </w:p>
    <w:p>
      <w:pPr>
        <w:spacing w:after="0" w:line="19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9"/>
          <w:szCs w:val="19"/>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September 20, 2026.</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41" w:lineRule="exact"/>
        <w:rPr>
          <w:sz w:val="20"/>
          <w:szCs w:val="20"/>
          <w:color w:val="auto"/>
        </w:rPr>
      </w:pPr>
    </w:p>
    <w:p>
      <w:pPr>
        <w:ind w:right="100" w:firstLine="648"/>
        <w:spacing w:after="0" w:line="301" w:lineRule="auto"/>
        <w:rPr>
          <w:sz w:val="20"/>
          <w:szCs w:val="20"/>
          <w:color w:val="auto"/>
        </w:rPr>
      </w:pPr>
      <w:r>
        <w:rPr>
          <w:rFonts w:ascii="Arial" w:cs="Arial" w:eastAsia="Arial" w:hAnsi="Arial"/>
          <w:sz w:val="19"/>
          <w:szCs w:val="19"/>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40" w:lineRule="exact"/>
        <w:rPr>
          <w:sz w:val="20"/>
          <w:szCs w:val="20"/>
          <w:color w:val="auto"/>
        </w:rPr>
      </w:pPr>
    </w:p>
    <w:p>
      <w:pPr>
        <w:ind w:firstLine="648"/>
        <w:spacing w:after="0" w:line="267" w:lineRule="auto"/>
        <w:rPr>
          <w:sz w:val="20"/>
          <w:szCs w:val="20"/>
          <w:color w:val="auto"/>
        </w:rPr>
      </w:pPr>
      <w:r>
        <w:rPr>
          <w:rFonts w:ascii="Arial" w:cs="Arial" w:eastAsia="Arial" w:hAnsi="Arial"/>
          <w:sz w:val="19"/>
          <w:szCs w:val="19"/>
          <w:color w:val="auto"/>
        </w:rPr>
        <w:t>Under the terms of the Credit Agreement, certain of our assets serve as pledged collateral. In addition, the Credit Agreement contains covenants that, among other things: limit our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us to maintain a total net leverage ratio, and a minimum total of fee-earning assets under management. As of September 30, 2022, we were in compliance with the total net leverage ratio and minimum fee-earning assets under management covenants.</w:t>
      </w:r>
    </w:p>
    <w:p>
      <w:pPr>
        <w:spacing w:after="0" w:line="189" w:lineRule="exact"/>
        <w:rPr>
          <w:sz w:val="20"/>
          <w:szCs w:val="20"/>
          <w:color w:val="auto"/>
        </w:rPr>
      </w:pPr>
    </w:p>
    <w:p>
      <w:pPr>
        <w:ind w:right="20" w:firstLine="648"/>
        <w:spacing w:after="0" w:line="257" w:lineRule="auto"/>
        <w:rPr>
          <w:sz w:val="20"/>
          <w:szCs w:val="20"/>
          <w:color w:val="auto"/>
        </w:rPr>
      </w:pPr>
      <w:r>
        <w:rPr>
          <w:rFonts w:ascii="Arial" w:cs="Arial" w:eastAsia="Arial" w:hAnsi="Arial"/>
          <w:sz w:val="20"/>
          <w:szCs w:val="20"/>
          <w:color w:val="auto"/>
        </w:rPr>
        <w:t>We can use available funding capacity under the Revolver to satisfy letters of credit in amounts up to $10.0 million. Amounts used to satisfy the letters of credit reduce the available capacity under the Revolver. As of September 30, 2022, we had outstanding letters of credit totaling $2.6 million.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 Transactions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June 2022, we issued 257,776 shares of Class A common stock to certain limited partners of the Partnership in exchange for</w:t>
      </w:r>
    </w:p>
    <w:p>
      <w:pPr>
        <w:spacing w:after="0" w:line="43"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color w:val="auto"/>
        </w:rPr>
        <w:t>257,776 Class B units. A corresponding number of shares of Class B common stock were automatically redeemed at par value and canceled in connection with such exchange and a corresponding number of Class A units of the Partnership were issued to us.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September 2022, we issued 175,000 shares of Class A common stock to certain limited partners of the Partnership in exchange for</w:t>
      </w:r>
    </w:p>
    <w:p>
      <w:pPr>
        <w:spacing w:after="0" w:line="66"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color w:val="auto"/>
        </w:rPr>
        <w:t>175,000 Class B units. A corresponding number of shares of Class B common stock were automatically redeemed at par value and canceled in connection with such exchange and a corresponding number of Class A units of the Partnership were issued to us.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Future Sources and Uses of Liquidity</w:t>
      </w:r>
    </w:p>
    <w:p>
      <w:pPr>
        <w:spacing w:after="0" w:line="222" w:lineRule="exact"/>
        <w:rPr>
          <w:sz w:val="20"/>
          <w:szCs w:val="20"/>
          <w:color w:val="auto"/>
        </w:rPr>
      </w:pPr>
    </w:p>
    <w:p>
      <w:pPr>
        <w:ind w:right="40" w:firstLine="648"/>
        <w:spacing w:after="0" w:line="257" w:lineRule="auto"/>
        <w:rPr>
          <w:sz w:val="20"/>
          <w:szCs w:val="20"/>
          <w:color w:val="auto"/>
        </w:rPr>
      </w:pPr>
      <w:r>
        <w:rPr>
          <w:rFonts w:ascii="Arial" w:cs="Arial" w:eastAsia="Arial" w:hAnsi="Arial"/>
          <w:sz w:val="20"/>
          <w:szCs w:val="20"/>
          <w:color w:val="auto"/>
        </w:rPr>
        <w:t>In the future, we may issue additional equity or debt with the objective of increasing our available capital. We believe that we will be able to continue to meet our current and long-term liquidity and capital requirements through our cash flows from operating activities, existing cash and cash equivalents, and our ability to obtain future financing.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Dividend and Distribution Policy</w:t>
      </w:r>
    </w:p>
    <w:p>
      <w:pPr>
        <w:spacing w:after="0" w:line="229"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On November 3 2022, we announced a dividend of $0.20 per share of Class A common stock, payable on December 15, 2022 to holders of record at the close of business on November 30, 2022.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regarding cash quarterly dividends on Class A common shares for the periods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Quarterly Fiscal Period</w:t>
            </w:r>
            <w:r>
              <w:rPr>
                <w:rFonts w:ascii="Arial" w:cs="Arial" w:eastAsia="Arial" w:hAnsi="Arial"/>
                <w:sz w:val="23"/>
                <w:szCs w:val="23"/>
                <w:b w:val="1"/>
                <w:bCs w:val="1"/>
                <w:color w:val="auto"/>
                <w:w w:val="91"/>
                <w:vertAlign w:val="superscript"/>
              </w:rPr>
              <w:t>1</w:t>
            </w:r>
          </w:p>
        </w:tc>
        <w:tc>
          <w:tcPr>
            <w:tcW w:w="3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Dividend Payment Date</w:t>
            </w:r>
          </w:p>
        </w:tc>
        <w:tc>
          <w:tcPr>
            <w:tcW w:w="3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Dividend Per Share of Class A Common Stock</w:t>
            </w:r>
          </w:p>
        </w:tc>
      </w:tr>
      <w:tr>
        <w:trPr>
          <w:trHeight w:val="223"/>
        </w:trPr>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First quarter</w:t>
            </w:r>
          </w:p>
        </w:tc>
        <w:tc>
          <w:tcPr>
            <w:tcW w:w="140" w:type="dxa"/>
            <w:vAlign w:val="bottom"/>
            <w:tcBorders>
              <w:top w:val="single" w:sz="8" w:color="CCEEFF"/>
            </w:tcBorders>
            <w:shd w:val="clear" w:color="auto" w:fill="CCEEFF"/>
          </w:tcPr>
          <w:p>
            <w:pPr>
              <w:spacing w:after="0"/>
              <w:rPr>
                <w:sz w:val="19"/>
                <w:szCs w:val="19"/>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July 15, 2021</w:t>
            </w:r>
          </w:p>
        </w:tc>
        <w:tc>
          <w:tcPr>
            <w:tcW w:w="14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ind w:right="149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29"/>
        </w:trPr>
        <w:tc>
          <w:tcPr>
            <w:tcW w:w="37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Second quarter</w:t>
            </w:r>
          </w:p>
        </w:tc>
        <w:tc>
          <w:tcPr>
            <w:tcW w:w="37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September 15, 2021</w:t>
            </w:r>
          </w:p>
        </w:tc>
        <w:tc>
          <w:tcPr>
            <w:tcW w:w="16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30"/>
        </w:trPr>
        <w:tc>
          <w:tcPr>
            <w:tcW w:w="3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Third quarter</w:t>
            </w:r>
          </w:p>
        </w:tc>
        <w:tc>
          <w:tcPr>
            <w:tcW w:w="3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December 15, 2021</w:t>
            </w:r>
          </w:p>
        </w:tc>
        <w:tc>
          <w:tcPr>
            <w:tcW w:w="16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29"/>
        </w:trPr>
        <w:tc>
          <w:tcPr>
            <w:tcW w:w="378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91"/>
              </w:rPr>
              <w:t>Fourth quarter</w:t>
            </w:r>
          </w:p>
        </w:tc>
        <w:tc>
          <w:tcPr>
            <w:tcW w:w="378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8"/>
                <w:szCs w:val="18"/>
                <w:color w:val="auto"/>
                <w:w w:val="91"/>
              </w:rPr>
              <w:t>March 15, 2022</w:t>
            </w:r>
          </w:p>
        </w:tc>
        <w:tc>
          <w:tcPr>
            <w:tcW w:w="16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r>
      <w:tr>
        <w:trPr>
          <w:trHeight w:val="248"/>
        </w:trPr>
        <w:tc>
          <w:tcPr>
            <w:tcW w:w="3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Total dividends paid in FY2022</w:t>
            </w:r>
          </w:p>
        </w:tc>
        <w:tc>
          <w:tcPr>
            <w:tcW w:w="3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49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29"/>
        </w:trPr>
        <w:tc>
          <w:tcPr>
            <w:tcW w:w="3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First quarter</w:t>
            </w:r>
          </w:p>
        </w:tc>
        <w:tc>
          <w:tcPr>
            <w:tcW w:w="3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June 30, 2022</w:t>
            </w:r>
          </w:p>
        </w:tc>
        <w:tc>
          <w:tcPr>
            <w:tcW w:w="168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30"/>
        </w:trPr>
        <w:tc>
          <w:tcPr>
            <w:tcW w:w="378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87"/>
              </w:rPr>
              <w:t>Second quarter</w:t>
            </w:r>
          </w:p>
        </w:tc>
        <w:tc>
          <w:tcPr>
            <w:tcW w:w="378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88"/>
              </w:rPr>
              <w:t>September 15, 2022</w:t>
            </w:r>
          </w:p>
        </w:tc>
        <w:tc>
          <w:tcPr>
            <w:tcW w:w="16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r>
      <w:tr>
        <w:trPr>
          <w:trHeight w:val="248"/>
        </w:trPr>
        <w:tc>
          <w:tcPr>
            <w:tcW w:w="3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Total dividends paid in FY2023</w:t>
            </w:r>
          </w:p>
        </w:tc>
        <w:tc>
          <w:tcPr>
            <w:tcW w:w="3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49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Dividends paid, as reported in this table, relate to the preceding quarterly period in which they were earned.</w:t>
      </w:r>
    </w:p>
    <w:p>
      <w:pPr>
        <w:spacing w:after="0" w:line="208" w:lineRule="exact"/>
        <w:rPr>
          <w:sz w:val="20"/>
          <w:szCs w:val="20"/>
          <w:color w:val="auto"/>
        </w:rPr>
      </w:pPr>
    </w:p>
    <w:p>
      <w:pPr>
        <w:ind w:right="80" w:firstLine="648"/>
        <w:spacing w:after="0" w:line="236" w:lineRule="auto"/>
        <w:rPr>
          <w:sz w:val="20"/>
          <w:szCs w:val="20"/>
          <w:color w:val="auto"/>
        </w:rPr>
      </w:pPr>
      <w:r>
        <w:rPr>
          <w:rFonts w:ascii="Arial" w:cs="Arial" w:eastAsia="Arial" w:hAnsi="Arial"/>
          <w:sz w:val="20"/>
          <w:szCs w:val="20"/>
          <w:color w:val="auto"/>
        </w:rPr>
        <w:t>We may pay additional dividends to holders of our Class A common stock in the future. The declaration and payment by us of any future dividends to Class A stockholders is at the sole discretion of our board of directors. Subject to funds being legally available, we will cause the Partnership to make pro rata distributions to its limited partners, including us, in amounts sufficient to make payment of applicable income and other taxes, to make payments under the Tax Receivable Agreements, and to make payment for corporate and other general expenses. Because our board of directors may determine to pay or not pay dividends to our Class A stockholders, our Class A stockholders may not necessarily receive dividend distributions relating to our excess distributions, even if the Partnership makes excess distributions to us.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Tax Receivable Agreements</w:t>
      </w:r>
    </w:p>
    <w:p>
      <w:pPr>
        <w:spacing w:after="0" w:line="229"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We have entered into an Exchanges Tax Receivable Agreement with the Class B limited partners and Class C limited partners, and a Reorganization Tax Receivable Agreement with certain pre-IPO institutional investors (collectively, the “Tax Receivable Agreements”). The Tax Receivable Agreements provide for payment by SSG to these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Off-Balance Sheet Arrangements</w:t>
      </w:r>
    </w:p>
    <w:p>
      <w:pPr>
        <w:spacing w:after="0" w:line="222" w:lineRule="exact"/>
        <w:rPr>
          <w:sz w:val="20"/>
          <w:szCs w:val="20"/>
          <w:color w:val="auto"/>
        </w:rPr>
      </w:pPr>
    </w:p>
    <w:p>
      <w:pPr>
        <w:ind w:right="340" w:firstLine="648"/>
        <w:spacing w:after="0" w:line="255" w:lineRule="auto"/>
        <w:rPr>
          <w:sz w:val="20"/>
          <w:szCs w:val="20"/>
          <w:color w:val="auto"/>
        </w:rPr>
      </w:pPr>
      <w:r>
        <w:rPr>
          <w:rFonts w:ascii="Arial" w:cs="Arial" w:eastAsia="Arial" w:hAnsi="Arial"/>
          <w:sz w:val="20"/>
          <w:szCs w:val="20"/>
          <w:color w:val="auto"/>
        </w:rPr>
        <w:t>We do not have any off-balance sheet arrangements that would expose us to any liability or require us to fund losses or guarantee target returns to clients in our funds that are not reflected in our condensed consolidated financial statements. See notes 4 and 15, respectively, to our condensed consolidated financial statements included elsewhere in this quarterly report for information on variable interest entities and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Critical Accounting Estimates</w:t>
      </w:r>
    </w:p>
    <w:p>
      <w:pPr>
        <w:spacing w:after="0" w:line="235"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We prepare our condensed consolidated financial statements in accordance with GAAP. In applying many of these accounting principles, we need to make assumptions, estimates and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and judgments, however, are both subjective and subject to change, and actual amounts may differ from our assumptions and estimates. If actual amounts are ultimately different from our estimates, the revisions are included in our results of operations for the period in which the actual amounts become known.</w:t>
      </w:r>
    </w:p>
    <w:p>
      <w:pPr>
        <w:spacing w:after="0" w:line="159" w:lineRule="exact"/>
        <w:rPr>
          <w:sz w:val="20"/>
          <w:szCs w:val="20"/>
          <w:color w:val="auto"/>
        </w:rPr>
      </w:pPr>
    </w:p>
    <w:p>
      <w:pPr>
        <w:ind w:right="100" w:firstLine="648"/>
        <w:spacing w:after="0" w:line="403" w:lineRule="auto"/>
        <w:rPr>
          <w:sz w:val="20"/>
          <w:szCs w:val="20"/>
          <w:color w:val="auto"/>
        </w:rPr>
      </w:pPr>
      <w:r>
        <w:rPr>
          <w:rFonts w:ascii="Arial" w:cs="Arial" w:eastAsia="Arial" w:hAnsi="Arial"/>
          <w:sz w:val="16"/>
          <w:szCs w:val="16"/>
          <w:color w:val="auto"/>
        </w:rPr>
        <w:t>See note 2 to our condensed consolidated financial statements included elsewhere in this quarterly report, and note 2 to our audited consolidated financial statements in our Form 10-K for the year ended March 31, 2022 for a summary of our significant accounting policies.</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Recent Accounting Developments</w:t>
      </w:r>
    </w:p>
    <w:p>
      <w:pPr>
        <w:spacing w:after="0" w:line="235" w:lineRule="exact"/>
        <w:rPr>
          <w:sz w:val="20"/>
          <w:szCs w:val="20"/>
          <w:color w:val="auto"/>
        </w:rPr>
      </w:pPr>
    </w:p>
    <w:p>
      <w:pPr>
        <w:ind w:right="200" w:firstLine="648"/>
        <w:spacing w:after="0" w:line="274" w:lineRule="auto"/>
        <w:rPr>
          <w:sz w:val="20"/>
          <w:szCs w:val="20"/>
          <w:color w:val="auto"/>
        </w:rPr>
      </w:pPr>
      <w:r>
        <w:rPr>
          <w:rFonts w:ascii="Arial" w:cs="Arial" w:eastAsia="Arial" w:hAnsi="Arial"/>
          <w:sz w:val="20"/>
          <w:szCs w:val="20"/>
          <w:color w:val="auto"/>
        </w:rPr>
        <w:t>Information regarding recent accounting developments and their effects to us can be found in note 2 to our condensed consolidated financial statements included elsewhere in this quarterly report.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ind w:right="160" w:firstLine="648"/>
        <w:spacing w:after="0" w:line="268" w:lineRule="auto"/>
        <w:rPr>
          <w:sz w:val="20"/>
          <w:szCs w:val="20"/>
          <w:color w:val="auto"/>
        </w:rPr>
      </w:pPr>
      <w:r>
        <w:rPr>
          <w:rFonts w:ascii="Arial" w:cs="Arial" w:eastAsia="Arial" w:hAnsi="Arial"/>
          <w:sz w:val="19"/>
          <w:szCs w:val="19"/>
          <w:color w:val="auto"/>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markets or financial market dislocations.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Market Risk</w:t>
      </w:r>
    </w:p>
    <w:p>
      <w:pPr>
        <w:spacing w:after="0" w:line="222" w:lineRule="exact"/>
        <w:rPr>
          <w:sz w:val="20"/>
          <w:szCs w:val="20"/>
          <w:color w:val="auto"/>
        </w:rPr>
      </w:pPr>
    </w:p>
    <w:p>
      <w:pPr>
        <w:ind w:right="40" w:firstLine="648"/>
        <w:spacing w:after="0" w:line="257" w:lineRule="auto"/>
        <w:rPr>
          <w:sz w:val="20"/>
          <w:szCs w:val="20"/>
          <w:color w:val="auto"/>
        </w:rPr>
      </w:pPr>
      <w:r>
        <w:rPr>
          <w:rFonts w:ascii="Arial" w:cs="Arial" w:eastAsia="Arial" w:hAnsi="Arial"/>
          <w:sz w:val="20"/>
          <w:szCs w:val="20"/>
          <w:color w:val="auto"/>
        </w:rPr>
        <w:t>Our predominant exposure to market risk is related to our role as general partner or investment manager for our focused commingled funds and SMAs and the sensitivities to movements in the fair value of their investments, which may adversely affect our performance fee revenues and investment income.</w:t>
      </w:r>
    </w:p>
    <w:p>
      <w:pPr>
        <w:spacing w:after="0" w:line="193" w:lineRule="exact"/>
        <w:rPr>
          <w:sz w:val="20"/>
          <w:szCs w:val="20"/>
          <w:color w:val="auto"/>
        </w:rPr>
      </w:pPr>
    </w:p>
    <w:p>
      <w:pPr>
        <w:ind w:right="20" w:firstLine="648"/>
        <w:spacing w:after="0" w:line="251" w:lineRule="auto"/>
        <w:rPr>
          <w:sz w:val="20"/>
          <w:szCs w:val="20"/>
          <w:color w:val="auto"/>
        </w:rPr>
      </w:pPr>
      <w:r>
        <w:rPr>
          <w:rFonts w:ascii="Arial" w:cs="Arial" w:eastAsia="Arial" w:hAnsi="Arial"/>
          <w:sz w:val="20"/>
          <w:szCs w:val="20"/>
          <w:color w:val="auto"/>
        </w:rPr>
        <w:t>Our management fee and advisory fee revenue is only marginally affected by changes in investment values because our management fees are generally based on commitments or net invested capital and our advisory fees are fixed. As of September 30, 2022, NAV-based management fees represented approximately 3% of total net management and advisory fees. We estimate that a 10% decline in market values of the investments held in our funds as of September 30, 2022 would result in an approximate $1.8 million decrease to annual management fees.</w:t>
      </w:r>
    </w:p>
    <w:p>
      <w:pPr>
        <w:spacing w:after="0" w:line="20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The fair value of the financial assets and liabilities of our focused commingled funds and SMAs may fluctuate in response to changes in the fair value of a fund’s underlying investments, foreign currency exchange rates, commodity prices and interest rates. The effect of these risks is as follows:</w:t>
      </w:r>
    </w:p>
    <w:p>
      <w:pPr>
        <w:spacing w:after="0" w:line="193" w:lineRule="exact"/>
        <w:rPr>
          <w:sz w:val="20"/>
          <w:szCs w:val="20"/>
          <w:color w:val="auto"/>
        </w:rPr>
      </w:pPr>
    </w:p>
    <w:p>
      <w:pPr>
        <w:ind w:left="660" w:right="40" w:hanging="328"/>
        <w:spacing w:after="0" w:line="273" w:lineRule="auto"/>
        <w:tabs>
          <w:tab w:leader="none" w:pos="648" w:val="left"/>
        </w:tabs>
        <w:numPr>
          <w:ilvl w:val="0"/>
          <w:numId w:val="47"/>
        </w:numPr>
        <w:rPr>
          <w:rFonts w:ascii="Arial" w:cs="Arial" w:eastAsia="Arial" w:hAnsi="Arial"/>
          <w:sz w:val="19"/>
          <w:szCs w:val="19"/>
          <w:color w:val="auto"/>
        </w:rPr>
      </w:pPr>
      <w:r>
        <w:rPr>
          <w:rFonts w:ascii="Arial" w:cs="Arial" w:eastAsia="Arial" w:hAnsi="Arial"/>
          <w:sz w:val="19"/>
          <w:szCs w:val="19"/>
          <w:color w:val="auto"/>
        </w:rPr>
        <w:t>Incentive fees from our funds are not materially affected by changes in the fair value of unrealized investments because they are based on realized gains and subject to achievement of performance criteria rather than on the fair value of the fund’s assets prior to realization. As of September 30, 2022, we had $17.8 million of deferred incentive fee revenue recorded in accounts payable, accrued expenses and other liabilities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141" w:lineRule="exact"/>
        <w:rPr>
          <w:sz w:val="20"/>
          <w:szCs w:val="20"/>
          <w:color w:val="auto"/>
        </w:rPr>
      </w:pPr>
    </w:p>
    <w:p>
      <w:pPr>
        <w:ind w:left="660" w:hanging="328"/>
        <w:spacing w:after="0" w:line="279"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earn carried interest allocation revenue from certain of the StepStone Funds based on cumulative fund performance to date, subject to specified performance criteria. Our carried interest allocation is affected by changes in market factors. However, the degree of impact will vary depending on several factors, including but not limited to (i) the performance criteria for each individual fund in relation to how that fund’s results of operations are affected by changes in market factors; (ii) whether such performance criteria are annual or over the life of the fund; (iii) to the extent applicable, the previous performance of each fund in relation to its performance criteria; and (iv) whether each funds’ performance related distributions are subject to contingent repayment. As a result, the impact of changes in market factors on carried interest allocation revenue will vary widely from fund to fund. An overall decrease of 10% in the general equity markets would not necessarily drive the same impact on our funds’ valuations, as many of our investments in our funds are illiquid and do not trade on any exchange. Additionally, as a large percentage of our carried interest allocation revenues are paid to employees as carried interest-related compensation, the overall net impact to our income would be mitigated by lower compensation payments. As of September 30, 2022, the maximum amount of carried interest allocations (excluding legacy Greenspring carried interest allocations) subject to contingent repayment was an estimated $252.6 million, net of tax, assuming the fair value of all investments was zero, a possibility that we view as remote.</w:t>
      </w:r>
    </w:p>
    <w:p>
      <w:pPr>
        <w:spacing w:after="0" w:line="179" w:lineRule="exact"/>
        <w:rPr>
          <w:rFonts w:ascii="Arial" w:cs="Arial" w:eastAsia="Arial" w:hAnsi="Arial"/>
          <w:sz w:val="18"/>
          <w:szCs w:val="18"/>
          <w:color w:val="auto"/>
        </w:rPr>
      </w:pPr>
    </w:p>
    <w:p>
      <w:pPr>
        <w:ind w:left="660" w:right="80" w:hanging="328"/>
        <w:spacing w:after="0" w:line="255" w:lineRule="auto"/>
        <w:tabs>
          <w:tab w:leader="none" w:pos="648" w:val="left"/>
        </w:tabs>
        <w:numPr>
          <w:ilvl w:val="0"/>
          <w:numId w:val="48"/>
        </w:numPr>
        <w:rPr>
          <w:rFonts w:ascii="Arial" w:cs="Arial" w:eastAsia="Arial" w:hAnsi="Arial"/>
          <w:sz w:val="20"/>
          <w:szCs w:val="20"/>
          <w:color w:val="auto"/>
        </w:rPr>
      </w:pPr>
      <w:r>
        <w:rPr>
          <w:rFonts w:ascii="Arial" w:cs="Arial" w:eastAsia="Arial" w:hAnsi="Arial"/>
          <w:sz w:val="20"/>
          <w:szCs w:val="20"/>
          <w:color w:val="auto"/>
        </w:rPr>
        <w:t>Investment income changes in relation to realized and unrealized gains and losses of the underlying investments in our funds in which we have a general partner commitment. Based on investments (excluding legacy Greenspring investments in funds) held as of September 30, 2022, we estimate that a 10% decline in fair value of the investments would result in a $10.7 million decrease in the amount of income.</w:t>
      </w:r>
    </w:p>
    <w:p>
      <w:pPr>
        <w:spacing w:after="0" w:line="177"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b w:val="1"/>
          <w:bCs w:val="1"/>
          <w:color w:val="auto"/>
        </w:rPr>
        <w:t>Exchange Rate Risk</w:t>
      </w:r>
    </w:p>
    <w:p>
      <w:pPr>
        <w:spacing w:after="0" w:line="235" w:lineRule="exact"/>
        <w:rPr>
          <w:sz w:val="20"/>
          <w:szCs w:val="20"/>
          <w:color w:val="auto"/>
        </w:rPr>
      </w:pPr>
    </w:p>
    <w:p>
      <w:pPr>
        <w:ind w:right="100" w:firstLine="648"/>
        <w:spacing w:after="0" w:line="288" w:lineRule="auto"/>
        <w:rPr>
          <w:sz w:val="20"/>
          <w:szCs w:val="20"/>
          <w:color w:val="auto"/>
        </w:rPr>
      </w:pPr>
      <w:r>
        <w:rPr>
          <w:rFonts w:ascii="Arial" w:cs="Arial" w:eastAsia="Arial" w:hAnsi="Arial"/>
          <w:sz w:val="18"/>
          <w:szCs w:val="18"/>
          <w:color w:val="auto"/>
        </w:rPr>
        <w:t>Our business is affected by movements in the exchange rate between the U.S. dollar and non-U.S. dollar currencies in respect of revenues and expenses of our foreign offices that are denominated in non-U.S. dollar currencies and cash and other balances we hold in non-functional currencies. The amount of revenues and expenses attributable to our foreign offices is not material in relation to our U.S. offices. Therefore, changes in exchange rates are not expected to materially affect our condensed consolidated financial statements.</w:t>
      </w:r>
    </w:p>
    <w:p>
      <w:pPr>
        <w:spacing w:after="0" w:line="167" w:lineRule="exact"/>
        <w:rPr>
          <w:sz w:val="20"/>
          <w:szCs w:val="20"/>
          <w:color w:val="auto"/>
        </w:rPr>
      </w:pPr>
    </w:p>
    <w:p>
      <w:pPr>
        <w:ind w:right="80" w:firstLine="648"/>
        <w:spacing w:after="0" w:line="251" w:lineRule="auto"/>
        <w:rPr>
          <w:sz w:val="20"/>
          <w:szCs w:val="20"/>
          <w:color w:val="auto"/>
        </w:rPr>
      </w:pPr>
      <w:r>
        <w:rPr>
          <w:rFonts w:ascii="Arial" w:cs="Arial" w:eastAsia="Arial" w:hAnsi="Arial"/>
          <w:sz w:val="20"/>
          <w:szCs w:val="20"/>
          <w:color w:val="auto"/>
        </w:rPr>
        <w:t>Certain of our focused commingled funds and SMAs hold investments denominated in non-U.S. dollar currencies that may be affected by movements in the exchange rate between the U.S. dollar and foreign currencies, which could affect investment performance. The currency exposure related to investments in foreign currency assets is limited to our general partner interest, which is typically no more than 1% of total capital commitments. Changes in exchange rates are not expected to materially affect our condensed consolidated financial statements.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Interest Rate Risk</w:t>
      </w:r>
    </w:p>
    <w:p>
      <w:pPr>
        <w:spacing w:after="0" w:line="235" w:lineRule="exact"/>
        <w:rPr>
          <w:sz w:val="20"/>
          <w:szCs w:val="20"/>
          <w:color w:val="auto"/>
        </w:rPr>
      </w:pPr>
    </w:p>
    <w:p>
      <w:pPr>
        <w:ind w:right="200" w:firstLine="648"/>
        <w:spacing w:after="0" w:line="251" w:lineRule="auto"/>
        <w:rPr>
          <w:sz w:val="20"/>
          <w:szCs w:val="20"/>
          <w:color w:val="auto"/>
        </w:rPr>
      </w:pPr>
      <w:r>
        <w:rPr>
          <w:rFonts w:ascii="Arial" w:cs="Arial" w:eastAsia="Arial" w:hAnsi="Arial"/>
          <w:sz w:val="20"/>
          <w:szCs w:val="20"/>
          <w:color w:val="auto"/>
        </w:rPr>
        <w:t>As of September 30, 2022, we had $65.0 million in borrowings outstanding under our Revolver. The Revolver accrues interest at a variable rate. As of September 30, 2022, we estimate that interest expense would increase by $0.7 million on an annualized basis as a result of a 100 basis point increase in interest rates. Based on the $144.5 million of cash, cash equivalents and restricted cash as of September 30, 2022, we estimate that interest income would increase by $1.4 million on an annualized basis as a result of a 100 basis point increase in interest rates.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Credit Risk</w:t>
      </w:r>
    </w:p>
    <w:p>
      <w:pPr>
        <w:spacing w:after="0" w:line="23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Item 4. Controls and Procedures.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Disclosure Controls and Procedures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9"/>
          <w:szCs w:val="19"/>
          <w:color w:val="auto"/>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8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Changes in Internal Controls over Financial Reporting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There have been no changes in our internal control over financial reporting (as such term is defined in Rules 13a-15(f) and 15d-15(f) under the Exchange Act) during our most recent quarter ended September 30, 2022, that have materially affected, or are reasonably likely to materially affect, our internal control over financial reporting.</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PART II—OTHER INFORMATION</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Item 1. Legal Proceedings.</w:t>
      </w:r>
    </w:p>
    <w:p>
      <w:pPr>
        <w:spacing w:after="0" w:line="235" w:lineRule="exact"/>
        <w:rPr>
          <w:sz w:val="20"/>
          <w:szCs w:val="20"/>
          <w:color w:val="auto"/>
        </w:rPr>
      </w:pPr>
    </w:p>
    <w:p>
      <w:pPr>
        <w:jc w:val="both"/>
        <w:ind w:right="540" w:firstLine="648"/>
        <w:spacing w:after="0" w:line="257" w:lineRule="auto"/>
        <w:rPr>
          <w:sz w:val="20"/>
          <w:szCs w:val="20"/>
          <w:color w:val="auto"/>
        </w:rPr>
      </w:pPr>
      <w:r>
        <w:rPr>
          <w:rFonts w:ascii="Arial" w:cs="Arial" w:eastAsia="Arial" w:hAnsi="Arial"/>
          <w:sz w:val="20"/>
          <w:szCs w:val="20"/>
          <w:color w:val="auto"/>
        </w:rPr>
        <w:t>The information required with respect to this item can be found under the heading “Litigation” in note 15, Commitments and Contingencies, to our condensed consolidated financial statements included elsewhere in this quarterly report, and such information is incorporated by reference into this Item 1.</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78" w:name="page79"/>
    <w:bookmarkEnd w:id="78"/>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Item 1A. Risk Factors.</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There have been no material changes from the risk factors previously disclosed in Part 1, Item 1A of our annual report on Form 10-K for the fiscal year ended March 31, 2022.</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Item 4. Mine Safety Disclosures.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Item 5. Other Information.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9" w:name="page80"/>
    <w:bookmarkEnd w:id="79"/>
    <w:p>
      <w:pPr>
        <w:spacing w:after="0" w:line="351"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Item 6. Exhibits.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Filed</w:t>
            </w:r>
          </w:p>
        </w:tc>
      </w:tr>
      <w:tr>
        <w:trPr>
          <w:trHeight w:val="243"/>
        </w:trPr>
        <w:tc>
          <w:tcPr>
            <w:tcW w:w="104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w w:val="94"/>
              </w:rPr>
              <w:t>Incorporated By Reference</w:t>
            </w:r>
          </w:p>
        </w:tc>
        <w:tc>
          <w:tcPr>
            <w:tcW w:w="960" w:type="dxa"/>
            <w:vAlign w:val="bottom"/>
            <w:tcBorders>
              <w:bottom w:val="single" w:sz="8" w:color="auto"/>
            </w:tcBorders>
          </w:tcPr>
          <w:p>
            <w:pPr>
              <w:spacing w:after="0"/>
              <w:rPr>
                <w:sz w:val="21"/>
                <w:szCs w:val="21"/>
                <w:color w:val="auto"/>
              </w:rPr>
            </w:pPr>
          </w:p>
        </w:tc>
        <w:tc>
          <w:tcPr>
            <w:tcW w:w="880" w:type="dxa"/>
            <w:vAlign w:val="bottom"/>
          </w:tcPr>
          <w:p>
            <w:pPr>
              <w:jc w:val="center"/>
              <w:ind w:left="70"/>
              <w:spacing w:after="0"/>
              <w:rPr>
                <w:sz w:val="20"/>
                <w:szCs w:val="20"/>
                <w:color w:val="auto"/>
              </w:rPr>
            </w:pPr>
            <w:r>
              <w:rPr>
                <w:rFonts w:ascii="Arial" w:cs="Arial" w:eastAsia="Arial" w:hAnsi="Arial"/>
                <w:sz w:val="18"/>
                <w:szCs w:val="18"/>
                <w:b w:val="1"/>
                <w:bCs w:val="1"/>
                <w:color w:val="auto"/>
                <w:w w:val="94"/>
              </w:rPr>
              <w:t>Herewith</w:t>
            </w:r>
          </w:p>
        </w:tc>
      </w:tr>
      <w:tr>
        <w:trPr>
          <w:trHeight w:val="228"/>
        </w:trPr>
        <w:tc>
          <w:tcPr>
            <w:tcW w:w="10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4880" w:type="dxa"/>
            <w:vAlign w:val="bottom"/>
          </w:tcPr>
          <w:p>
            <w:pPr>
              <w:ind w:left="160"/>
              <w:spacing w:after="0"/>
              <w:rPr>
                <w:sz w:val="20"/>
                <w:szCs w:val="20"/>
                <w:color w:val="auto"/>
              </w:rPr>
            </w:pPr>
            <w:r>
              <w:rPr>
                <w:rFonts w:ascii="Arial" w:cs="Arial" w:eastAsia="Arial" w:hAnsi="Arial"/>
                <w:sz w:val="18"/>
                <w:szCs w:val="18"/>
                <w:b w:val="1"/>
                <w:bCs w:val="1"/>
                <w:color w:val="auto"/>
              </w:rPr>
              <w:t>Description of Exhibit</w:t>
            </w:r>
          </w:p>
        </w:tc>
        <w:tc>
          <w:tcPr>
            <w:tcW w:w="860" w:type="dxa"/>
            <w:vAlign w:val="bottom"/>
          </w:tcPr>
          <w:p>
            <w:pPr>
              <w:ind w:left="240"/>
              <w:spacing w:after="0"/>
              <w:rPr>
                <w:sz w:val="20"/>
                <w:szCs w:val="20"/>
                <w:color w:val="auto"/>
              </w:rPr>
            </w:pPr>
            <w:r>
              <w:rPr>
                <w:rFonts w:ascii="Arial" w:cs="Arial" w:eastAsia="Arial" w:hAnsi="Arial"/>
                <w:sz w:val="18"/>
                <w:szCs w:val="18"/>
                <w:b w:val="1"/>
                <w:bCs w:val="1"/>
                <w:color w:val="auto"/>
              </w:rPr>
              <w:t>Form</w:t>
            </w:r>
          </w:p>
        </w:tc>
        <w:tc>
          <w:tcPr>
            <w:tcW w:w="1080" w:type="dxa"/>
            <w:vAlign w:val="bottom"/>
          </w:tcPr>
          <w:p>
            <w:pPr>
              <w:ind w:left="300"/>
              <w:spacing w:after="0"/>
              <w:rPr>
                <w:sz w:val="20"/>
                <w:szCs w:val="20"/>
                <w:color w:val="auto"/>
              </w:rPr>
            </w:pPr>
            <w:r>
              <w:rPr>
                <w:rFonts w:ascii="Arial" w:cs="Arial" w:eastAsia="Arial" w:hAnsi="Arial"/>
                <w:sz w:val="18"/>
                <w:szCs w:val="18"/>
                <w:b w:val="1"/>
                <w:bCs w:val="1"/>
                <w:color w:val="auto"/>
              </w:rPr>
              <w:t>Exhibit</w:t>
            </w:r>
          </w:p>
        </w:tc>
        <w:tc>
          <w:tcPr>
            <w:tcW w:w="1340" w:type="dxa"/>
            <w:vAlign w:val="bottom"/>
          </w:tcPr>
          <w:p>
            <w:pPr>
              <w:ind w:left="200"/>
              <w:spacing w:after="0"/>
              <w:rPr>
                <w:sz w:val="20"/>
                <w:szCs w:val="20"/>
                <w:color w:val="auto"/>
              </w:rPr>
            </w:pPr>
            <w:r>
              <w:rPr>
                <w:rFonts w:ascii="Arial" w:cs="Arial" w:eastAsia="Arial" w:hAnsi="Arial"/>
                <w:sz w:val="18"/>
                <w:szCs w:val="18"/>
                <w:b w:val="1"/>
                <w:bCs w:val="1"/>
                <w:color w:val="auto"/>
              </w:rPr>
              <w:t>Filing Date</w:t>
            </w:r>
          </w:p>
        </w:tc>
        <w:tc>
          <w:tcPr>
            <w:tcW w:w="960" w:type="dxa"/>
            <w:vAlign w:val="bottom"/>
          </w:tcPr>
          <w:p>
            <w:pPr>
              <w:ind w:left="120"/>
              <w:spacing w:after="0"/>
              <w:rPr>
                <w:sz w:val="20"/>
                <w:szCs w:val="20"/>
                <w:color w:val="auto"/>
              </w:rPr>
            </w:pPr>
            <w:r>
              <w:rPr>
                <w:rFonts w:ascii="Arial" w:cs="Arial" w:eastAsia="Arial" w:hAnsi="Arial"/>
                <w:sz w:val="18"/>
                <w:szCs w:val="18"/>
                <w:b w:val="1"/>
                <w:bCs w:val="1"/>
                <w:color w:val="auto"/>
              </w:rPr>
              <w:t>File No.</w:t>
            </w:r>
          </w:p>
        </w:tc>
        <w:tc>
          <w:tcPr>
            <w:tcW w:w="8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40" w:top="1440" w:right="519" w:bottom="1440" w:gutter="0" w:footer="0" w:header="0"/>
        </w:sectPr>
      </w:pPr>
    </w:p>
    <w:tbl>
      <w:tblPr>
        <w:tblLayout w:type="fixed"/>
        <w:tblInd w:w="0" w:type="dxa"/>
        <w:tblCellMar>
          <w:top w:w="0" w:type="dxa"/>
          <w:left w:w="0" w:type="dxa"/>
          <w:bottom w:w="0" w:type="dxa"/>
          <w:right w:w="0" w:type="dxa"/>
        </w:tblCellMar>
      </w:tblPr>
      <w:tr>
        <w:trPr>
          <w:trHeight w:val="198"/>
        </w:trPr>
        <w:tc>
          <w:tcPr>
            <w:tcW w:w="240" w:type="dxa"/>
            <w:vAlign w:val="bottom"/>
          </w:tcPr>
          <w:p>
            <w:pPr>
              <w:spacing w:after="0" w:line="198" w:lineRule="exact"/>
              <w:rPr>
                <w:rFonts w:ascii="Arial" w:cs="Arial" w:eastAsia="Arial" w:hAnsi="Arial"/>
                <w:sz w:val="18"/>
                <w:szCs w:val="18"/>
                <w:color w:val="0000FF"/>
                <w:w w:val="87"/>
              </w:rPr>
            </w:pPr>
            <w:hyperlink r:id="rId98">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40" w:type="dxa"/>
            <w:vAlign w:val="bottom"/>
            <w:gridSpan w:val="12"/>
          </w:tcPr>
          <w:p>
            <w:pPr>
              <w:spacing w:after="0" w:line="198" w:lineRule="exact"/>
              <w:rPr>
                <w:rFonts w:ascii="Arial" w:cs="Arial" w:eastAsia="Arial" w:hAnsi="Arial"/>
                <w:sz w:val="18"/>
                <w:szCs w:val="18"/>
                <w:color w:val="0000FF"/>
                <w:w w:val="93"/>
              </w:rPr>
            </w:pPr>
            <w:hyperlink r:id="rId98">
              <w:r>
                <w:rPr>
                  <w:rFonts w:ascii="Arial" w:cs="Arial" w:eastAsia="Arial" w:hAnsi="Arial"/>
                  <w:sz w:val="18"/>
                  <w:szCs w:val="18"/>
                  <w:color w:val="0000FF"/>
                  <w:w w:val="93"/>
                </w:rPr>
                <w:t>Amended and Restated Certificate of Incorporation of StepStone</w:t>
              </w:r>
            </w:hyperlink>
          </w:p>
        </w:tc>
        <w:tc>
          <w:tcPr>
            <w:tcW w:w="820" w:type="dxa"/>
            <w:vAlign w:val="bottom"/>
            <w:vMerge w:val="restart"/>
          </w:tcPr>
          <w:p>
            <w:pPr>
              <w:ind w:left="200"/>
              <w:spacing w:after="0"/>
              <w:rPr>
                <w:sz w:val="20"/>
                <w:szCs w:val="20"/>
                <w:color w:val="auto"/>
              </w:rPr>
            </w:pPr>
            <w:r>
              <w:rPr>
                <w:rFonts w:ascii="Arial" w:cs="Arial" w:eastAsia="Arial" w:hAnsi="Arial"/>
                <w:sz w:val="18"/>
                <w:szCs w:val="18"/>
                <w:color w:val="auto"/>
              </w:rPr>
              <w:t>8-K</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5"/>
              </w:rPr>
              <w:t>3.1</w:t>
            </w:r>
          </w:p>
        </w:tc>
        <w:tc>
          <w:tcPr>
            <w:tcW w:w="1220" w:type="dxa"/>
            <w:vAlign w:val="bottom"/>
            <w:vMerge w:val="restart"/>
          </w:tcPr>
          <w:p>
            <w:pPr>
              <w:jc w:val="right"/>
              <w:ind w:right="90"/>
              <w:spacing w:after="0"/>
              <w:rPr>
                <w:sz w:val="20"/>
                <w:szCs w:val="20"/>
                <w:color w:val="auto"/>
              </w:rPr>
            </w:pPr>
            <w:r>
              <w:rPr>
                <w:rFonts w:ascii="Arial" w:cs="Arial" w:eastAsia="Arial" w:hAnsi="Arial"/>
                <w:sz w:val="18"/>
                <w:szCs w:val="18"/>
                <w:color w:val="auto"/>
              </w:rPr>
              <w:t>9/18/2020</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001-39510</w:t>
            </w: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98">
              <w:r>
                <w:rPr>
                  <w:rFonts w:ascii="Arial" w:cs="Arial" w:eastAsia="Arial" w:hAnsi="Arial"/>
                  <w:sz w:val="16"/>
                  <w:szCs w:val="16"/>
                  <w:color w:val="0000FF"/>
                </w:rPr>
                <w:t>Group Inc.</w:t>
              </w:r>
            </w:hyperlink>
          </w:p>
        </w:tc>
        <w:tc>
          <w:tcPr>
            <w:tcW w:w="3880" w:type="dxa"/>
            <w:vAlign w:val="bottom"/>
            <w:tcBorders>
              <w:top w:val="single" w:sz="8" w:color="0000FF"/>
            </w:tcBorders>
            <w:gridSpan w:val="9"/>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rFonts w:ascii="Arial" w:cs="Arial" w:eastAsia="Arial" w:hAnsi="Arial"/>
                <w:sz w:val="18"/>
                <w:szCs w:val="18"/>
                <w:color w:val="0000FF"/>
                <w:w w:val="87"/>
              </w:rPr>
            </w:pPr>
            <w:hyperlink r:id="rId99">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40" w:type="dxa"/>
            <w:vAlign w:val="bottom"/>
            <w:gridSpan w:val="12"/>
          </w:tcPr>
          <w:p>
            <w:pPr>
              <w:spacing w:after="0"/>
              <w:rPr>
                <w:rFonts w:ascii="Arial" w:cs="Arial" w:eastAsia="Arial" w:hAnsi="Arial"/>
                <w:sz w:val="18"/>
                <w:szCs w:val="18"/>
                <w:color w:val="0000FF"/>
              </w:rPr>
            </w:pPr>
            <w:hyperlink r:id="rId99">
              <w:r>
                <w:rPr>
                  <w:rFonts w:ascii="Arial" w:cs="Arial" w:eastAsia="Arial" w:hAnsi="Arial"/>
                  <w:sz w:val="18"/>
                  <w:szCs w:val="18"/>
                  <w:color w:val="0000FF"/>
                </w:rPr>
                <w:t>Amended and Restated Bylaws of StepStone Group Inc.</w:t>
              </w:r>
            </w:hyperlink>
          </w:p>
        </w:tc>
        <w:tc>
          <w:tcPr>
            <w:tcW w:w="820" w:type="dxa"/>
            <w:vAlign w:val="bottom"/>
          </w:tcPr>
          <w:p>
            <w:pPr>
              <w:ind w:left="200"/>
              <w:spacing w:after="0"/>
              <w:rPr>
                <w:sz w:val="20"/>
                <w:szCs w:val="20"/>
                <w:color w:val="auto"/>
              </w:rPr>
            </w:pPr>
            <w:r>
              <w:rPr>
                <w:rFonts w:ascii="Arial" w:cs="Arial" w:eastAsia="Arial" w:hAnsi="Arial"/>
                <w:sz w:val="18"/>
                <w:szCs w:val="18"/>
                <w:color w:val="auto"/>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9/18/2020</w:t>
            </w:r>
          </w:p>
        </w:tc>
        <w:tc>
          <w:tcPr>
            <w:tcW w:w="980" w:type="dxa"/>
            <w:vAlign w:val="bottom"/>
          </w:tcPr>
          <w:p>
            <w:pPr>
              <w:jc w:val="right"/>
              <w:spacing w:after="0"/>
              <w:rPr>
                <w:sz w:val="20"/>
                <w:szCs w:val="20"/>
                <w:color w:val="auto"/>
              </w:rPr>
            </w:pPr>
            <w:r>
              <w:rPr>
                <w:rFonts w:ascii="Arial" w:cs="Arial" w:eastAsia="Arial" w:hAnsi="Arial"/>
                <w:sz w:val="18"/>
                <w:szCs w:val="18"/>
                <w:color w:val="auto"/>
              </w:rPr>
              <w:t>001-39510</w:t>
            </w: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2"/>
          </w:tcPr>
          <w:p>
            <w:pPr>
              <w:spacing w:after="0"/>
              <w:rPr>
                <w:rFonts w:ascii="Arial" w:cs="Arial" w:eastAsia="Arial" w:hAnsi="Arial"/>
                <w:sz w:val="18"/>
                <w:szCs w:val="18"/>
                <w:color w:val="0000FF"/>
                <w:w w:val="85"/>
              </w:rPr>
            </w:pPr>
            <w:hyperlink r:id="rId100">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880" w:type="dxa"/>
            <w:vAlign w:val="bottom"/>
          </w:tcPr>
          <w:p>
            <w:pPr>
              <w:spacing w:after="0"/>
              <w:rPr>
                <w:sz w:val="18"/>
                <w:szCs w:val="18"/>
                <w:color w:val="auto"/>
              </w:rPr>
            </w:pPr>
          </w:p>
        </w:tc>
        <w:tc>
          <w:tcPr>
            <w:tcW w:w="4840" w:type="dxa"/>
            <w:vAlign w:val="bottom"/>
            <w:gridSpan w:val="12"/>
          </w:tcPr>
          <w:p>
            <w:pPr>
              <w:spacing w:after="0"/>
              <w:rPr>
                <w:rFonts w:ascii="Arial" w:cs="Arial" w:eastAsia="Arial" w:hAnsi="Arial"/>
                <w:sz w:val="18"/>
                <w:szCs w:val="18"/>
                <w:color w:val="0000FF"/>
              </w:rPr>
            </w:pPr>
            <w:hyperlink r:id="rId100">
              <w:r>
                <w:rPr>
                  <w:rFonts w:ascii="Arial" w:cs="Arial" w:eastAsia="Arial" w:hAnsi="Arial"/>
                  <w:sz w:val="18"/>
                  <w:szCs w:val="18"/>
                  <w:color w:val="0000FF"/>
                </w:rPr>
                <w:t>Option Agreement, dated November 2, 2022</w:t>
              </w:r>
            </w:hyperlink>
          </w:p>
        </w:tc>
        <w:tc>
          <w:tcPr>
            <w:tcW w:w="820" w:type="dxa"/>
            <w:vAlign w:val="bottom"/>
          </w:tcPr>
          <w:p>
            <w:pPr>
              <w:ind w:left="200"/>
              <w:spacing w:after="0"/>
              <w:rPr>
                <w:sz w:val="20"/>
                <w:szCs w:val="20"/>
                <w:color w:val="auto"/>
              </w:rPr>
            </w:pPr>
            <w:r>
              <w:rPr>
                <w:rFonts w:ascii="Arial" w:cs="Arial" w:eastAsia="Arial" w:hAnsi="Arial"/>
                <w:sz w:val="18"/>
                <w:szCs w:val="18"/>
                <w:color w:val="auto"/>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11/3/2022</w:t>
            </w:r>
          </w:p>
        </w:tc>
        <w:tc>
          <w:tcPr>
            <w:tcW w:w="980" w:type="dxa"/>
            <w:vAlign w:val="bottom"/>
          </w:tcPr>
          <w:p>
            <w:pPr>
              <w:jc w:val="right"/>
              <w:spacing w:after="0"/>
              <w:rPr>
                <w:sz w:val="20"/>
                <w:szCs w:val="20"/>
                <w:color w:val="auto"/>
              </w:rPr>
            </w:pPr>
            <w:r>
              <w:rPr>
                <w:rFonts w:ascii="Arial" w:cs="Arial" w:eastAsia="Arial" w:hAnsi="Arial"/>
                <w:sz w:val="18"/>
                <w:szCs w:val="18"/>
                <w:color w:val="auto"/>
              </w:rPr>
              <w:t>001-39510</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2"/>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880" w:type="dxa"/>
            <w:vAlign w:val="bottom"/>
          </w:tcPr>
          <w:p>
            <w:pPr>
              <w:spacing w:after="0"/>
              <w:rPr>
                <w:sz w:val="18"/>
                <w:szCs w:val="18"/>
                <w:color w:val="auto"/>
              </w:rPr>
            </w:pPr>
          </w:p>
        </w:tc>
        <w:tc>
          <w:tcPr>
            <w:tcW w:w="4840" w:type="dxa"/>
            <w:vAlign w:val="bottom"/>
            <w:gridSpan w:val="12"/>
          </w:tcPr>
          <w:p>
            <w:pPr>
              <w:spacing w:after="0"/>
              <w:rPr>
                <w:sz w:val="20"/>
                <w:szCs w:val="20"/>
                <w:color w:val="auto"/>
              </w:rPr>
            </w:pPr>
            <w:r>
              <w:rPr>
                <w:rFonts w:ascii="Arial" w:cs="Arial" w:eastAsia="Arial" w:hAnsi="Arial"/>
                <w:sz w:val="18"/>
                <w:szCs w:val="18"/>
                <w:color w:val="0000FF"/>
              </w:rPr>
              <w:t>Certification of Chief Executive Officer pursuant to Rule 13a-</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46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92"/>
              </w:rPr>
              <w:t>14(a) and Rule 15d-14(a) of the Securities Exchange Act, as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34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amended</w:t>
            </w:r>
          </w:p>
        </w:tc>
        <w:tc>
          <w:tcPr>
            <w:tcW w:w="8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880" w:type="dxa"/>
            <w:vAlign w:val="bottom"/>
          </w:tcPr>
          <w:p>
            <w:pPr>
              <w:spacing w:after="0"/>
              <w:rPr>
                <w:sz w:val="19"/>
                <w:szCs w:val="19"/>
                <w:color w:val="auto"/>
              </w:rPr>
            </w:pPr>
          </w:p>
        </w:tc>
        <w:tc>
          <w:tcPr>
            <w:tcW w:w="4840" w:type="dxa"/>
            <w:vAlign w:val="bottom"/>
            <w:gridSpan w:val="12"/>
          </w:tcPr>
          <w:p>
            <w:pPr>
              <w:spacing w:after="0"/>
              <w:rPr>
                <w:sz w:val="20"/>
                <w:szCs w:val="20"/>
                <w:color w:val="auto"/>
              </w:rPr>
            </w:pPr>
            <w:r>
              <w:rPr>
                <w:rFonts w:ascii="Arial" w:cs="Arial" w:eastAsia="Arial" w:hAnsi="Arial"/>
                <w:sz w:val="18"/>
                <w:szCs w:val="18"/>
                <w:color w:val="0000FF"/>
              </w:rPr>
              <w:t>Certification of Chief Financial Officer pursuant to Rule 13a-</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42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91"/>
              </w:rPr>
              <w:t>14(a) and Rule 15d-14(a) of the Securities Exchange Act, as</w:t>
            </w:r>
          </w:p>
        </w:tc>
        <w:tc>
          <w:tcPr>
            <w:tcW w:w="1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34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amended</w:t>
            </w:r>
          </w:p>
        </w:tc>
        <w:tc>
          <w:tcPr>
            <w:tcW w:w="2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p>
        </w:tc>
        <w:tc>
          <w:tcPr>
            <w:tcW w:w="880" w:type="dxa"/>
            <w:vAlign w:val="bottom"/>
          </w:tcPr>
          <w:p>
            <w:pPr>
              <w:spacing w:after="0"/>
              <w:rPr>
                <w:sz w:val="19"/>
                <w:szCs w:val="19"/>
                <w:color w:val="auto"/>
              </w:rPr>
            </w:pPr>
          </w:p>
        </w:tc>
        <w:tc>
          <w:tcPr>
            <w:tcW w:w="4840" w:type="dxa"/>
            <w:vAlign w:val="bottom"/>
            <w:gridSpan w:val="12"/>
          </w:tcPr>
          <w:p>
            <w:pPr>
              <w:spacing w:after="0"/>
              <w:rPr>
                <w:sz w:val="20"/>
                <w:szCs w:val="20"/>
                <w:color w:val="auto"/>
              </w:rPr>
            </w:pPr>
            <w:r>
              <w:rPr>
                <w:rFonts w:ascii="Arial" w:cs="Arial" w:eastAsia="Arial" w:hAnsi="Arial"/>
                <w:sz w:val="18"/>
                <w:szCs w:val="18"/>
                <w:color w:val="0000FF"/>
                <w:w w:val="96"/>
              </w:rPr>
              <w:t>Certification of Chief Executive Officer pursuant to Section 906</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620" w:type="dxa"/>
            <w:vAlign w:val="bottom"/>
            <w:tcBorders>
              <w:top w:val="single" w:sz="8" w:color="0000FF"/>
            </w:tcBorders>
            <w:gridSpan w:val="10"/>
          </w:tcPr>
          <w:p>
            <w:pPr>
              <w:spacing w:after="0" w:line="156" w:lineRule="exact"/>
              <w:rPr>
                <w:sz w:val="20"/>
                <w:szCs w:val="20"/>
                <w:color w:val="auto"/>
              </w:rPr>
            </w:pPr>
            <w:r>
              <w:rPr>
                <w:rFonts w:ascii="Arial" w:cs="Arial" w:eastAsia="Arial" w:hAnsi="Arial"/>
                <w:sz w:val="18"/>
                <w:szCs w:val="18"/>
                <w:color w:val="0000FF"/>
              </w:rPr>
              <w:t>of the Sarbanes-Oxley Act of 2002</w:t>
            </w:r>
          </w:p>
        </w:tc>
        <w:tc>
          <w:tcPr>
            <w:tcW w:w="2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p>
        </w:tc>
        <w:tc>
          <w:tcPr>
            <w:tcW w:w="880" w:type="dxa"/>
            <w:vAlign w:val="bottom"/>
          </w:tcPr>
          <w:p>
            <w:pPr>
              <w:spacing w:after="0"/>
              <w:rPr>
                <w:sz w:val="19"/>
                <w:szCs w:val="19"/>
                <w:color w:val="auto"/>
              </w:rPr>
            </w:pPr>
          </w:p>
        </w:tc>
        <w:tc>
          <w:tcPr>
            <w:tcW w:w="4840" w:type="dxa"/>
            <w:vAlign w:val="bottom"/>
            <w:gridSpan w:val="12"/>
          </w:tcPr>
          <w:p>
            <w:pPr>
              <w:spacing w:after="0"/>
              <w:rPr>
                <w:sz w:val="20"/>
                <w:szCs w:val="20"/>
                <w:color w:val="auto"/>
              </w:rPr>
            </w:pPr>
            <w:r>
              <w:rPr>
                <w:rFonts w:ascii="Arial" w:cs="Arial" w:eastAsia="Arial" w:hAnsi="Arial"/>
                <w:sz w:val="18"/>
                <w:szCs w:val="18"/>
                <w:color w:val="0000FF"/>
                <w:w w:val="97"/>
              </w:rPr>
              <w:t>Certification of Chief Financial Officer pursuant to Section 906</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56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of the Sarbanes-Oxley Act of 2002</w:t>
            </w:r>
          </w:p>
        </w:tc>
        <w:tc>
          <w:tcPr>
            <w:tcW w:w="28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1200" w:right="4240" w:hanging="1194"/>
        <w:spacing w:after="0" w:line="227" w:lineRule="auto"/>
        <w:tabs>
          <w:tab w:leader="none" w:pos="12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following financial information from our Quarterly Report on Form 10-Q for the quarter ended September 30, 2022 formatted in Inline XBRL (Extensible Business Reporting Language): (i) the Condensed Consolidated Balance Sheets; (ii) the Condensed Consolidated Statements of Income (Loss); (iii) the Condensed Consolidated Statements of Comprehensive Income (Loss); (iv) the Condensed Consolidated Statements of Stockholders’ Equity; (v) the Condensed Consolidated Statements of Cash Flows; and (vi) Notes to Condensed Consolidated Financial Statements.</w:t>
      </w:r>
    </w:p>
    <w:p>
      <w:pPr>
        <w:spacing w:after="0" w:line="1" w:lineRule="exact"/>
        <w:rPr>
          <w:sz w:val="20"/>
          <w:szCs w:val="20"/>
          <w:color w:val="auto"/>
        </w:rPr>
      </w:pPr>
    </w:p>
    <w:p>
      <w:pPr>
        <w:ind w:left="1200" w:right="4180" w:hanging="1194"/>
        <w:spacing w:after="0" w:line="234" w:lineRule="auto"/>
        <w:tabs>
          <w:tab w:leader="none" w:pos="1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8" w:lineRule="exact"/>
        <w:rPr>
          <w:sz w:val="20"/>
          <w:szCs w:val="20"/>
          <w:color w:val="auto"/>
        </w:rPr>
      </w:pPr>
    </w:p>
    <w:p>
      <w:pPr>
        <w:sectPr>
          <w:pgSz w:w="11900" w:h="16838" w:orient="portrait"/>
          <w:cols w:equalWidth="0" w:num="2">
            <w:col w:w="10020" w:space="600"/>
            <w:col w:w="420"/>
          </w:cols>
          <w:pgMar w:left="340" w:top="144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1440" w:right="519" w:bottom="1440" w:gutter="0" w:footer="0" w:header="0"/>
          <w:type w:val="continuous"/>
        </w:sectPr>
      </w:pPr>
    </w:p>
    <w:bookmarkStart w:id="80" w:name="page81"/>
    <w:bookmarkEnd w:id="80"/>
    <w:p>
      <w:pPr>
        <w:spacing w:after="0" w:line="351" w:lineRule="exact"/>
        <w:rPr>
          <w:sz w:val="20"/>
          <w:szCs w:val="20"/>
          <w:color w:val="auto"/>
        </w:rPr>
      </w:pPr>
    </w:p>
    <w:p>
      <w:pPr>
        <w:jc w:val="center"/>
        <w:ind w:right="-319"/>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 on November 7, 2022</w:t>
      </w:r>
      <w:r>
        <w:rPr>
          <w:rFonts w:ascii="Arial" w:cs="Arial" w:eastAsia="Arial" w:hAnsi="Arial"/>
          <w:sz w:val="20"/>
          <w:szCs w:val="20"/>
          <w:b w:val="1"/>
          <w:bCs w:val="1"/>
          <w:color w:val="auto"/>
        </w:rPr>
        <w:t>.</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20"/>
          <w:szCs w:val="20"/>
          <w:b w:val="1"/>
          <w:bCs w:val="1"/>
          <w:color w:val="auto"/>
        </w:rPr>
        <w:t>STEPSTONE GROUP INC.</w:t>
      </w:r>
    </w:p>
    <w:p>
      <w:pPr>
        <w:spacing w:after="0" w:line="303"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Johnny D. Randel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19050</wp:posOffset>
            </wp:positionV>
            <wp:extent cx="36601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Johnny D. Randel</w:t>
      </w:r>
    </w:p>
    <w:p>
      <w:pPr>
        <w:spacing w:after="0" w:line="2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Chief Financial Officer</w:t>
      </w:r>
    </w:p>
    <w:p>
      <w:pPr>
        <w:spacing w:after="0" w:line="2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40"/>
          </w:cols>
          <w:pgMar w:left="320" w:top="1440" w:right="639" w:bottom="1440" w:gutter="0" w:footer="0" w:header="0"/>
        </w:sectPr>
      </w:pPr>
    </w:p>
    <w:bookmarkStart w:id="81" w:name="page82"/>
    <w:bookmarkEnd w:id="81"/>
    <w:p>
      <w:pPr>
        <w:jc w:val="right"/>
        <w:spacing w:after="0"/>
        <w:rPr>
          <w:sz w:val="20"/>
          <w:szCs w:val="20"/>
          <w:color w:val="auto"/>
        </w:rPr>
      </w:pPr>
      <w:r>
        <w:rPr>
          <w:rFonts w:ascii="Arial" w:cs="Arial" w:eastAsia="Arial" w:hAnsi="Arial"/>
          <w:sz w:val="20"/>
          <w:szCs w:val="20"/>
          <w:b w:val="1"/>
          <w:bCs w:val="1"/>
          <w:color w:val="auto"/>
        </w:rPr>
        <w:t>EXHIBIT 31.1</w:t>
      </w:r>
    </w:p>
    <w:p>
      <w:pPr>
        <w:spacing w:after="0" w:line="26"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CERTIFICATION BY THE CHIEF EXECUTIVE OFFICER PURSUANT TO SECTION 302 OF THE SARBANES-OXLEY ACT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color w:val="auto"/>
        </w:rPr>
        <w:t>I, Scott W. Hart, certify that:</w:t>
      </w:r>
    </w:p>
    <w:p>
      <w:pPr>
        <w:spacing w:after="0" w:line="229"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StepStone Group Inc.;</w:t>
      </w:r>
    </w:p>
    <w:p>
      <w:pPr>
        <w:spacing w:after="0" w:line="215" w:lineRule="exact"/>
        <w:rPr>
          <w:rFonts w:ascii="Arial" w:cs="Arial" w:eastAsia="Arial" w:hAnsi="Arial"/>
          <w:sz w:val="20"/>
          <w:szCs w:val="20"/>
          <w:color w:val="auto"/>
        </w:rPr>
      </w:pPr>
    </w:p>
    <w:p>
      <w:pPr>
        <w:ind w:left="660" w:right="40" w:hanging="328"/>
        <w:spacing w:after="0" w:line="257" w:lineRule="auto"/>
        <w:tabs>
          <w:tab w:leader="none" w:pos="6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2" w:lineRule="exact"/>
        <w:rPr>
          <w:rFonts w:ascii="Arial" w:cs="Arial" w:eastAsia="Arial" w:hAnsi="Arial"/>
          <w:sz w:val="20"/>
          <w:szCs w:val="20"/>
          <w:color w:val="auto"/>
        </w:rPr>
      </w:pPr>
    </w:p>
    <w:p>
      <w:pPr>
        <w:ind w:left="660" w:right="20" w:hanging="328"/>
        <w:spacing w:after="0" w:line="257" w:lineRule="auto"/>
        <w:tabs>
          <w:tab w:leader="none" w:pos="6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2" w:lineRule="exact"/>
        <w:rPr>
          <w:rFonts w:ascii="Arial" w:cs="Arial" w:eastAsia="Arial" w:hAnsi="Arial"/>
          <w:sz w:val="20"/>
          <w:szCs w:val="20"/>
          <w:color w:val="auto"/>
        </w:rPr>
      </w:pPr>
    </w:p>
    <w:p>
      <w:pPr>
        <w:ind w:left="660" w:right="200" w:hanging="328"/>
        <w:spacing w:after="0" w:line="257" w:lineRule="auto"/>
        <w:tabs>
          <w:tab w:leader="none" w:pos="6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rFonts w:ascii="Arial" w:cs="Arial" w:eastAsia="Arial" w:hAnsi="Arial"/>
          <w:sz w:val="20"/>
          <w:szCs w:val="20"/>
          <w:color w:val="auto"/>
        </w:rPr>
      </w:pPr>
    </w:p>
    <w:p>
      <w:pPr>
        <w:ind w:left="1300" w:right="100" w:hanging="320"/>
        <w:spacing w:after="0" w:line="299" w:lineRule="auto"/>
        <w:tabs>
          <w:tab w:leader="none" w:pos="1289"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8"/>
          <w:szCs w:val="18"/>
          <w:color w:val="auto"/>
        </w:rPr>
      </w:pPr>
    </w:p>
    <w:p>
      <w:pPr>
        <w:ind w:left="1300" w:right="560" w:hanging="320"/>
        <w:spacing w:after="0" w:line="360"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6"/>
          <w:szCs w:val="16"/>
          <w:color w:val="auto"/>
        </w:rPr>
      </w:pPr>
    </w:p>
    <w:p>
      <w:pPr>
        <w:ind w:left="1300" w:right="60" w:hanging="320"/>
        <w:spacing w:after="0" w:line="257" w:lineRule="auto"/>
        <w:tabs>
          <w:tab w:leader="none" w:pos="1289" w:val="left"/>
        </w:tabs>
        <w:numPr>
          <w:ilvl w:val="1"/>
          <w:numId w:val="5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2" w:lineRule="exact"/>
        <w:rPr>
          <w:rFonts w:ascii="Arial" w:cs="Arial" w:eastAsia="Arial" w:hAnsi="Arial"/>
          <w:sz w:val="20"/>
          <w:szCs w:val="20"/>
          <w:color w:val="auto"/>
        </w:rPr>
      </w:pPr>
    </w:p>
    <w:p>
      <w:pPr>
        <w:ind w:left="1300" w:right="600" w:hanging="320"/>
        <w:spacing w:after="0" w:line="260" w:lineRule="auto"/>
        <w:tabs>
          <w:tab w:leader="none" w:pos="1300" w:val="left"/>
        </w:tabs>
        <w:numPr>
          <w:ilvl w:val="1"/>
          <w:numId w:val="51"/>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w:t>
      </w:r>
    </w:p>
    <w:p>
      <w:pPr>
        <w:sectPr>
          <w:pgSz w:w="11900" w:h="16838" w:orient="portrait"/>
          <w:cols w:equalWidth="0" w:num="1">
            <w:col w:w="11240"/>
          </w:cols>
          <w:pgMar w:left="320" w:top="118"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20"/>
          <w:szCs w:val="20"/>
          <w:b w:val="1"/>
          <w:bCs w:val="1"/>
          <w:color w:val="auto"/>
        </w:rPr>
        <w:t>EXHIBIT 31.1</w:t>
      </w:r>
    </w:p>
    <w:p>
      <w:pPr>
        <w:spacing w:after="0" w:line="26"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CERTIFICATION BY THE CHIEF EXECUTIVE OFFICER PURSUANT TO SECTION 302 OF THE SARBANES-OXLEY ACT</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80" w:right="160"/>
        <w:spacing w:after="0" w:line="274" w:lineRule="auto"/>
        <w:rPr>
          <w:sz w:val="20"/>
          <w:szCs w:val="20"/>
          <w:color w:val="auto"/>
        </w:rPr>
      </w:pPr>
      <w:r>
        <w:rPr>
          <w:rFonts w:ascii="Arial" w:cs="Arial" w:eastAsia="Arial" w:hAnsi="Arial"/>
          <w:sz w:val="20"/>
          <w:szCs w:val="20"/>
          <w:color w:val="auto"/>
        </w:rPr>
        <w:t>the case of an annual report) that has materially affected, or is reasonably likely to materially affect, the registrant’s internal control over financial reporting; and</w:t>
      </w:r>
    </w:p>
    <w:p>
      <w:pPr>
        <w:spacing w:after="0" w:line="163" w:lineRule="exact"/>
        <w:rPr>
          <w:sz w:val="20"/>
          <w:szCs w:val="20"/>
          <w:color w:val="auto"/>
        </w:rPr>
      </w:pPr>
    </w:p>
    <w:p>
      <w:pPr>
        <w:ind w:left="640" w:right="60" w:hanging="328"/>
        <w:spacing w:after="0" w:line="257" w:lineRule="auto"/>
        <w:tabs>
          <w:tab w:leader="none" w:pos="6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2" w:lineRule="exact"/>
        <w:rPr>
          <w:rFonts w:ascii="Arial" w:cs="Arial" w:eastAsia="Arial" w:hAnsi="Arial"/>
          <w:sz w:val="20"/>
          <w:szCs w:val="20"/>
          <w:color w:val="auto"/>
        </w:rPr>
      </w:pPr>
    </w:p>
    <w:p>
      <w:pPr>
        <w:ind w:left="1280" w:right="340" w:hanging="320"/>
        <w:spacing w:after="0" w:line="257" w:lineRule="auto"/>
        <w:tabs>
          <w:tab w:leader="none" w:pos="1269" w:val="left"/>
        </w:tabs>
        <w:numPr>
          <w:ilvl w:val="1"/>
          <w:numId w:val="5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2" w:lineRule="exact"/>
        <w:rPr>
          <w:rFonts w:ascii="Arial" w:cs="Arial" w:eastAsia="Arial" w:hAnsi="Arial"/>
          <w:sz w:val="20"/>
          <w:szCs w:val="20"/>
          <w:color w:val="auto"/>
        </w:rPr>
      </w:pPr>
    </w:p>
    <w:p>
      <w:pPr>
        <w:ind w:left="1280" w:right="740" w:hanging="320"/>
        <w:spacing w:after="0" w:line="260" w:lineRule="auto"/>
        <w:tabs>
          <w:tab w:leader="none" w:pos="1280" w:val="left"/>
        </w:tabs>
        <w:numPr>
          <w:ilvl w:val="1"/>
          <w:numId w:val="5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560" w:type="dxa"/>
            <w:vAlign w:val="bottom"/>
          </w:tcPr>
          <w:p>
            <w:pPr>
              <w:spacing w:after="0"/>
              <w:rPr>
                <w:sz w:val="20"/>
                <w:szCs w:val="20"/>
                <w:color w:val="auto"/>
              </w:rPr>
            </w:pPr>
            <w:r>
              <w:rPr>
                <w:rFonts w:ascii="Arial" w:cs="Arial" w:eastAsia="Arial" w:hAnsi="Arial"/>
                <w:sz w:val="20"/>
                <w:szCs w:val="20"/>
                <w:color w:val="auto"/>
              </w:rPr>
              <w:t>Date: November 7, 2022</w:t>
            </w:r>
          </w:p>
        </w:tc>
        <w:tc>
          <w:tcPr>
            <w:tcW w:w="7660" w:type="dxa"/>
            <w:vAlign w:val="bottom"/>
            <w:gridSpan w:val="2"/>
          </w:tcPr>
          <w:p>
            <w:pPr>
              <w:ind w:left="1600"/>
              <w:spacing w:after="0"/>
              <w:rPr>
                <w:sz w:val="20"/>
                <w:szCs w:val="20"/>
                <w:color w:val="auto"/>
              </w:rPr>
            </w:pPr>
            <w:r>
              <w:rPr>
                <w:rFonts w:ascii="Arial" w:cs="Arial" w:eastAsia="Arial" w:hAnsi="Arial"/>
                <w:sz w:val="20"/>
                <w:szCs w:val="20"/>
                <w:color w:val="auto"/>
              </w:rPr>
              <w:t>By: /s/ Scott W. Hart</w:t>
            </w:r>
          </w:p>
        </w:tc>
      </w:tr>
      <w:tr>
        <w:trPr>
          <w:trHeight w:val="249"/>
        </w:trPr>
        <w:tc>
          <w:tcPr>
            <w:tcW w:w="35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Scott W. Hart</w:t>
            </w:r>
          </w:p>
        </w:tc>
      </w:tr>
      <w:tr>
        <w:trPr>
          <w:trHeight w:val="253"/>
        </w:trPr>
        <w:tc>
          <w:tcPr>
            <w:tcW w:w="35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576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r>
        <w:trPr>
          <w:trHeight w:val="256"/>
        </w:trPr>
        <w:tc>
          <w:tcPr>
            <w:tcW w:w="35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5760" w:type="dxa"/>
            <w:vAlign w:val="bottom"/>
          </w:tcPr>
          <w:p>
            <w:pPr>
              <w:ind w:left="20"/>
              <w:spacing w:after="0"/>
              <w:rPr>
                <w:sz w:val="20"/>
                <w:szCs w:val="20"/>
                <w:color w:val="auto"/>
              </w:rPr>
            </w:pPr>
            <w:r>
              <w:rPr>
                <w:rFonts w:ascii="Arial" w:cs="Arial" w:eastAsia="Arial" w:hAnsi="Arial"/>
                <w:sz w:val="20"/>
                <w:szCs w:val="20"/>
                <w:i w:val="1"/>
                <w:iCs w:val="1"/>
                <w:color w:val="auto"/>
              </w:rPr>
              <w:t>(Principal Executive Officer)</w:t>
            </w:r>
          </w:p>
        </w:tc>
      </w:tr>
    </w:tbl>
    <w:p>
      <w:pPr>
        <w:sectPr>
          <w:pgSz w:w="11900" w:h="16838" w:orient="portrait"/>
          <w:cols w:equalWidth="0" w:num="1">
            <w:col w:w="11220"/>
          </w:cols>
          <w:pgMar w:left="340" w:top="118" w:right="339" w:bottom="1440" w:gutter="0" w:footer="0" w:header="0"/>
        </w:sectPr>
      </w:pPr>
    </w:p>
    <w:bookmarkStart w:id="83" w:name="page84"/>
    <w:bookmarkEnd w:id="83"/>
    <w:p>
      <w:pPr>
        <w:ind w:left="10000"/>
        <w:spacing w:after="0"/>
        <w:rPr>
          <w:sz w:val="20"/>
          <w:szCs w:val="20"/>
          <w:color w:val="auto"/>
        </w:rPr>
      </w:pPr>
      <w:r>
        <w:rPr>
          <w:rFonts w:ascii="Arial" w:cs="Arial" w:eastAsia="Arial" w:hAnsi="Arial"/>
          <w:sz w:val="20"/>
          <w:szCs w:val="20"/>
          <w:b w:val="1"/>
          <w:bCs w:val="1"/>
          <w:color w:val="auto"/>
        </w:rPr>
        <w:t>EXHIBIT 31.2</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CERTIFICATION BY THE CHIEF FINANCIAL OFFICER PURSUANT TO SECTION 302 OF THE SARBANES-OXLEY ACT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I, Johnny D. Randel, certify that:</w:t>
      </w:r>
    </w:p>
    <w:p>
      <w:pPr>
        <w:spacing w:after="0" w:line="229"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StepStone Group Inc.;</w:t>
      </w:r>
    </w:p>
    <w:p>
      <w:pPr>
        <w:spacing w:after="0" w:line="215" w:lineRule="exact"/>
        <w:rPr>
          <w:rFonts w:ascii="Arial" w:cs="Arial" w:eastAsia="Arial" w:hAnsi="Arial"/>
          <w:sz w:val="20"/>
          <w:szCs w:val="20"/>
          <w:color w:val="auto"/>
        </w:rPr>
      </w:pPr>
    </w:p>
    <w:p>
      <w:pPr>
        <w:ind w:left="660" w:right="40" w:hanging="328"/>
        <w:spacing w:after="0" w:line="257" w:lineRule="auto"/>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2" w:lineRule="exact"/>
        <w:rPr>
          <w:rFonts w:ascii="Arial" w:cs="Arial" w:eastAsia="Arial" w:hAnsi="Arial"/>
          <w:sz w:val="20"/>
          <w:szCs w:val="20"/>
          <w:color w:val="auto"/>
        </w:rPr>
      </w:pPr>
    </w:p>
    <w:p>
      <w:pPr>
        <w:ind w:left="660" w:right="20" w:hanging="328"/>
        <w:spacing w:after="0" w:line="257" w:lineRule="auto"/>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2" w:lineRule="exact"/>
        <w:rPr>
          <w:rFonts w:ascii="Arial" w:cs="Arial" w:eastAsia="Arial" w:hAnsi="Arial"/>
          <w:sz w:val="20"/>
          <w:szCs w:val="20"/>
          <w:color w:val="auto"/>
        </w:rPr>
      </w:pPr>
    </w:p>
    <w:p>
      <w:pPr>
        <w:ind w:left="660" w:right="200" w:hanging="328"/>
        <w:spacing w:after="0" w:line="257" w:lineRule="auto"/>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rFonts w:ascii="Arial" w:cs="Arial" w:eastAsia="Arial" w:hAnsi="Arial"/>
          <w:sz w:val="20"/>
          <w:szCs w:val="20"/>
          <w:color w:val="auto"/>
        </w:rPr>
      </w:pPr>
    </w:p>
    <w:p>
      <w:pPr>
        <w:ind w:left="1300" w:right="100" w:hanging="320"/>
        <w:spacing w:after="0" w:line="299" w:lineRule="auto"/>
        <w:tabs>
          <w:tab w:leader="none" w:pos="1289"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8"/>
          <w:szCs w:val="18"/>
          <w:color w:val="auto"/>
        </w:rPr>
      </w:pPr>
    </w:p>
    <w:p>
      <w:pPr>
        <w:ind w:left="1300" w:right="560" w:hanging="320"/>
        <w:spacing w:after="0" w:line="360" w:lineRule="auto"/>
        <w:tabs>
          <w:tab w:leader="none" w:pos="13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6"/>
          <w:szCs w:val="16"/>
          <w:color w:val="auto"/>
        </w:rPr>
      </w:pPr>
    </w:p>
    <w:p>
      <w:pPr>
        <w:ind w:left="1300" w:right="60" w:hanging="320"/>
        <w:spacing w:after="0" w:line="257" w:lineRule="auto"/>
        <w:tabs>
          <w:tab w:leader="none" w:pos="1289" w:val="left"/>
        </w:tabs>
        <w:numPr>
          <w:ilvl w:val="1"/>
          <w:numId w:val="5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2" w:lineRule="exact"/>
        <w:rPr>
          <w:rFonts w:ascii="Arial" w:cs="Arial" w:eastAsia="Arial" w:hAnsi="Arial"/>
          <w:sz w:val="20"/>
          <w:szCs w:val="20"/>
          <w:color w:val="auto"/>
        </w:rPr>
      </w:pPr>
    </w:p>
    <w:p>
      <w:pPr>
        <w:ind w:left="1300" w:right="600" w:hanging="320"/>
        <w:spacing w:after="0" w:line="260" w:lineRule="auto"/>
        <w:tabs>
          <w:tab w:leader="none" w:pos="1300" w:val="left"/>
        </w:tabs>
        <w:numPr>
          <w:ilvl w:val="1"/>
          <w:numId w:val="53"/>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w:t>
      </w:r>
    </w:p>
    <w:p>
      <w:pPr>
        <w:sectPr>
          <w:pgSz w:w="11900" w:h="16838" w:orient="portrait"/>
          <w:cols w:equalWidth="0" w:num="1">
            <w:col w:w="11240"/>
          </w:cols>
          <w:pgMar w:left="320" w:top="118" w:right="339" w:bottom="1440" w:gutter="0" w:footer="0" w:header="0"/>
        </w:sectPr>
      </w:pPr>
    </w:p>
    <w:bookmarkStart w:id="84" w:name="page85"/>
    <w:bookmarkEnd w:id="84"/>
    <w:p>
      <w:pPr>
        <w:ind w:left="9980"/>
        <w:spacing w:after="0"/>
        <w:rPr>
          <w:sz w:val="20"/>
          <w:szCs w:val="20"/>
          <w:color w:val="auto"/>
        </w:rPr>
      </w:pPr>
      <w:r>
        <w:rPr>
          <w:rFonts w:ascii="Arial" w:cs="Arial" w:eastAsia="Arial" w:hAnsi="Arial"/>
          <w:sz w:val="20"/>
          <w:szCs w:val="20"/>
          <w:b w:val="1"/>
          <w:bCs w:val="1"/>
          <w:color w:val="auto"/>
        </w:rPr>
        <w:t>EXHIBIT 31.2</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CERTIFICATION BY THE CHIEF FINANCIAL OFFICER PURSUANT TO SECTION 302 OF THE SARBANES-OXLEY ACT</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80" w:right="160"/>
        <w:spacing w:after="0" w:line="274" w:lineRule="auto"/>
        <w:rPr>
          <w:sz w:val="20"/>
          <w:szCs w:val="20"/>
          <w:color w:val="auto"/>
        </w:rPr>
      </w:pPr>
      <w:r>
        <w:rPr>
          <w:rFonts w:ascii="Arial" w:cs="Arial" w:eastAsia="Arial" w:hAnsi="Arial"/>
          <w:sz w:val="20"/>
          <w:szCs w:val="20"/>
          <w:color w:val="auto"/>
        </w:rPr>
        <w:t>the case of an annual report) that has materially affected, or is reasonably likely to materially affect, the registrant’s internal control over financial reporting; and</w:t>
      </w:r>
    </w:p>
    <w:p>
      <w:pPr>
        <w:spacing w:after="0" w:line="163" w:lineRule="exact"/>
        <w:rPr>
          <w:sz w:val="20"/>
          <w:szCs w:val="20"/>
          <w:color w:val="auto"/>
        </w:rPr>
      </w:pPr>
    </w:p>
    <w:p>
      <w:pPr>
        <w:ind w:left="640" w:right="60" w:hanging="328"/>
        <w:spacing w:after="0" w:line="257" w:lineRule="auto"/>
        <w:tabs>
          <w:tab w:leader="none" w:pos="64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2" w:lineRule="exact"/>
        <w:rPr>
          <w:rFonts w:ascii="Arial" w:cs="Arial" w:eastAsia="Arial" w:hAnsi="Arial"/>
          <w:sz w:val="20"/>
          <w:szCs w:val="20"/>
          <w:color w:val="auto"/>
        </w:rPr>
      </w:pPr>
    </w:p>
    <w:p>
      <w:pPr>
        <w:ind w:left="1280" w:right="340" w:hanging="320"/>
        <w:spacing w:after="0" w:line="257" w:lineRule="auto"/>
        <w:tabs>
          <w:tab w:leader="none" w:pos="1269" w:val="left"/>
        </w:tabs>
        <w:numPr>
          <w:ilvl w:val="1"/>
          <w:numId w:val="5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2" w:lineRule="exact"/>
        <w:rPr>
          <w:rFonts w:ascii="Arial" w:cs="Arial" w:eastAsia="Arial" w:hAnsi="Arial"/>
          <w:sz w:val="20"/>
          <w:szCs w:val="20"/>
          <w:color w:val="auto"/>
        </w:rPr>
      </w:pPr>
    </w:p>
    <w:p>
      <w:pPr>
        <w:ind w:left="1280" w:right="740" w:hanging="320"/>
        <w:spacing w:after="0" w:line="260" w:lineRule="auto"/>
        <w:tabs>
          <w:tab w:leader="none" w:pos="1280" w:val="left"/>
        </w:tabs>
        <w:numPr>
          <w:ilvl w:val="1"/>
          <w:numId w:val="5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560" w:type="dxa"/>
            <w:vAlign w:val="bottom"/>
          </w:tcPr>
          <w:p>
            <w:pPr>
              <w:spacing w:after="0"/>
              <w:rPr>
                <w:sz w:val="20"/>
                <w:szCs w:val="20"/>
                <w:color w:val="auto"/>
              </w:rPr>
            </w:pPr>
            <w:r>
              <w:rPr>
                <w:rFonts w:ascii="Arial" w:cs="Arial" w:eastAsia="Arial" w:hAnsi="Arial"/>
                <w:sz w:val="20"/>
                <w:szCs w:val="20"/>
                <w:color w:val="auto"/>
              </w:rPr>
              <w:t>Date: November 7, 2022</w:t>
            </w:r>
          </w:p>
        </w:tc>
        <w:tc>
          <w:tcPr>
            <w:tcW w:w="7660" w:type="dxa"/>
            <w:vAlign w:val="bottom"/>
            <w:gridSpan w:val="2"/>
          </w:tcPr>
          <w:p>
            <w:pPr>
              <w:ind w:left="1600"/>
              <w:spacing w:after="0"/>
              <w:rPr>
                <w:sz w:val="20"/>
                <w:szCs w:val="20"/>
                <w:color w:val="auto"/>
              </w:rPr>
            </w:pPr>
            <w:r>
              <w:rPr>
                <w:rFonts w:ascii="Arial" w:cs="Arial" w:eastAsia="Arial" w:hAnsi="Arial"/>
                <w:sz w:val="20"/>
                <w:szCs w:val="20"/>
                <w:color w:val="auto"/>
              </w:rPr>
              <w:t>By: /s/ Johnny D. Randel</w:t>
            </w:r>
          </w:p>
        </w:tc>
      </w:tr>
      <w:tr>
        <w:trPr>
          <w:trHeight w:val="249"/>
        </w:trPr>
        <w:tc>
          <w:tcPr>
            <w:tcW w:w="35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Johnny D. Randel</w:t>
            </w:r>
          </w:p>
        </w:tc>
      </w:tr>
      <w:tr>
        <w:trPr>
          <w:trHeight w:val="253"/>
        </w:trPr>
        <w:tc>
          <w:tcPr>
            <w:tcW w:w="35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576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r>
        <w:trPr>
          <w:trHeight w:val="257"/>
        </w:trPr>
        <w:tc>
          <w:tcPr>
            <w:tcW w:w="35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5760" w:type="dxa"/>
            <w:vAlign w:val="bottom"/>
          </w:tcPr>
          <w:p>
            <w:pPr>
              <w:ind w:left="20"/>
              <w:spacing w:after="0"/>
              <w:rPr>
                <w:sz w:val="20"/>
                <w:szCs w:val="20"/>
                <w:color w:val="auto"/>
              </w:rPr>
            </w:pPr>
            <w:r>
              <w:rPr>
                <w:rFonts w:ascii="Arial" w:cs="Arial" w:eastAsia="Arial" w:hAnsi="Arial"/>
                <w:sz w:val="20"/>
                <w:szCs w:val="20"/>
                <w:i w:val="1"/>
                <w:iCs w:val="1"/>
                <w:color w:val="auto"/>
              </w:rPr>
              <w:t>(Principal Financial Officer)</w:t>
            </w:r>
          </w:p>
        </w:tc>
      </w:tr>
    </w:tbl>
    <w:p>
      <w:pPr>
        <w:sectPr>
          <w:pgSz w:w="11900" w:h="16838" w:orient="portrait"/>
          <w:cols w:equalWidth="0" w:num="1">
            <w:col w:w="11220"/>
          </w:cols>
          <w:pgMar w:left="340" w:top="118"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20"/>
          <w:szCs w:val="20"/>
          <w:b w:val="1"/>
          <w:bCs w:val="1"/>
          <w:color w:val="auto"/>
        </w:rPr>
        <w:t>EXHIBIT 32.1</w:t>
      </w:r>
    </w:p>
    <w:p>
      <w:pPr>
        <w:spacing w:after="0" w:line="26"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CERTIFICATION PURSUANT TO 18 U.S.C. SECTION 1350 AS ADOPTED PURSUANT TO SECTION 906 OF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180" w:firstLine="648"/>
        <w:spacing w:after="0" w:line="255" w:lineRule="auto"/>
        <w:rPr>
          <w:sz w:val="20"/>
          <w:szCs w:val="20"/>
          <w:color w:val="auto"/>
        </w:rPr>
      </w:pPr>
      <w:r>
        <w:rPr>
          <w:rFonts w:ascii="Arial" w:cs="Arial" w:eastAsia="Arial" w:hAnsi="Arial"/>
          <w:sz w:val="20"/>
          <w:szCs w:val="20"/>
          <w:color w:val="auto"/>
        </w:rPr>
        <w:t>In connection with the Quarterly Report of StepStone Group Inc. (the “Company”) on Form 10-Q for the three months ended September 30, 2022, as filed with the Securities and Exchange Commission (the “SEC”) on or about the date hereof (the “Report”), I, Scott W. Hart, Chief Executive Officer of the Company certify, pursuant to 18 U.S.C. Section 1350, as adopted pursuant to Section 906 of the Sarbanes-Oxley Act of 2002, that to my knowledge:</w:t>
      </w:r>
    </w:p>
    <w:p>
      <w:pPr>
        <w:spacing w:after="0" w:line="184" w:lineRule="exact"/>
        <w:rPr>
          <w:sz w:val="20"/>
          <w:szCs w:val="20"/>
          <w:color w:val="auto"/>
        </w:rPr>
      </w:pPr>
    </w:p>
    <w:p>
      <w:pPr>
        <w:ind w:left="640" w:hanging="30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right="260" w:hanging="328"/>
        <w:spacing w:after="0" w:line="274" w:lineRule="auto"/>
        <w:tabs>
          <w:tab w:leader="none" w:pos="648"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63"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Date: November 7, 2022</w:t>
      </w:r>
    </w:p>
    <w:p>
      <w:pPr>
        <w:spacing w:after="0" w:line="270"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Scott W.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19050</wp:posOffset>
            </wp:positionV>
            <wp:extent cx="36601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Scott W. Hart</w:t>
      </w:r>
    </w:p>
    <w:p>
      <w:pPr>
        <w:spacing w:after="0" w:line="2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Chief Executive Officer</w:t>
      </w:r>
    </w:p>
    <w:p>
      <w:pPr>
        <w:spacing w:after="0" w:line="27" w:lineRule="exact"/>
        <w:rPr>
          <w:sz w:val="20"/>
          <w:szCs w:val="20"/>
          <w:color w:val="auto"/>
        </w:rPr>
      </w:pPr>
    </w:p>
    <w:p>
      <w:pPr>
        <w:ind w:left="5500"/>
        <w:spacing w:after="0"/>
        <w:rPr>
          <w:sz w:val="20"/>
          <w:szCs w:val="20"/>
          <w:color w:val="auto"/>
        </w:rPr>
      </w:pPr>
      <w:r>
        <w:rPr>
          <w:rFonts w:ascii="Arial" w:cs="Arial" w:eastAsia="Arial" w:hAnsi="Arial"/>
          <w:sz w:val="20"/>
          <w:szCs w:val="20"/>
          <w:i w:val="1"/>
          <w:iCs w:val="1"/>
          <w:color w:val="auto"/>
        </w:rPr>
        <w:t>(Principal Executive Officer)</w:t>
      </w:r>
    </w:p>
    <w:p>
      <w:pPr>
        <w:spacing w:after="0" w:line="310" w:lineRule="exact"/>
        <w:rPr>
          <w:sz w:val="20"/>
          <w:szCs w:val="20"/>
          <w:color w:val="auto"/>
        </w:rPr>
      </w:pPr>
    </w:p>
    <w:p>
      <w:pPr>
        <w:ind w:right="340" w:firstLine="648"/>
        <w:spacing w:after="0" w:line="274"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 or its staff on request.</w:t>
      </w:r>
    </w:p>
    <w:p>
      <w:pPr>
        <w:sectPr>
          <w:pgSz w:w="11900" w:h="16838" w:orient="portrait"/>
          <w:cols w:equalWidth="0" w:num="1">
            <w:col w:w="11240"/>
          </w:cols>
          <w:pgMar w:left="320" w:top="118"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20"/>
          <w:szCs w:val="20"/>
          <w:b w:val="1"/>
          <w:bCs w:val="1"/>
          <w:color w:val="auto"/>
        </w:rPr>
        <w:t>EXHIBIT 32.2</w:t>
      </w:r>
    </w:p>
    <w:p>
      <w:pPr>
        <w:spacing w:after="0" w:line="26"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CERTIFICATION PURSUANT TO 18 U.S.C. SECTION 1350 AS ADOPTED PURSUANT TO SECTION 906 OF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In connection with the Quarterly Report of StepStone Group Inc. (the “Company”) on Form 10-Q for the three months ended</w:t>
      </w:r>
    </w:p>
    <w:p>
      <w:pPr>
        <w:spacing w:after="0" w:line="20"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auto"/>
        </w:rPr>
        <w:t>September 30, 2022, as filed with the Securities and Exchange Commission (the “SEC”) on or about the date hereof (the “Report”), I, Johnny D. Randel, Chief Financial Officer of the Company certify, pursuant to 18 U.S.C. Section 1350, as adopted pursuant to Section 906 of the Sarbanes-Oxley Act of 2002, that to my knowledge:</w:t>
      </w:r>
    </w:p>
    <w:p>
      <w:pPr>
        <w:spacing w:after="0" w:line="183" w:lineRule="exact"/>
        <w:rPr>
          <w:sz w:val="20"/>
          <w:szCs w:val="20"/>
          <w:color w:val="auto"/>
        </w:rPr>
      </w:pPr>
    </w:p>
    <w:p>
      <w:pPr>
        <w:ind w:left="640" w:hanging="308"/>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right="260" w:hanging="328"/>
        <w:spacing w:after="0" w:line="274" w:lineRule="auto"/>
        <w:tabs>
          <w:tab w:leader="none" w:pos="648"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63"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Date: November 7, 2022</w:t>
      </w:r>
    </w:p>
    <w:p>
      <w:pPr>
        <w:spacing w:after="0" w:line="270"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Johnny D. Randel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19050</wp:posOffset>
            </wp:positionV>
            <wp:extent cx="36601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Johnny D. Randel</w:t>
      </w:r>
    </w:p>
    <w:p>
      <w:pPr>
        <w:spacing w:after="0" w:line="2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Chief Financial Officer</w:t>
      </w:r>
    </w:p>
    <w:p>
      <w:pPr>
        <w:spacing w:after="0" w:line="27" w:lineRule="exact"/>
        <w:rPr>
          <w:sz w:val="20"/>
          <w:szCs w:val="20"/>
          <w:color w:val="auto"/>
        </w:rPr>
      </w:pPr>
    </w:p>
    <w:p>
      <w:pPr>
        <w:ind w:left="5500"/>
        <w:spacing w:after="0"/>
        <w:rPr>
          <w:sz w:val="20"/>
          <w:szCs w:val="20"/>
          <w:color w:val="auto"/>
        </w:rPr>
      </w:pPr>
      <w:r>
        <w:rPr>
          <w:rFonts w:ascii="Arial" w:cs="Arial" w:eastAsia="Arial" w:hAnsi="Arial"/>
          <w:sz w:val="20"/>
          <w:szCs w:val="20"/>
          <w:i w:val="1"/>
          <w:iCs w:val="1"/>
          <w:color w:val="auto"/>
        </w:rPr>
        <w:t>(Principal Financial Officer)</w:t>
      </w:r>
    </w:p>
    <w:p>
      <w:pPr>
        <w:spacing w:after="0" w:line="310" w:lineRule="exact"/>
        <w:rPr>
          <w:sz w:val="20"/>
          <w:szCs w:val="20"/>
          <w:color w:val="auto"/>
        </w:rPr>
      </w:pPr>
    </w:p>
    <w:p>
      <w:pPr>
        <w:ind w:right="340" w:firstLine="648"/>
        <w:spacing w:after="0" w:line="274"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 or its staff 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endash "/>
      <w:numFmt w:val="bullet"/>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1."/>
      <w:numFmt w:val="decimal"/>
      <w:start w:val="4"/>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14"/>
    </w:lvl>
  </w:abstractNum>
  <w:abstractNum w:abstractNumId="15">
    <w:nsid w:val="5072367"/>
    <w:multiLevelType w:val="hybridMultilevel"/>
    <w:lvl w:ilvl="0">
      <w:lvlJc w:val="left"/>
      <w:lvlText w:val="(%1)"/>
      <w:numFmt w:val="lowerRoman"/>
      <w:start w:val="3"/>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1."/>
      <w:numFmt w:val="decimal"/>
      <w:start w:val="14"/>
    </w:lvl>
    <w:lvl w:ilvl="1">
      <w:lvlJc w:val="left"/>
      <w:lvlText w:val="•"/>
      <w:numFmt w:val="bullet"/>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1)"/>
      <w:numFmt w:val="decimal"/>
      <w:start w:val="1"/>
    </w:lvl>
    <w:lvl w:ilvl="1">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3"/>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5"/>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1)"/>
      <w:numFmt w:val="decimal"/>
      <w:start w:val="4"/>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1)"/>
      <w:numFmt w:val="decimal"/>
      <w:start w:val="1"/>
    </w:lvl>
    <w:lvl w:ilvl="1">
      <w:lvlJc w:val="left"/>
      <w:lvlText w:val="%2."/>
      <w:numFmt w:val="lowerRoman"/>
      <w:start w:val="1"/>
    </w:lvl>
  </w:abstractNum>
  <w:abstractNum w:abstractNumId="41">
    <w:nsid w:val="684A481A"/>
    <w:multiLevelType w:val="hybridMultilevel"/>
    <w:lvl w:ilvl="0">
      <w:lvlJc w:val="left"/>
      <w:lvlText w:val="(%1)"/>
      <w:numFmt w:val="decimal"/>
      <w:start w:val="3"/>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1"/>
      <w:numFmt w:val="decimal"/>
      <w:start w:val="101"/>
    </w:lvl>
  </w:abstractNum>
  <w:abstractNum w:abstractNumId="49">
    <w:nsid w:val="70C6A529"/>
    <w:multiLevelType w:val="hybridMultilevel"/>
    <w:lvl w:ilvl="0">
      <w:lvlJc w:val="left"/>
      <w:lvlText w:val="%1"/>
      <w:numFmt w:val="decimal"/>
      <w:start w:val="104"/>
    </w:lvl>
  </w:abstractNum>
  <w:abstractNum w:abstractNumId="50">
    <w:nsid w:val="520EEDD1"/>
    <w:multiLevelType w:val="hybridMultilevel"/>
    <w:lvl w:ilvl="0">
      <w:lvlJc w:val="left"/>
      <w:lvlText w:val="%1."/>
      <w:numFmt w:val="decimal"/>
      <w:start w:val="1"/>
    </w:lvl>
    <w:lvl w:ilvl="1">
      <w:lvlJc w:val="left"/>
      <w:lvlText w:val="%2."/>
      <w:numFmt w:val="lowerLetter"/>
      <w:start w:val="1"/>
    </w:lvl>
  </w:abstractNum>
  <w:abstractNum w:abstractNumId="51">
    <w:nsid w:val="374A3FE6"/>
    <w:multiLevelType w:val="hybridMultilevel"/>
    <w:lvl w:ilvl="0">
      <w:lvlJc w:val="left"/>
      <w:lvlText w:val="%1."/>
      <w:numFmt w:val="decimal"/>
      <w:start w:val="5"/>
    </w:lvl>
    <w:lvl w:ilvl="1">
      <w:lvlJc w:val="left"/>
      <w:lvlText w:val="%2."/>
      <w:numFmt w:val="lowerLetter"/>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5"/>
    </w:lvl>
    <w:lvl w:ilvl="1">
      <w:lvlJc w:val="left"/>
      <w:lvlText w:val="%2."/>
      <w:numFmt w:val="lowerLetter"/>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98" Type="http://schemas.openxmlformats.org/officeDocument/2006/relationships/hyperlink" Target="https://www.sec.gov/Archives/edgar/data/1796022/000119312520248881/d23934dex31.htm" TargetMode="External"/><Relationship Id="rId99" Type="http://schemas.openxmlformats.org/officeDocument/2006/relationships/hyperlink" Target="https://www.sec.gov/Archives/edgar/data/1796022/000119312520248881/d23934dex32.htm" TargetMode="External"/><Relationship Id="rId100" Type="http://schemas.openxmlformats.org/officeDocument/2006/relationships/hyperlink" Target="https://www.sec.gov/Archives/edgar/data/1796022/000119312522276867/d38378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2022-11-07T16:00:38Z</dcterms:created>
  <dcterms:modified xsi:type="dcterms:W3CDTF">2022-11-07T16:00:38Z</dcterms:modified>
</cp:coreProperties>
</file>