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27"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82" w:lineRule="exact"/>
        <w:rPr>
          <w:sz w:val="24"/>
          <w:szCs w:val="24"/>
          <w:color w:val="auto"/>
        </w:rPr>
      </w:pPr>
    </w:p>
    <w:p>
      <w:pPr>
        <w:ind w:left="2520" w:right="2500" w:hanging="2454"/>
        <w:spacing w:after="0" w:line="416"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jc w:val="center"/>
        <w:ind w:right="-19"/>
        <w:spacing w:after="0"/>
        <w:rPr>
          <w:sz w:val="20"/>
          <w:szCs w:val="20"/>
          <w:color w:val="auto"/>
        </w:rPr>
      </w:pPr>
      <w:r>
        <w:rPr>
          <w:rFonts w:ascii="Arial" w:cs="Arial" w:eastAsia="Arial" w:hAnsi="Arial"/>
          <w:sz w:val="16"/>
          <w:szCs w:val="16"/>
          <w:color w:val="auto"/>
        </w:rPr>
        <w:t>Commission file number 001-39510</w:t>
      </w:r>
    </w:p>
    <w:p>
      <w:pPr>
        <w:spacing w:after="0" w:line="41" w:lineRule="exact"/>
        <w:rPr>
          <w:sz w:val="24"/>
          <w:szCs w:val="24"/>
          <w:color w:val="auto"/>
        </w:rPr>
      </w:pPr>
    </w:p>
    <w:tbl>
      <w:tblPr>
        <w:tblLayout w:type="fixed"/>
        <w:tblInd w:w="1540" w:type="dxa"/>
        <w:tblCellMar>
          <w:top w:w="0" w:type="dxa"/>
          <w:left w:w="0" w:type="dxa"/>
          <w:bottom w:w="0" w:type="dxa"/>
          <w:right w:w="0" w:type="dxa"/>
        </w:tblCellMar>
      </w:tblPr>
      <w:tr>
        <w:trPr>
          <w:trHeight w:val="421"/>
        </w:trPr>
        <w:tc>
          <w:tcPr>
            <w:tcW w:w="8200" w:type="dxa"/>
            <w:vAlign w:val="bottom"/>
            <w:gridSpan w:val="5"/>
          </w:tcPr>
          <w:p>
            <w:pPr>
              <w:jc w:val="right"/>
              <w:ind w:right="1928"/>
              <w:spacing w:after="0"/>
              <w:rPr>
                <w:sz w:val="20"/>
                <w:szCs w:val="20"/>
                <w:color w:val="auto"/>
              </w:rPr>
            </w:pPr>
            <w:r>
              <w:rPr>
                <w:rFonts w:ascii="Arial" w:cs="Arial" w:eastAsia="Arial" w:hAnsi="Arial"/>
                <w:sz w:val="32"/>
                <w:szCs w:val="32"/>
                <w:b w:val="1"/>
                <w:bCs w:val="1"/>
                <w:color w:val="auto"/>
              </w:rPr>
              <w:t>STEPSTONE GROUP INC.</w:t>
            </w:r>
          </w:p>
        </w:tc>
      </w:tr>
      <w:tr>
        <w:trPr>
          <w:trHeight w:val="203"/>
        </w:trPr>
        <w:tc>
          <w:tcPr>
            <w:tcW w:w="8200" w:type="dxa"/>
            <w:vAlign w:val="bottom"/>
            <w:gridSpan w:val="5"/>
          </w:tcPr>
          <w:p>
            <w:pPr>
              <w:jc w:val="right"/>
              <w:ind w:right="226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03"/>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508"/>
              <w:spacing w:after="0"/>
              <w:rPr>
                <w:sz w:val="20"/>
                <w:szCs w:val="20"/>
                <w:color w:val="auto"/>
              </w:rPr>
            </w:pPr>
            <w:r>
              <w:rPr>
                <w:rFonts w:ascii="Arial" w:cs="Arial" w:eastAsia="Arial" w:hAnsi="Arial"/>
                <w:sz w:val="14"/>
                <w:szCs w:val="14"/>
                <w:b w:val="1"/>
                <w:bCs w:val="1"/>
                <w:color w:val="auto"/>
              </w:rPr>
              <w:t>84-3868757</w:t>
            </w:r>
          </w:p>
        </w:tc>
      </w:tr>
      <w:tr>
        <w:trPr>
          <w:trHeight w:val="147"/>
        </w:trPr>
        <w:tc>
          <w:tcPr>
            <w:tcW w:w="3340" w:type="dxa"/>
            <w:vAlign w:val="bottom"/>
            <w:gridSpan w:val="2"/>
          </w:tcPr>
          <w:p>
            <w:pPr>
              <w:jc w:val="center"/>
              <w:ind w:right="92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jc w:val="right"/>
              <w:ind w:right="368"/>
              <w:spacing w:after="0" w:line="147" w:lineRule="exact"/>
              <w:rPr>
                <w:sz w:val="20"/>
                <w:szCs w:val="20"/>
                <w:color w:val="auto"/>
              </w:rPr>
            </w:pPr>
            <w:r>
              <w:rPr>
                <w:rFonts w:ascii="Arial" w:cs="Arial" w:eastAsia="Arial" w:hAnsi="Arial"/>
                <w:sz w:val="14"/>
                <w:szCs w:val="14"/>
                <w:color w:val="auto"/>
              </w:rPr>
              <w:t>(I.R.S. Employer</w:t>
            </w:r>
          </w:p>
        </w:tc>
      </w:tr>
      <w:tr>
        <w:trPr>
          <w:trHeight w:val="182"/>
        </w:trPr>
        <w:tc>
          <w:tcPr>
            <w:tcW w:w="3340" w:type="dxa"/>
            <w:vAlign w:val="bottom"/>
            <w:gridSpan w:val="2"/>
          </w:tcPr>
          <w:p>
            <w:pPr>
              <w:ind w:left="180"/>
              <w:spacing w:after="0"/>
              <w:rPr>
                <w:sz w:val="20"/>
                <w:szCs w:val="20"/>
                <w:color w:val="auto"/>
              </w:rPr>
            </w:pPr>
            <w:r>
              <w:rPr>
                <w:rFonts w:ascii="Arial" w:cs="Arial" w:eastAsia="Arial" w:hAnsi="Arial"/>
                <w:sz w:val="14"/>
                <w:szCs w:val="14"/>
                <w:color w:val="auto"/>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right"/>
              <w:ind w:right="488"/>
              <w:spacing w:after="0"/>
              <w:rPr>
                <w:sz w:val="20"/>
                <w:szCs w:val="20"/>
                <w:color w:val="auto"/>
              </w:rPr>
            </w:pPr>
            <w:r>
              <w:rPr>
                <w:rFonts w:ascii="Arial" w:cs="Arial" w:eastAsia="Arial" w:hAnsi="Arial"/>
                <w:sz w:val="14"/>
                <w:szCs w:val="14"/>
                <w:color w:val="auto"/>
              </w:rPr>
              <w:t>Identification No.)</w:t>
            </w:r>
          </w:p>
        </w:tc>
      </w:tr>
      <w:tr>
        <w:trPr>
          <w:trHeight w:val="332"/>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9"/>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688"/>
              <w:spacing w:after="0"/>
              <w:rPr>
                <w:sz w:val="20"/>
                <w:szCs w:val="20"/>
                <w:color w:val="auto"/>
              </w:rPr>
            </w:pPr>
            <w:r>
              <w:rPr>
                <w:rFonts w:ascii="Arial" w:cs="Arial" w:eastAsia="Arial" w:hAnsi="Arial"/>
                <w:sz w:val="14"/>
                <w:szCs w:val="14"/>
                <w:b w:val="1"/>
                <w:bCs w:val="1"/>
                <w:color w:val="auto"/>
              </w:rPr>
              <w:t>10017</w:t>
            </w:r>
          </w:p>
        </w:tc>
      </w:tr>
      <w:tr>
        <w:trPr>
          <w:trHeight w:val="189"/>
        </w:trPr>
        <w:tc>
          <w:tcPr>
            <w:tcW w:w="3340" w:type="dxa"/>
            <w:vAlign w:val="bottom"/>
            <w:gridSpan w:val="2"/>
          </w:tcPr>
          <w:p>
            <w:pPr>
              <w:jc w:val="center"/>
              <w:ind w:right="94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548"/>
              <w:spacing w:after="0"/>
              <w:rPr>
                <w:sz w:val="20"/>
                <w:szCs w:val="20"/>
                <w:color w:val="auto"/>
              </w:rPr>
            </w:pPr>
            <w:r>
              <w:rPr>
                <w:rFonts w:ascii="Arial" w:cs="Arial" w:eastAsia="Arial" w:hAnsi="Arial"/>
                <w:sz w:val="14"/>
                <w:szCs w:val="14"/>
                <w:color w:val="auto"/>
              </w:rPr>
              <w:t>(Zip Code)</w:t>
            </w:r>
          </w:p>
        </w:tc>
      </w:tr>
      <w:tr>
        <w:trPr>
          <w:trHeight w:val="236"/>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182"/>
        </w:trPr>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02"/>
        </w:trPr>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95"/>
        </w:trPr>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right"/>
              <w:ind w:right="388"/>
              <w:spacing w:after="0"/>
              <w:rPr>
                <w:sz w:val="20"/>
                <w:szCs w:val="20"/>
                <w:color w:val="auto"/>
              </w:rPr>
            </w:pPr>
            <w:r>
              <w:rPr>
                <w:rFonts w:ascii="Arial" w:cs="Arial" w:eastAsia="Arial" w:hAnsi="Arial"/>
                <w:sz w:val="14"/>
                <w:szCs w:val="14"/>
                <w:color w:val="auto"/>
              </w:rPr>
              <w:t>Name of each exchange on which registered</w:t>
            </w:r>
          </w:p>
        </w:tc>
      </w:tr>
      <w:tr>
        <w:trPr>
          <w:trHeight w:val="186"/>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14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60"/>
        <w:spacing w:after="0" w:line="3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140" w:type="dxa"/>
            <w:vAlign w:val="bottom"/>
          </w:tcPr>
          <w:p>
            <w:pPr>
              <w:spacing w:after="0"/>
              <w:rPr>
                <w:sz w:val="22"/>
                <w:szCs w:val="22"/>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84"/>
        </w:trPr>
        <w:tc>
          <w:tcPr>
            <w:tcW w:w="1140" w:type="dxa"/>
            <w:vAlign w:val="bottom"/>
            <w:vMerge w:val="restart"/>
          </w:tcPr>
          <w:p>
            <w:pPr>
              <w:spacing w:after="0"/>
              <w:rPr>
                <w:sz w:val="20"/>
                <w:szCs w:val="20"/>
                <w:color w:val="auto"/>
              </w:rPr>
            </w:pPr>
            <w:r>
              <w:rPr>
                <w:rFonts w:ascii="Arial" w:cs="Arial" w:eastAsia="Arial" w:hAnsi="Arial"/>
                <w:sz w:val="16"/>
                <w:szCs w:val="16"/>
                <w:color w:val="auto"/>
              </w:rPr>
              <w:t>Act.</w:t>
            </w:r>
          </w:p>
        </w:tc>
        <w:tc>
          <w:tcPr>
            <w:tcW w:w="312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40" w:type="dxa"/>
            <w:vAlign w:val="bottom"/>
            <w:vMerge w:val="continue"/>
          </w:tcPr>
          <w:p>
            <w:pPr>
              <w:spacing w:after="0"/>
              <w:rPr>
                <w:sz w:val="7"/>
                <w:szCs w:val="7"/>
                <w:color w:val="auto"/>
              </w:rPr>
            </w:pPr>
          </w:p>
        </w:tc>
        <w:tc>
          <w:tcPr>
            <w:tcW w:w="3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ind w:right="740"/>
        <w:spacing w:after="0" w:line="261" w:lineRule="auto"/>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 As of February 8, 2022, there were 60,791,306 shares of the registrant’s Class A common stock, par value $0.001, and 47,499,673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 w:name="page2"/>
    <w:bookmarkEnd w:id="1"/>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5"/>
          </w:tcPr>
          <w:p>
            <w:pPr>
              <w:ind w:left="440"/>
              <w:spacing w:after="0"/>
              <w:rPr>
                <w:sz w:val="20"/>
                <w:szCs w:val="20"/>
                <w:color w:val="auto"/>
              </w:rPr>
            </w:pPr>
            <w:r>
              <w:rPr>
                <w:rFonts w:ascii="Arial" w:cs="Arial" w:eastAsia="Arial" w:hAnsi="Arial"/>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140" w:type="dxa"/>
            <w:vAlign w:val="bottom"/>
            <w:gridSpan w:val="9"/>
            <w:shd w:val="clear" w:color="auto" w:fill="CCEEFF"/>
          </w:tcPr>
          <w:p>
            <w:pPr>
              <w:jc w:val="center"/>
              <w:ind w:right="1680"/>
              <w:spacing w:after="0"/>
              <w:rPr>
                <w:sz w:val="20"/>
                <w:szCs w:val="20"/>
                <w:color w:val="auto"/>
              </w:rPr>
            </w:pPr>
            <w:r>
              <w:rPr>
                <w:rFonts w:ascii="Arial" w:cs="Arial" w:eastAsia="Arial" w:hAnsi="Arial"/>
                <w:sz w:val="18"/>
                <w:szCs w:val="18"/>
                <w:color w:val="auto"/>
                <w:w w:val="98"/>
              </w:rPr>
              <w:t>PART I - FINANCIAL INFORMATION</w:t>
            </w:r>
          </w:p>
        </w:tc>
        <w:tc>
          <w:tcPr>
            <w:tcW w:w="4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0020" w:type="dxa"/>
            <w:vAlign w:val="bottom"/>
            <w:gridSpan w:val="18"/>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as of </w:t>
              </w:r>
            </w:hyperlink>
            <w:r>
              <w:rPr>
                <w:rFonts w:ascii="Arial" w:cs="Arial" w:eastAsia="Arial" w:hAnsi="Arial"/>
                <w:sz w:val="18"/>
                <w:szCs w:val="18"/>
                <w:color w:val="0000FF"/>
              </w:rPr>
              <w:t xml:space="preserve">December 31, 2021 </w:t>
            </w:r>
            <w:hyperlink w:anchor="page5">
              <w:r>
                <w:rPr>
                  <w:rFonts w:ascii="Arial" w:cs="Arial" w:eastAsia="Arial" w:hAnsi="Arial"/>
                  <w:sz w:val="18"/>
                  <w:szCs w:val="18"/>
                  <w:color w:val="0000FF"/>
                </w:rPr>
                <w:t xml:space="preserve">and </w:t>
              </w:r>
            </w:hyperlink>
            <w:r>
              <w:rPr>
                <w:rFonts w:ascii="Arial" w:cs="Arial" w:eastAsia="Arial" w:hAnsi="Arial"/>
                <w:sz w:val="18"/>
                <w:szCs w:val="18"/>
                <w:color w:val="0000FF"/>
              </w:rPr>
              <w:t>March 31, 2021</w:t>
            </w:r>
          </w:p>
        </w:tc>
        <w:tc>
          <w:tcPr>
            <w:tcW w:w="700" w:type="dxa"/>
            <w:vAlign w:val="bottom"/>
            <w:tcBorders>
              <w:right w:val="single" w:sz="8" w:color="CCEEFF"/>
            </w:tcBorders>
            <w:gridSpan w:val="3"/>
            <w:shd w:val="clear" w:color="auto" w:fill="CCEEFF"/>
          </w:tcPr>
          <w:p>
            <w:pPr>
              <w:jc w:val="center"/>
              <w:ind w:left="430"/>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20" w:type="dxa"/>
            <w:vAlign w:val="bottom"/>
            <w:gridSpan w:val="17"/>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Income for the </w:t>
              </w:r>
            </w:hyperlink>
            <w:r>
              <w:rPr>
                <w:rFonts w:ascii="Arial" w:cs="Arial" w:eastAsia="Arial" w:hAnsi="Arial"/>
                <w:sz w:val="18"/>
                <w:szCs w:val="18"/>
                <w:color w:val="0000FF"/>
              </w:rPr>
              <w:t xml:space="preserve">Three and Nine Months Ended December 31, 2021 </w:t>
            </w:r>
            <w:hyperlink w:anchor="page6">
              <w:r>
                <w:rPr>
                  <w:rFonts w:ascii="Arial" w:cs="Arial" w:eastAsia="Arial" w:hAnsi="Arial"/>
                  <w:sz w:val="18"/>
                  <w:szCs w:val="18"/>
                  <w:color w:val="0000FF"/>
                </w:rPr>
                <w:t xml:space="preserve">and </w:t>
              </w:r>
            </w:hyperlink>
            <w:r>
              <w:rPr>
                <w:rFonts w:ascii="Arial" w:cs="Arial" w:eastAsia="Arial" w:hAnsi="Arial"/>
                <w:sz w:val="18"/>
                <w:szCs w:val="18"/>
                <w:color w:val="0000FF"/>
              </w:rPr>
              <w:t>2020</w:t>
            </w:r>
          </w:p>
        </w:tc>
        <w:tc>
          <w:tcPr>
            <w:tcW w:w="700" w:type="dxa"/>
            <w:vAlign w:val="bottom"/>
            <w:gridSpan w:val="3"/>
          </w:tcPr>
          <w:p>
            <w:pPr>
              <w:jc w:val="center"/>
              <w:ind w:left="430"/>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52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 xml:space="preserve">Condensed Consolidated Statements of Comprehensive Income for the </w:t>
              </w:r>
            </w:hyperlink>
            <w:r>
              <w:rPr>
                <w:rFonts w:ascii="Arial" w:cs="Arial" w:eastAsia="Arial" w:hAnsi="Arial"/>
                <w:sz w:val="18"/>
                <w:szCs w:val="18"/>
                <w:color w:val="0000FF"/>
                <w:w w:val="89"/>
              </w:rPr>
              <w:t xml:space="preserve">Three and Nine Months Ended December 31, 2021 </w:t>
            </w:r>
            <w:hyperlink w:anchor="page7">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2020</w:t>
            </w:r>
          </w:p>
        </w:tc>
        <w:tc>
          <w:tcPr>
            <w:tcW w:w="5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20" w:type="dxa"/>
            <w:vAlign w:val="bottom"/>
            <w:gridSpan w:val="17"/>
          </w:tcPr>
          <w:p>
            <w:pPr>
              <w:spacing w:after="0" w:line="189" w:lineRule="exact"/>
              <w:rPr>
                <w:rFonts w:ascii="Arial" w:cs="Arial" w:eastAsia="Arial" w:hAnsi="Arial"/>
                <w:sz w:val="18"/>
                <w:szCs w:val="18"/>
                <w:color w:val="0000FF"/>
                <w:w w:val="91"/>
              </w:rPr>
            </w:pPr>
            <w:hyperlink w:anchor="page8">
              <w:r>
                <w:rPr>
                  <w:rFonts w:ascii="Arial" w:cs="Arial" w:eastAsia="Arial" w:hAnsi="Arial"/>
                  <w:sz w:val="18"/>
                  <w:szCs w:val="18"/>
                  <w:color w:val="0000FF"/>
                  <w:w w:val="91"/>
                </w:rPr>
                <w:t xml:space="preserve">Condensed Consolidated Statements of Stockholders’ Equity for the </w:t>
              </w:r>
            </w:hyperlink>
            <w:r>
              <w:rPr>
                <w:rFonts w:ascii="Arial" w:cs="Arial" w:eastAsia="Arial" w:hAnsi="Arial"/>
                <w:sz w:val="18"/>
                <w:szCs w:val="18"/>
                <w:color w:val="0000FF"/>
                <w:w w:val="91"/>
              </w:rPr>
              <w:t xml:space="preserve">Three and Nine Months Ended December 31, 2021 </w:t>
            </w:r>
            <w:hyperlink w:anchor="page8">
              <w:r>
                <w:rPr>
                  <w:rFonts w:ascii="Arial" w:cs="Arial" w:eastAsia="Arial" w:hAnsi="Arial"/>
                  <w:sz w:val="18"/>
                  <w:szCs w:val="18"/>
                  <w:color w:val="0000FF"/>
                  <w:w w:val="91"/>
                </w:rPr>
                <w:t xml:space="preserve">and </w:t>
              </w:r>
            </w:hyperlink>
            <w:r>
              <w:rPr>
                <w:rFonts w:ascii="Arial" w:cs="Arial" w:eastAsia="Arial" w:hAnsi="Arial"/>
                <w:sz w:val="18"/>
                <w:szCs w:val="18"/>
                <w:color w:val="0000FF"/>
                <w:w w:val="91"/>
              </w:rPr>
              <w:t>2020</w:t>
            </w:r>
          </w:p>
        </w:tc>
        <w:tc>
          <w:tcPr>
            <w:tcW w:w="700" w:type="dxa"/>
            <w:vAlign w:val="bottom"/>
            <w:gridSpan w:val="3"/>
          </w:tcPr>
          <w:p>
            <w:pPr>
              <w:jc w:val="center"/>
              <w:ind w:left="43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20" w:type="dxa"/>
            <w:vAlign w:val="bottom"/>
            <w:gridSpan w:val="17"/>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 xml:space="preserve">Condensed Consolidated Statements of Cash Flows for the </w:t>
              </w:r>
            </w:hyperlink>
            <w:r>
              <w:rPr>
                <w:rFonts w:ascii="Arial" w:cs="Arial" w:eastAsia="Arial" w:hAnsi="Arial"/>
                <w:sz w:val="18"/>
                <w:szCs w:val="18"/>
                <w:color w:val="0000FF"/>
              </w:rPr>
              <w:t xml:space="preserve">Nine Months Ended December 31, 2021 </w:t>
            </w:r>
            <w:hyperlink w:anchor="page10">
              <w:r>
                <w:rPr>
                  <w:rFonts w:ascii="Arial" w:cs="Arial" w:eastAsia="Arial" w:hAnsi="Arial"/>
                  <w:sz w:val="18"/>
                  <w:szCs w:val="18"/>
                  <w:color w:val="0000FF"/>
                </w:rPr>
                <w:t xml:space="preserve">and </w:t>
              </w:r>
            </w:hyperlink>
            <w:r>
              <w:rPr>
                <w:rFonts w:ascii="Arial" w:cs="Arial" w:eastAsia="Arial" w:hAnsi="Arial"/>
                <w:sz w:val="18"/>
                <w:szCs w:val="18"/>
                <w:color w:val="0000FF"/>
              </w:rPr>
              <w:t>2020</w:t>
            </w:r>
          </w:p>
        </w:tc>
        <w:tc>
          <w:tcPr>
            <w:tcW w:w="700" w:type="dxa"/>
            <w:vAlign w:val="bottom"/>
            <w:tcBorders>
              <w:right w:val="single" w:sz="8" w:color="CCEEFF"/>
            </w:tcBorders>
            <w:gridSpan w:val="3"/>
            <w:shd w:val="clear" w:color="auto" w:fill="CCEEFF"/>
          </w:tcPr>
          <w:p>
            <w:pPr>
              <w:jc w:val="center"/>
              <w:ind w:left="430"/>
              <w:spacing w:after="0" w:line="189" w:lineRule="exact"/>
              <w:rPr>
                <w:rFonts w:ascii="Arial" w:cs="Arial" w:eastAsia="Arial" w:hAnsi="Arial"/>
                <w:sz w:val="18"/>
                <w:szCs w:val="18"/>
                <w:color w:val="0000FF"/>
                <w:w w:val="89"/>
              </w:rPr>
            </w:pPr>
            <w:hyperlink w:anchor="page10">
              <w:r>
                <w:rPr>
                  <w:rFonts w:ascii="Arial" w:cs="Arial" w:eastAsia="Arial" w:hAnsi="Arial"/>
                  <w:sz w:val="18"/>
                  <w:szCs w:val="18"/>
                  <w:color w:val="0000FF"/>
                  <w:w w:val="89"/>
                </w:rPr>
                <w:t>11</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880" w:type="dxa"/>
            <w:vAlign w:val="bottom"/>
            <w:tcBorders>
              <w:top w:val="single" w:sz="8" w:color="0000FF"/>
            </w:tcBorders>
            <w:gridSpan w:val="14"/>
          </w:tcPr>
          <w:p>
            <w:pPr>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Notes to Condensed Consolidated Financial Statements</w:t>
              </w:r>
            </w:hyperlink>
          </w:p>
        </w:tc>
        <w:tc>
          <w:tcPr>
            <w:tcW w:w="1640" w:type="dxa"/>
            <w:vAlign w:val="bottom"/>
            <w:tcBorders>
              <w:top w:val="single" w:sz="8" w:color="CCEEFF"/>
            </w:tcBorders>
            <w:gridSpan w:val="3"/>
          </w:tcPr>
          <w:p>
            <w:pPr>
              <w:spacing w:after="0"/>
              <w:rPr>
                <w:sz w:val="16"/>
                <w:szCs w:val="16"/>
                <w:color w:val="auto"/>
              </w:rPr>
            </w:pPr>
          </w:p>
        </w:tc>
        <w:tc>
          <w:tcPr>
            <w:tcW w:w="56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12">
              <w:r>
                <w:rPr>
                  <w:rFonts w:ascii="Arial" w:cs="Arial" w:eastAsia="Arial" w:hAnsi="Arial"/>
                  <w:sz w:val="17"/>
                  <w:szCs w:val="17"/>
                  <w:color w:val="0000FF"/>
                  <w:w w:val="73"/>
                </w:rPr>
                <w:t>13</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4"/>
            <w:shd w:val="clear" w:color="auto" w:fill="CCEEFF"/>
          </w:tcPr>
          <w:p>
            <w:pPr>
              <w:spacing w:after="0" w:line="189"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Item 2. Management’s Discussion and Analysis of Financial Condition and Results of Operations</w:t>
              </w:r>
            </w:hyperlink>
          </w:p>
        </w:tc>
        <w:tc>
          <w:tcPr>
            <w:tcW w:w="3000" w:type="dxa"/>
            <w:vAlign w:val="bottom"/>
            <w:tcBorders>
              <w:bottom w:val="single" w:sz="8" w:color="CCEEFF"/>
            </w:tcBorders>
            <w:gridSpan w:val="4"/>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7"/>
                <w:szCs w:val="17"/>
                <w:color w:val="0000FF"/>
                <w:w w:val="73"/>
              </w:rPr>
            </w:pPr>
            <w:hyperlink w:anchor="page44">
              <w:r>
                <w:rPr>
                  <w:rFonts w:ascii="Arial" w:cs="Arial" w:eastAsia="Arial" w:hAnsi="Arial"/>
                  <w:sz w:val="17"/>
                  <w:szCs w:val="17"/>
                  <w:color w:val="0000FF"/>
                  <w:w w:val="73"/>
                </w:rPr>
                <w:t>45</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020" w:type="dxa"/>
            <w:vAlign w:val="bottom"/>
            <w:gridSpan w:val="18"/>
          </w:tcPr>
          <w:p>
            <w:pPr>
              <w:spacing w:after="0" w:line="189" w:lineRule="exact"/>
              <w:rPr>
                <w:rFonts w:ascii="Arial" w:cs="Arial" w:eastAsia="Arial" w:hAnsi="Arial"/>
                <w:sz w:val="18"/>
                <w:szCs w:val="18"/>
                <w:color w:val="0000FF"/>
              </w:rPr>
            </w:pPr>
            <w:hyperlink w:anchor="page80">
              <w:r>
                <w:rPr>
                  <w:rFonts w:ascii="Arial" w:cs="Arial" w:eastAsia="Arial" w:hAnsi="Arial"/>
                  <w:sz w:val="18"/>
                  <w:szCs w:val="18"/>
                  <w:color w:val="0000FF"/>
                </w:rPr>
                <w:t>Item 3. Qualitative and Quantitative Disclosures about Market Risk</w:t>
              </w:r>
            </w:hyperlink>
          </w:p>
        </w:tc>
        <w:tc>
          <w:tcPr>
            <w:tcW w:w="700" w:type="dxa"/>
            <w:vAlign w:val="bottom"/>
            <w:gridSpan w:val="3"/>
          </w:tcPr>
          <w:p>
            <w:pPr>
              <w:jc w:val="center"/>
              <w:ind w:left="430"/>
              <w:spacing w:after="0" w:line="189"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020" w:type="dxa"/>
            <w:vAlign w:val="bottom"/>
            <w:gridSpan w:val="18"/>
            <w:shd w:val="clear" w:color="auto" w:fill="CCEEFF"/>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Item 4. Controls and Procedures</w:t>
              </w:r>
            </w:hyperlink>
          </w:p>
        </w:tc>
        <w:tc>
          <w:tcPr>
            <w:tcW w:w="700" w:type="dxa"/>
            <w:vAlign w:val="bottom"/>
            <w:tcBorders>
              <w:right w:val="single" w:sz="8" w:color="CCEEFF"/>
            </w:tcBorders>
            <w:gridSpan w:val="3"/>
            <w:shd w:val="clear" w:color="auto" w:fill="CCEEFF"/>
          </w:tcPr>
          <w:p>
            <w:pPr>
              <w:jc w:val="center"/>
              <w:ind w:left="430"/>
              <w:spacing w:after="0" w:line="189"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82</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7140" w:type="dxa"/>
            <w:vAlign w:val="bottom"/>
            <w:tcBorders>
              <w:top w:val="single" w:sz="8" w:color="CCEEFF"/>
            </w:tcBorders>
            <w:gridSpan w:val="9"/>
          </w:tcPr>
          <w:p>
            <w:pPr>
              <w:jc w:val="center"/>
              <w:ind w:right="1700"/>
              <w:spacing w:after="0"/>
              <w:rPr>
                <w:sz w:val="20"/>
                <w:szCs w:val="20"/>
                <w:color w:val="auto"/>
              </w:rPr>
            </w:pPr>
            <w:r>
              <w:rPr>
                <w:rFonts w:ascii="Arial" w:cs="Arial" w:eastAsia="Arial" w:hAnsi="Arial"/>
                <w:sz w:val="18"/>
                <w:szCs w:val="18"/>
                <w:color w:val="auto"/>
                <w:w w:val="96"/>
              </w:rPr>
              <w:t>PART II - OTHER INFORMATION</w:t>
            </w:r>
          </w:p>
        </w:tc>
        <w:tc>
          <w:tcPr>
            <w:tcW w:w="4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Item 1. Legal Proceedings</w:t>
              </w:r>
            </w:hyperlink>
          </w:p>
        </w:tc>
        <w:tc>
          <w:tcPr>
            <w:tcW w:w="8120" w:type="dxa"/>
            <w:vAlign w:val="bottom"/>
            <w:tcBorders>
              <w:bottom w:val="single" w:sz="8" w:color="CCEEFF"/>
            </w:tcBorders>
            <w:gridSpan w:val="12"/>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7"/>
                <w:szCs w:val="17"/>
                <w:color w:val="0000FF"/>
                <w:w w:val="73"/>
              </w:rPr>
            </w:pPr>
            <w:hyperlink w:anchor="page82">
              <w:r>
                <w:rPr>
                  <w:rFonts w:ascii="Arial" w:cs="Arial" w:eastAsia="Arial" w:hAnsi="Arial"/>
                  <w:sz w:val="17"/>
                  <w:szCs w:val="17"/>
                  <w:color w:val="0000FF"/>
                  <w:w w:val="73"/>
                </w:rPr>
                <w:t>82</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020" w:type="dxa"/>
            <w:vAlign w:val="bottom"/>
            <w:gridSpan w:val="18"/>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Item 1A. Risk Factors</w:t>
              </w:r>
            </w:hyperlink>
          </w:p>
        </w:tc>
        <w:tc>
          <w:tcPr>
            <w:tcW w:w="700" w:type="dxa"/>
            <w:vAlign w:val="bottom"/>
            <w:gridSpan w:val="3"/>
          </w:tcPr>
          <w:p>
            <w:pPr>
              <w:jc w:val="center"/>
              <w:ind w:left="430"/>
              <w:spacing w:after="0" w:line="189"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83</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020" w:type="dxa"/>
            <w:vAlign w:val="bottom"/>
            <w:gridSpan w:val="18"/>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2. Unregistered Sales of Equity Securities and Use of Proceeds</w:t>
              </w:r>
            </w:hyperlink>
          </w:p>
        </w:tc>
        <w:tc>
          <w:tcPr>
            <w:tcW w:w="700" w:type="dxa"/>
            <w:vAlign w:val="bottom"/>
            <w:tcBorders>
              <w:right w:val="single" w:sz="8" w:color="CCEEFF"/>
            </w:tcBorders>
            <w:gridSpan w:val="3"/>
            <w:shd w:val="clear" w:color="auto" w:fill="CCEEFF"/>
          </w:tcPr>
          <w:p>
            <w:pPr>
              <w:jc w:val="center"/>
              <w:ind w:left="43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83</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2"/>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3. Defaults Upon Senior Securities</w:t>
              </w:r>
            </w:hyperlink>
          </w:p>
        </w:tc>
        <w:tc>
          <w:tcPr>
            <w:tcW w:w="5120" w:type="dxa"/>
            <w:vAlign w:val="bottom"/>
            <w:tcBorders>
              <w:top w:val="single" w:sz="8" w:color="CCEEFF"/>
            </w:tcBorders>
            <w:gridSpan w:val="6"/>
          </w:tcPr>
          <w:p>
            <w:pPr>
              <w:spacing w:after="0"/>
              <w:rPr>
                <w:sz w:val="16"/>
                <w:szCs w:val="16"/>
                <w:color w:val="auto"/>
              </w:rPr>
            </w:pPr>
          </w:p>
        </w:tc>
        <w:tc>
          <w:tcPr>
            <w:tcW w:w="56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83">
              <w:r>
                <w:rPr>
                  <w:rFonts w:ascii="Arial" w:cs="Arial" w:eastAsia="Arial" w:hAnsi="Arial"/>
                  <w:sz w:val="17"/>
                  <w:szCs w:val="17"/>
                  <w:color w:val="0000FF"/>
                  <w:w w:val="73"/>
                </w:rPr>
                <w:t>83</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020" w:type="dxa"/>
            <w:vAlign w:val="bottom"/>
            <w:gridSpan w:val="18"/>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4. Mine Safety Disclosures</w:t>
              </w:r>
            </w:hyperlink>
          </w:p>
        </w:tc>
        <w:tc>
          <w:tcPr>
            <w:tcW w:w="700" w:type="dxa"/>
            <w:vAlign w:val="bottom"/>
            <w:tcBorders>
              <w:right w:val="single" w:sz="8" w:color="CCEEFF"/>
            </w:tcBorders>
            <w:gridSpan w:val="3"/>
            <w:shd w:val="clear" w:color="auto" w:fill="CCEEFF"/>
          </w:tcPr>
          <w:p>
            <w:pPr>
              <w:jc w:val="center"/>
              <w:ind w:left="43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83</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8"/>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5. Other Information</w:t>
              </w:r>
            </w:hyperlink>
          </w:p>
        </w:tc>
        <w:tc>
          <w:tcPr>
            <w:tcW w:w="7700" w:type="dxa"/>
            <w:vAlign w:val="bottom"/>
            <w:tcBorders>
              <w:top w:val="single" w:sz="8" w:color="CCEEFF"/>
            </w:tcBorders>
            <w:gridSpan w:val="10"/>
          </w:tcPr>
          <w:p>
            <w:pPr>
              <w:spacing w:after="0"/>
              <w:rPr>
                <w:sz w:val="16"/>
                <w:szCs w:val="16"/>
                <w:color w:val="auto"/>
              </w:rPr>
            </w:pPr>
          </w:p>
        </w:tc>
        <w:tc>
          <w:tcPr>
            <w:tcW w:w="56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83">
              <w:r>
                <w:rPr>
                  <w:rFonts w:ascii="Arial" w:cs="Arial" w:eastAsia="Arial" w:hAnsi="Arial"/>
                  <w:sz w:val="17"/>
                  <w:szCs w:val="17"/>
                  <w:color w:val="0000FF"/>
                  <w:w w:val="73"/>
                </w:rPr>
                <w:t>83</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020" w:type="dxa"/>
            <w:vAlign w:val="bottom"/>
            <w:gridSpan w:val="18"/>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6. Exhibits</w:t>
              </w:r>
            </w:hyperlink>
          </w:p>
        </w:tc>
        <w:tc>
          <w:tcPr>
            <w:tcW w:w="700" w:type="dxa"/>
            <w:vAlign w:val="bottom"/>
            <w:tcBorders>
              <w:right w:val="single" w:sz="8" w:color="CCEEFF"/>
            </w:tcBorders>
            <w:gridSpan w:val="3"/>
            <w:shd w:val="clear" w:color="auto" w:fill="CCEEFF"/>
          </w:tcPr>
          <w:p>
            <w:pPr>
              <w:jc w:val="center"/>
              <w:ind w:left="43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84</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3"/>
          </w:tcPr>
          <w:p>
            <w:pPr>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Signatures</w:t>
              </w:r>
            </w:hyperlink>
          </w:p>
        </w:tc>
        <w:tc>
          <w:tcPr>
            <w:tcW w:w="8860" w:type="dxa"/>
            <w:vAlign w:val="bottom"/>
            <w:tcBorders>
              <w:top w:val="single" w:sz="8" w:color="CCEEFF"/>
            </w:tcBorders>
            <w:gridSpan w:val="15"/>
          </w:tcPr>
          <w:p>
            <w:pPr>
              <w:spacing w:after="0"/>
              <w:rPr>
                <w:sz w:val="16"/>
                <w:szCs w:val="16"/>
                <w:color w:val="auto"/>
              </w:rPr>
            </w:pPr>
          </w:p>
        </w:tc>
        <w:tc>
          <w:tcPr>
            <w:tcW w:w="56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84">
              <w:r>
                <w:rPr>
                  <w:rFonts w:ascii="Arial" w:cs="Arial" w:eastAsia="Arial" w:hAnsi="Arial"/>
                  <w:sz w:val="17"/>
                  <w:szCs w:val="17"/>
                  <w:color w:val="0000FF"/>
                  <w:w w:val="73"/>
                </w:rPr>
                <w:t>85</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10" w:lineRule="exact"/>
        <w:rPr>
          <w:sz w:val="20"/>
          <w:szCs w:val="20"/>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StepStone Group Inc.</w:t>
      </w:r>
      <w:r>
        <w:rPr>
          <w:rFonts w:ascii="Arial" w:cs="Arial" w:eastAsia="Arial" w:hAnsi="Arial"/>
          <w:sz w:val="18"/>
          <w:szCs w:val="18"/>
          <w:color w:val="auto"/>
        </w:rPr>
        <w:t>” or “</w:t>
      </w:r>
      <w:r>
        <w:rPr>
          <w:rFonts w:ascii="Arial" w:cs="Arial" w:eastAsia="Arial" w:hAnsi="Arial"/>
          <w:sz w:val="18"/>
          <w:szCs w:val="18"/>
          <w:b w:val="1"/>
          <w:bCs w:val="1"/>
          <w:color w:val="auto"/>
        </w:rPr>
        <w:t>SSG</w:t>
      </w:r>
      <w:r>
        <w:rPr>
          <w:rFonts w:ascii="Arial" w:cs="Arial" w:eastAsia="Arial" w:hAnsi="Arial"/>
          <w:sz w:val="18"/>
          <w:szCs w:val="18"/>
          <w:color w:val="auto"/>
        </w:rPr>
        <w:t>” refer solely to StepStone Group Inc., a Delaware corporation, and not to any of its subsidiaries;</w:t>
      </w:r>
    </w:p>
    <w:p>
      <w:pPr>
        <w:spacing w:after="0" w:line="238" w:lineRule="exact"/>
        <w:rPr>
          <w:rFonts w:ascii="Arial" w:cs="Arial" w:eastAsia="Arial" w:hAnsi="Arial"/>
          <w:sz w:val="18"/>
          <w:szCs w:val="18"/>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27" w:lineRule="exact"/>
        <w:rPr>
          <w:rFonts w:ascii="Arial" w:cs="Arial" w:eastAsia="Arial" w:hAnsi="Arial"/>
          <w:sz w:val="19"/>
          <w:szCs w:val="19"/>
          <w:color w:val="auto"/>
        </w:rPr>
      </w:pPr>
    </w:p>
    <w:p>
      <w:pPr>
        <w:ind w:left="660" w:right="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63" w:lineRule="exact"/>
        <w:rPr>
          <w:rFonts w:ascii="Arial" w:cs="Arial" w:eastAsia="Arial" w:hAnsi="Arial"/>
          <w:sz w:val="20"/>
          <w:szCs w:val="20"/>
          <w:color w:val="auto"/>
        </w:rPr>
      </w:pPr>
    </w:p>
    <w:p>
      <w:pPr>
        <w:ind w:left="660" w:hanging="4"/>
        <w:spacing w:after="0" w:line="253"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 following the Reorganization and IPO (each as defined below) and to the Partnership and its consolidated subsidiaries prior to the Reorganization and IPO;</w:t>
      </w:r>
    </w:p>
    <w:p>
      <w:pPr>
        <w:spacing w:after="0" w:line="177" w:lineRule="exact"/>
        <w:rPr>
          <w:rFonts w:ascii="Arial" w:cs="Arial" w:eastAsia="Arial" w:hAnsi="Arial"/>
          <w:sz w:val="20"/>
          <w:szCs w:val="20"/>
          <w:color w:val="auto"/>
        </w:rPr>
      </w:pPr>
    </w:p>
    <w:p>
      <w:pPr>
        <w:ind w:left="660" w:right="620" w:hanging="4"/>
        <w:spacing w:after="0" w:line="393" w:lineRule="auto"/>
        <w:tabs>
          <w:tab w:leader="none" w:pos="77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StepStone Funds</w:t>
      </w:r>
      <w:r>
        <w:rPr>
          <w:rFonts w:ascii="Arial" w:cs="Arial" w:eastAsia="Arial" w:hAnsi="Arial"/>
          <w:sz w:val="16"/>
          <w:szCs w:val="16"/>
          <w:color w:val="auto"/>
        </w:rPr>
        <w:t>” or “</w:t>
      </w:r>
      <w:r>
        <w:rPr>
          <w:rFonts w:ascii="Arial" w:cs="Arial" w:eastAsia="Arial" w:hAnsi="Arial"/>
          <w:sz w:val="16"/>
          <w:szCs w:val="16"/>
          <w:b w:val="1"/>
          <w:bCs w:val="1"/>
          <w:color w:val="auto"/>
        </w:rPr>
        <w:t>our funds</w:t>
      </w:r>
      <w:r>
        <w:rPr>
          <w:rFonts w:ascii="Arial" w:cs="Arial" w:eastAsia="Arial" w:hAnsi="Arial"/>
          <w:sz w:val="16"/>
          <w:szCs w:val="16"/>
          <w:color w:val="auto"/>
        </w:rPr>
        <w:t>” refer to our focused commingled funds and our separately managed accounts, including acquired Greenspring funds, for which we act as both investment adviser and general partner or managing member;</w:t>
      </w:r>
    </w:p>
    <w:p>
      <w:pPr>
        <w:spacing w:after="0" w:line="72" w:lineRule="exact"/>
        <w:rPr>
          <w:rFonts w:ascii="Arial" w:cs="Arial" w:eastAsia="Arial" w:hAnsi="Arial"/>
          <w:sz w:val="16"/>
          <w:szCs w:val="16"/>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Greenspring acquisition</w:t>
      </w:r>
      <w:r>
        <w:rPr>
          <w:rFonts w:ascii="Arial" w:cs="Arial" w:eastAsia="Arial" w:hAnsi="Arial"/>
          <w:sz w:val="18"/>
          <w:szCs w:val="18"/>
          <w:color w:val="auto"/>
        </w:rPr>
        <w:t>” refer to the acquisition of Greenspring Associates, Inc. and certain of its affiliates,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Greenspring</w:t>
      </w:r>
      <w:r>
        <w:rPr>
          <w:rFonts w:ascii="Arial" w:cs="Arial" w:eastAsia="Arial" w:hAnsi="Arial"/>
          <w:sz w:val="20"/>
          <w:szCs w:val="20"/>
          <w:color w:val="auto"/>
        </w:rPr>
        <w:t>,” that was completed on September 20, 2021;</w:t>
      </w:r>
    </w:p>
    <w:p>
      <w:pPr>
        <w:spacing w:after="0" w:line="194" w:lineRule="exact"/>
        <w:rPr>
          <w:sz w:val="20"/>
          <w:szCs w:val="20"/>
          <w:color w:val="auto"/>
        </w:rPr>
      </w:pPr>
    </w:p>
    <w:p>
      <w:pPr>
        <w:ind w:left="780" w:hanging="124"/>
        <w:spacing w:after="0"/>
        <w:tabs>
          <w:tab w:leader="none" w:pos="7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660" w:right="44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the “</w:t>
      </w:r>
      <w:r>
        <w:rPr>
          <w:rFonts w:ascii="Arial" w:cs="Arial" w:eastAsia="Arial" w:hAnsi="Arial"/>
          <w:sz w:val="20"/>
          <w:szCs w:val="20"/>
          <w:b w:val="1"/>
          <w:bCs w:val="1"/>
          <w:color w:val="auto"/>
        </w:rPr>
        <w:t>Reorganization</w:t>
      </w:r>
      <w:r>
        <w:rPr>
          <w:rFonts w:ascii="Arial" w:cs="Arial" w:eastAsia="Arial" w:hAnsi="Arial"/>
          <w:sz w:val="20"/>
          <w:szCs w:val="20"/>
          <w:color w:val="auto"/>
        </w:rPr>
        <w:t>” refer to the series of transactions immediately before the Company’s initial public offering (“</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63" w:lineRule="exact"/>
        <w:rPr>
          <w:rFonts w:ascii="Arial" w:cs="Arial" w:eastAsia="Arial" w:hAnsi="Arial"/>
          <w:sz w:val="20"/>
          <w:szCs w:val="20"/>
          <w:color w:val="auto"/>
        </w:rPr>
      </w:pPr>
    </w:p>
    <w:p>
      <w:pPr>
        <w:ind w:left="660" w:right="64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combined AUM / AUA</w:t>
      </w:r>
      <w:r>
        <w:rPr>
          <w:rFonts w:ascii="Arial" w:cs="Arial" w:eastAsia="Arial" w:hAnsi="Arial"/>
          <w:sz w:val="20"/>
          <w:szCs w:val="20"/>
          <w:color w:val="auto"/>
        </w:rPr>
        <w:t>” refer to the aggregate amount of our assets under management (“</w:t>
      </w:r>
      <w:r>
        <w:rPr>
          <w:rFonts w:ascii="Arial" w:cs="Arial" w:eastAsia="Arial" w:hAnsi="Arial"/>
          <w:sz w:val="20"/>
          <w:szCs w:val="20"/>
          <w:b w:val="1"/>
          <w:bCs w:val="1"/>
          <w:color w:val="auto"/>
        </w:rPr>
        <w:t>AUM</w:t>
      </w:r>
      <w:r>
        <w:rPr>
          <w:rFonts w:ascii="Arial" w:cs="Arial" w:eastAsia="Arial" w:hAnsi="Arial"/>
          <w:sz w:val="20"/>
          <w:szCs w:val="20"/>
          <w:color w:val="auto"/>
        </w:rPr>
        <w:t>”) and our assets under advisement (“</w:t>
      </w:r>
      <w:r>
        <w:rPr>
          <w:rFonts w:ascii="Arial" w:cs="Arial" w:eastAsia="Arial" w:hAnsi="Arial"/>
          <w:sz w:val="20"/>
          <w:szCs w:val="20"/>
          <w:b w:val="1"/>
          <w:bCs w:val="1"/>
          <w:color w:val="auto"/>
        </w:rPr>
        <w:t>AUA”</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high-net-worth</w:t>
      </w:r>
      <w:r>
        <w:rPr>
          <w:rFonts w:ascii="Arial" w:cs="Arial" w:eastAsia="Arial" w:hAnsi="Arial"/>
          <w:sz w:val="18"/>
          <w:szCs w:val="18"/>
          <w:color w:val="auto"/>
        </w:rPr>
        <w:t>” individuals refer to individuals with net worth of over $5 million, excluding primary residence; and</w:t>
      </w:r>
    </w:p>
    <w:p>
      <w:pPr>
        <w:spacing w:after="0" w:line="238" w:lineRule="exact"/>
        <w:rPr>
          <w:rFonts w:ascii="Arial" w:cs="Arial" w:eastAsia="Arial" w:hAnsi="Arial"/>
          <w:sz w:val="18"/>
          <w:szCs w:val="18"/>
          <w:color w:val="auto"/>
        </w:rPr>
      </w:pPr>
    </w:p>
    <w:p>
      <w:pPr>
        <w:ind w:left="660" w:right="22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2021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4"/>
              </w:rPr>
              <w:t>As of</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March 31, 2021</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135,885</w:t>
            </w:r>
          </w:p>
        </w:tc>
        <w:tc>
          <w:tcPr>
            <w:tcW w:w="4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179,886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Fees and accounts receivable</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32,096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affiliates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funds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98,780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74,379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carried interest allocations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1,347,448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896,523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Legacy Greenspring investments in funds and accrued carried interest allocations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1,311,475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Deferred income tax assets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89,439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 net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Other assets and receivables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23,619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24,715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net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409,174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583,196</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4,036,629</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1,320,772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60,007</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47,723</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60,299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34,224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carried interest-related compensation</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688,116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465,610</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line="216" w:lineRule="exact"/>
              <w:rPr>
                <w:sz w:val="20"/>
                <w:szCs w:val="20"/>
                <w:color w:val="auto"/>
              </w:rPr>
            </w:pPr>
            <w:r>
              <w:rPr>
                <w:rFonts w:ascii="Arial" w:cs="Arial" w:eastAsia="Arial" w:hAnsi="Arial"/>
                <w:sz w:val="16"/>
                <w:szCs w:val="16"/>
                <w:color w:val="auto"/>
              </w:rPr>
              <w:t>Legacy Greenspring accrued carried interest-related compensation</w:t>
            </w:r>
            <w:r>
              <w:rPr>
                <w:rFonts w:ascii="Arial" w:cs="Arial" w:eastAsia="Arial" w:hAnsi="Arial"/>
                <w:sz w:val="21"/>
                <w:szCs w:val="21"/>
                <w:color w:val="auto"/>
                <w:vertAlign w:val="superscript"/>
              </w:rPr>
              <w:t>(1)</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1,069,983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to affiliates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203,971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73,437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obligations</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62,762</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14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2,218,575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661,079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40" w:type="dxa"/>
            <w:vAlign w:val="bottom"/>
          </w:tcPr>
          <w:p>
            <w:pPr>
              <w:ind w:left="20"/>
              <w:spacing w:after="0" w:line="166" w:lineRule="exact"/>
              <w:rPr>
                <w:sz w:val="20"/>
                <w:szCs w:val="20"/>
                <w:color w:val="auto"/>
              </w:rPr>
            </w:pPr>
            <w:r>
              <w:rPr>
                <w:rFonts w:ascii="Arial" w:cs="Arial" w:eastAsia="Arial" w:hAnsi="Arial"/>
                <w:sz w:val="16"/>
                <w:szCs w:val="16"/>
                <w:color w:val="auto"/>
                <w:w w:val="91"/>
              </w:rPr>
              <w:t>Class A common stock, $0.001 par value, 650,000,000 authorized; 60,782,690 and 38,437,500 issued and outstanding as of</w:t>
            </w:r>
          </w:p>
        </w:tc>
        <w:tc>
          <w:tcPr>
            <w:tcW w:w="4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8140" w:type="dxa"/>
            <w:vAlign w:val="bottom"/>
          </w:tcPr>
          <w:p>
            <w:pPr>
              <w:ind w:left="360"/>
              <w:spacing w:after="0"/>
              <w:rPr>
                <w:sz w:val="20"/>
                <w:szCs w:val="20"/>
                <w:color w:val="auto"/>
              </w:rPr>
            </w:pPr>
            <w:r>
              <w:rPr>
                <w:rFonts w:ascii="Arial" w:cs="Arial" w:eastAsia="Arial" w:hAnsi="Arial"/>
                <w:sz w:val="16"/>
                <w:szCs w:val="16"/>
                <w:color w:val="auto"/>
              </w:rPr>
              <w:t>December 31, 2021 and March 31, 2021, respectively</w:t>
            </w:r>
          </w:p>
        </w:tc>
        <w:tc>
          <w:tcPr>
            <w:tcW w:w="4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Class B common stock, $0.001 par value, 125,000,000 authorized; 47,499,673 and 56,378,831 issued and outstanding as of</w:t>
            </w:r>
          </w:p>
        </w:tc>
        <w:tc>
          <w:tcPr>
            <w:tcW w:w="4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2021 and March 31, 2021, respectively</w:t>
            </w:r>
          </w:p>
        </w:tc>
        <w:tc>
          <w:tcPr>
            <w:tcW w:w="4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578,118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188,751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StepStone Group Inc. stockholders’ equity</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775,699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249,408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Non-controlling interests in subsidiaries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28,571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25,885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Non-controlling interests in legacy Greenspring entities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241,493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in the Partnership</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772,291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384,400</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1,818,054</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659,693</w:t>
            </w:r>
          </w:p>
        </w:tc>
        <w:tc>
          <w:tcPr>
            <w:tcW w:w="0" w:type="dxa"/>
            <w:vAlign w:val="bottom"/>
          </w:tcPr>
          <w:p>
            <w:pPr>
              <w:spacing w:after="0"/>
              <w:rPr>
                <w:sz w:val="1"/>
                <w:szCs w:val="1"/>
                <w:color w:val="auto"/>
              </w:rPr>
            </w:pPr>
          </w:p>
        </w:tc>
      </w:tr>
      <w:tr>
        <w:trPr>
          <w:trHeight w:val="206"/>
        </w:trPr>
        <w:tc>
          <w:tcPr>
            <w:tcW w:w="814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4,036,629</w:t>
            </w:r>
          </w:p>
        </w:tc>
        <w:tc>
          <w:tcPr>
            <w:tcW w:w="4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1,320,772</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the Company did not acquire any direct economic interests. See notes 5 and 14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5040"/>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70"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following presents the portion of the condensed consolidated balances presented above attributable to consolidated variable interest entities.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0"/>
              </w:rPr>
              <w:t>December 31, 2021</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March 31, 2021</w:t>
            </w:r>
          </w:p>
        </w:tc>
      </w:tr>
      <w:tr>
        <w:trPr>
          <w:trHeight w:val="212"/>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760" w:type="dxa"/>
            <w:vAlign w:val="bottom"/>
          </w:tcPr>
          <w:p>
            <w:pPr>
              <w:ind w:left="680"/>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26,561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16,833</w:t>
            </w: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Restricted cash</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6760" w:type="dxa"/>
            <w:vAlign w:val="bottom"/>
          </w:tcPr>
          <w:p>
            <w:pPr>
              <w:ind w:left="680"/>
              <w:spacing w:after="0"/>
              <w:rPr>
                <w:sz w:val="20"/>
                <w:szCs w:val="20"/>
                <w:color w:val="auto"/>
              </w:rPr>
            </w:pPr>
            <w:r>
              <w:rPr>
                <w:rFonts w:ascii="Arial" w:cs="Arial" w:eastAsia="Arial" w:hAnsi="Arial"/>
                <w:sz w:val="18"/>
                <w:szCs w:val="18"/>
                <w:color w:val="auto"/>
              </w:rPr>
              <w:t>Fees and accounts receivable</w:t>
            </w:r>
          </w:p>
        </w:tc>
        <w:tc>
          <w:tcPr>
            <w:tcW w:w="7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28,061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25,282</w:t>
            </w: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from affiliates</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Investments in funds</w:t>
            </w:r>
          </w:p>
        </w:tc>
        <w:tc>
          <w:tcPr>
            <w:tcW w:w="7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19,405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13,658</w:t>
            </w:r>
          </w:p>
        </w:tc>
      </w:tr>
      <w:tr>
        <w:trPr>
          <w:trHeight w:val="230"/>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Legacy Greenspring investments in funds and accrued carried interest allocations</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1,311,475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tcPr>
          <w:p>
            <w:pPr>
              <w:ind w:left="680"/>
              <w:spacing w:after="0"/>
              <w:rPr>
                <w:sz w:val="20"/>
                <w:szCs w:val="20"/>
                <w:color w:val="auto"/>
              </w:rPr>
            </w:pPr>
            <w:r>
              <w:rPr>
                <w:rFonts w:ascii="Arial" w:cs="Arial" w:eastAsia="Arial" w:hAnsi="Arial"/>
                <w:sz w:val="18"/>
                <w:szCs w:val="18"/>
                <w:color w:val="auto"/>
              </w:rPr>
              <w:t>Deferred income tax assets</w:t>
            </w:r>
          </w:p>
        </w:tc>
        <w:tc>
          <w:tcPr>
            <w:tcW w:w="7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Lease right-of-use assets, net</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assets and receivables</w:t>
            </w: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r>
      <w:tr>
        <w:trPr>
          <w:trHeight w:val="24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1,411,754</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Liabilities</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760" w:type="dxa"/>
            <w:vAlign w:val="bottom"/>
          </w:tcPr>
          <w:p>
            <w:pPr>
              <w:ind w:left="680"/>
              <w:spacing w:after="0"/>
              <w:rPr>
                <w:sz w:val="20"/>
                <w:szCs w:val="20"/>
                <w:color w:val="auto"/>
              </w:rPr>
            </w:pPr>
            <w:r>
              <w:rPr>
                <w:rFonts w:ascii="Arial" w:cs="Arial" w:eastAsia="Arial" w:hAnsi="Arial"/>
                <w:sz w:val="18"/>
                <w:szCs w:val="18"/>
                <w:color w:val="auto"/>
              </w:rPr>
              <w:t>Accounts payable, accrued expenses and other liabilities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8,478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10,370</w:t>
            </w:r>
          </w:p>
        </w:tc>
      </w:tr>
      <w:tr>
        <w:trPr>
          <w:trHeight w:val="230"/>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compensation and benefits</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w:t>
            </w:r>
          </w:p>
        </w:tc>
      </w:tr>
      <w:tr>
        <w:trPr>
          <w:trHeight w:val="229"/>
        </w:trPr>
        <w:tc>
          <w:tcPr>
            <w:tcW w:w="6760" w:type="dxa"/>
            <w:vAlign w:val="bottom"/>
          </w:tcPr>
          <w:p>
            <w:pPr>
              <w:ind w:left="680"/>
              <w:spacing w:after="0"/>
              <w:rPr>
                <w:sz w:val="20"/>
                <w:szCs w:val="20"/>
                <w:color w:val="auto"/>
              </w:rPr>
            </w:pPr>
            <w:r>
              <w:rPr>
                <w:rFonts w:ascii="Arial" w:cs="Arial" w:eastAsia="Arial" w:hAnsi="Arial"/>
                <w:sz w:val="18"/>
                <w:szCs w:val="18"/>
                <w:color w:val="auto"/>
              </w:rPr>
              <w:t>Legacy Greenspring accrued carried interest-related compensation</w:t>
            </w:r>
          </w:p>
        </w:tc>
        <w:tc>
          <w:tcPr>
            <w:tcW w:w="7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1,069,983</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to affiliates</w:t>
            </w: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Lease liabilities</w:t>
            </w: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17,936</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1,122,222</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Income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220" w:type="dxa"/>
            <w:vAlign w:val="bottom"/>
          </w:tcPr>
          <w:p>
            <w:pPr>
              <w:spacing w:after="0"/>
              <w:rPr>
                <w:sz w:val="16"/>
                <w:szCs w:val="16"/>
                <w:color w:val="auto"/>
              </w:rPr>
            </w:pPr>
          </w:p>
        </w:tc>
        <w:tc>
          <w:tcPr>
            <w:tcW w:w="25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w w:val="97"/>
              </w:rPr>
              <w:t>Nine Months Ended December 31,</w:t>
            </w:r>
          </w:p>
        </w:tc>
        <w:tc>
          <w:tcPr>
            <w:tcW w:w="0" w:type="dxa"/>
            <w:vAlign w:val="bottom"/>
          </w:tcPr>
          <w:p>
            <w:pPr>
              <w:spacing w:after="0"/>
              <w:rPr>
                <w:sz w:val="1"/>
                <w:szCs w:val="1"/>
                <w:color w:val="auto"/>
              </w:rPr>
            </w:pPr>
          </w:p>
        </w:tc>
      </w:tr>
      <w:tr>
        <w:trPr>
          <w:trHeight w:val="187"/>
        </w:trPr>
        <w:tc>
          <w:tcPr>
            <w:tcW w:w="54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106,384</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70,093</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268,028</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209,245</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0" w:type="dxa"/>
            <w:vAlign w:val="bottom"/>
          </w:tcPr>
          <w:p>
            <w:pPr>
              <w:ind w:left="360"/>
              <w:spacing w:after="0"/>
              <w:rPr>
                <w:sz w:val="20"/>
                <w:szCs w:val="20"/>
                <w:color w:val="auto"/>
              </w:rPr>
            </w:pPr>
            <w:r>
              <w:rPr>
                <w:rFonts w:ascii="Arial" w:cs="Arial" w:eastAsia="Arial" w:hAnsi="Arial"/>
                <w:sz w:val="14"/>
                <w:szCs w:val="14"/>
                <w:color w:val="auto"/>
              </w:rPr>
              <w:t>Incentive fees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5,098</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Carried interest allocations:</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0" w:type="dxa"/>
            <w:vAlign w:val="bottom"/>
          </w:tcPr>
          <w:p>
            <w:pPr>
              <w:ind w:left="720"/>
              <w:spacing w:after="0"/>
              <w:rPr>
                <w:sz w:val="20"/>
                <w:szCs w:val="20"/>
                <w:color w:val="auto"/>
              </w:rPr>
            </w:pPr>
            <w:r>
              <w:rPr>
                <w:rFonts w:ascii="Arial" w:cs="Arial" w:eastAsia="Arial" w:hAnsi="Arial"/>
                <w:sz w:val="14"/>
                <w:szCs w:val="14"/>
                <w:color w:val="auto"/>
              </w:rPr>
              <w:t>Realized</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66,559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26,063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169,053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38,257</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132,535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150,681</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452,789</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176,050</w:t>
            </w:r>
          </w:p>
        </w:tc>
        <w:tc>
          <w:tcPr>
            <w:tcW w:w="0" w:type="dxa"/>
            <w:vAlign w:val="bottom"/>
          </w:tcPr>
          <w:p>
            <w:pPr>
              <w:spacing w:after="0"/>
              <w:rPr>
                <w:sz w:val="1"/>
                <w:szCs w:val="1"/>
                <w:color w:val="auto"/>
              </w:rPr>
            </w:pPr>
          </w:p>
        </w:tc>
      </w:tr>
      <w:tr>
        <w:trPr>
          <w:trHeight w:val="179"/>
        </w:trPr>
        <w:tc>
          <w:tcPr>
            <w:tcW w:w="5400" w:type="dxa"/>
            <w:vAlign w:val="bottom"/>
          </w:tcPr>
          <w:p>
            <w:pPr>
              <w:ind w:left="360"/>
              <w:spacing w:after="0"/>
              <w:rPr>
                <w:sz w:val="20"/>
                <w:szCs w:val="20"/>
                <w:color w:val="auto"/>
              </w:rPr>
            </w:pPr>
            <w:r>
              <w:rPr>
                <w:rFonts w:ascii="Arial" w:cs="Arial" w:eastAsia="Arial" w:hAnsi="Arial"/>
                <w:sz w:val="14"/>
                <w:szCs w:val="14"/>
                <w:color w:val="auto"/>
              </w:rPr>
              <w:t>Total carried interest allocations</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199,094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176,744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621,842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214,307</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revenues</w:t>
            </w: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410,465</w:t>
            </w:r>
          </w:p>
        </w:tc>
        <w:tc>
          <w:tcPr>
            <w:tcW w:w="2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247,150</w:t>
            </w: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1,000,835</w:t>
            </w:r>
          </w:p>
        </w:tc>
        <w:tc>
          <w:tcPr>
            <w:tcW w:w="2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428,650</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Cash-based compensation</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51,665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36,732</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138,217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113,858</w:t>
            </w:r>
          </w:p>
        </w:tc>
        <w:tc>
          <w:tcPr>
            <w:tcW w:w="0" w:type="dxa"/>
            <w:vAlign w:val="bottom"/>
          </w:tcPr>
          <w:p>
            <w:pPr>
              <w:spacing w:after="0"/>
              <w:rPr>
                <w:sz w:val="1"/>
                <w:szCs w:val="1"/>
                <w:color w:val="auto"/>
              </w:rPr>
            </w:pPr>
          </w:p>
        </w:tc>
      </w:tr>
      <w:tr>
        <w:trPr>
          <w:trHeight w:val="186"/>
        </w:trPr>
        <w:tc>
          <w:tcPr>
            <w:tcW w:w="5400" w:type="dxa"/>
            <w:vAlign w:val="bottom"/>
          </w:tcPr>
          <w:p>
            <w:pPr>
              <w:ind w:left="400"/>
              <w:spacing w:after="0"/>
              <w:rPr>
                <w:sz w:val="20"/>
                <w:szCs w:val="20"/>
                <w:color w:val="auto"/>
              </w:rPr>
            </w:pPr>
            <w:r>
              <w:rPr>
                <w:rFonts w:ascii="Arial" w:cs="Arial" w:eastAsia="Arial" w:hAnsi="Arial"/>
                <w:sz w:val="14"/>
                <w:szCs w:val="14"/>
                <w:color w:val="auto"/>
              </w:rPr>
              <w:t>Equity-based compensation</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3,407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3,206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10,363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4,641</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Performance fee-related compensation:</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0" w:type="dxa"/>
            <w:vAlign w:val="bottom"/>
          </w:tcPr>
          <w:p>
            <w:pPr>
              <w:ind w:left="780"/>
              <w:spacing w:after="0"/>
              <w:rPr>
                <w:sz w:val="20"/>
                <w:szCs w:val="20"/>
                <w:color w:val="auto"/>
              </w:rPr>
            </w:pPr>
            <w:r>
              <w:rPr>
                <w:rFonts w:ascii="Arial" w:cs="Arial" w:eastAsia="Arial" w:hAnsi="Arial"/>
                <w:sz w:val="14"/>
                <w:szCs w:val="14"/>
                <w:color w:val="auto"/>
              </w:rPr>
              <w:t>Realized</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34,033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10,241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86,122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17,952</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Unrealized</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68,368</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73,629</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228,146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83,487</w:t>
            </w:r>
          </w:p>
        </w:tc>
        <w:tc>
          <w:tcPr>
            <w:tcW w:w="0" w:type="dxa"/>
            <w:vAlign w:val="bottom"/>
          </w:tcPr>
          <w:p>
            <w:pPr>
              <w:spacing w:after="0"/>
              <w:rPr>
                <w:sz w:val="1"/>
                <w:szCs w:val="1"/>
                <w:color w:val="auto"/>
              </w:rPr>
            </w:pPr>
          </w:p>
        </w:tc>
      </w:tr>
      <w:tr>
        <w:trPr>
          <w:trHeight w:val="179"/>
        </w:trPr>
        <w:tc>
          <w:tcPr>
            <w:tcW w:w="5400" w:type="dxa"/>
            <w:vAlign w:val="bottom"/>
          </w:tcPr>
          <w:p>
            <w:pPr>
              <w:ind w:left="400"/>
              <w:spacing w:after="0"/>
              <w:rPr>
                <w:sz w:val="20"/>
                <w:szCs w:val="20"/>
                <w:color w:val="auto"/>
              </w:rPr>
            </w:pPr>
            <w:r>
              <w:rPr>
                <w:rFonts w:ascii="Arial" w:cs="Arial" w:eastAsia="Arial" w:hAnsi="Arial"/>
                <w:sz w:val="14"/>
                <w:szCs w:val="14"/>
                <w:color w:val="auto"/>
              </w:rPr>
              <w:t>Total performance fee-related compensation</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102,401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83,870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314,268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101,439</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400"/>
              <w:spacing w:after="0" w:line="193"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400" w:type="dxa"/>
            <w:vAlign w:val="bottom"/>
          </w:tcPr>
          <w:p>
            <w:pPr>
              <w:ind w:left="20"/>
              <w:spacing w:after="0"/>
              <w:rPr>
                <w:sz w:val="20"/>
                <w:szCs w:val="20"/>
                <w:color w:val="auto"/>
              </w:rPr>
            </w:pPr>
            <w:r>
              <w:rPr>
                <w:rFonts w:ascii="Arial" w:cs="Arial" w:eastAsia="Arial" w:hAnsi="Arial"/>
                <w:sz w:val="14"/>
                <w:szCs w:val="14"/>
                <w:color w:val="auto"/>
              </w:rPr>
              <w:t>Total compensation and benefits</w:t>
            </w: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262,433</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123,808</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567,808</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219,938</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30,299</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12,624</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72,049</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34,487</w:t>
            </w:r>
          </w:p>
        </w:tc>
        <w:tc>
          <w:tcPr>
            <w:tcW w:w="0" w:type="dxa"/>
            <w:vAlign w:val="bottom"/>
          </w:tcPr>
          <w:p>
            <w:pPr>
              <w:spacing w:after="0"/>
              <w:rPr>
                <w:sz w:val="1"/>
                <w:szCs w:val="1"/>
                <w:color w:val="auto"/>
              </w:rPr>
            </w:pPr>
          </w:p>
        </w:tc>
      </w:tr>
      <w:tr>
        <w:trPr>
          <w:trHeight w:val="179"/>
        </w:trPr>
        <w:tc>
          <w:tcPr>
            <w:tcW w:w="540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292,732</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136,432</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639,857</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254,425</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7,230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5,361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20,841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6,508</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Legacy Greenspring investment income</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(7,353)</w:t>
            </w:r>
          </w:p>
        </w:tc>
        <w:tc>
          <w:tcPr>
            <w:tcW w:w="0" w:type="dxa"/>
            <w:vAlign w:val="bottom"/>
          </w:tcPr>
          <w:p>
            <w:pPr>
              <w:spacing w:after="0"/>
              <w:rPr>
                <w:sz w:val="1"/>
                <w:szCs w:val="1"/>
                <w:color w:val="auto"/>
              </w:rPr>
            </w:pPr>
          </w:p>
        </w:tc>
      </w:tr>
      <w:tr>
        <w:trPr>
          <w:trHeight w:val="18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(loss)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other income</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6,217</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35,761</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79"/>
        </w:trPr>
        <w:tc>
          <w:tcPr>
            <w:tcW w:w="5400" w:type="dxa"/>
            <w:vAlign w:val="bottom"/>
          </w:tcPr>
          <w:p>
            <w:pPr>
              <w:ind w:left="20"/>
              <w:spacing w:after="0"/>
              <w:rPr>
                <w:sz w:val="20"/>
                <w:szCs w:val="20"/>
                <w:color w:val="auto"/>
              </w:rPr>
            </w:pPr>
            <w:r>
              <w:rPr>
                <w:rFonts w:ascii="Arial" w:cs="Arial" w:eastAsia="Arial" w:hAnsi="Arial"/>
                <w:sz w:val="14"/>
                <w:szCs w:val="14"/>
                <w:color w:val="auto"/>
              </w:rPr>
              <w:t>Income before income tax</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142,080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116,935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396,739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174,983</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9,546</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11,585</w:t>
            </w:r>
          </w:p>
        </w:tc>
        <w:tc>
          <w:tcPr>
            <w:tcW w:w="0" w:type="dxa"/>
            <w:vAlign w:val="bottom"/>
          </w:tcPr>
          <w:p>
            <w:pPr>
              <w:spacing w:after="0"/>
              <w:rPr>
                <w:sz w:val="1"/>
                <w:szCs w:val="1"/>
                <w:color w:val="auto"/>
              </w:rPr>
            </w:pPr>
          </w:p>
        </w:tc>
      </w:tr>
      <w:tr>
        <w:trPr>
          <w:trHeight w:val="179"/>
        </w:trPr>
        <w:tc>
          <w:tcPr>
            <w:tcW w:w="5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126,293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107,389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380,674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163,398</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18,634</w:t>
            </w:r>
          </w:p>
        </w:tc>
        <w:tc>
          <w:tcPr>
            <w:tcW w:w="0" w:type="dxa"/>
            <w:vAlign w:val="bottom"/>
          </w:tcPr>
          <w:p>
            <w:pPr>
              <w:spacing w:after="0"/>
              <w:rPr>
                <w:sz w:val="1"/>
                <w:szCs w:val="1"/>
                <w:color w:val="auto"/>
              </w:rPr>
            </w:pPr>
          </w:p>
        </w:tc>
      </w:tr>
      <w:tr>
        <w:trPr>
          <w:trHeight w:val="135"/>
        </w:trPr>
        <w:tc>
          <w:tcPr>
            <w:tcW w:w="5400" w:type="dxa"/>
            <w:vAlign w:val="bottom"/>
          </w:tcPr>
          <w:p>
            <w:pPr>
              <w:ind w:left="400"/>
              <w:spacing w:after="0" w:line="135" w:lineRule="exact"/>
              <w:rPr>
                <w:sz w:val="20"/>
                <w:szCs w:val="20"/>
                <w:color w:val="auto"/>
              </w:rPr>
            </w:pPr>
            <w:r>
              <w:rPr>
                <w:rFonts w:ascii="Arial" w:cs="Arial" w:eastAsia="Arial" w:hAnsi="Arial"/>
                <w:sz w:val="14"/>
                <w:szCs w:val="14"/>
                <w:color w:val="auto"/>
              </w:rPr>
              <w:t>Less: Net income attributable to non-controlling interests in legacy Greenspring</w:t>
            </w:r>
          </w:p>
        </w:tc>
        <w:tc>
          <w:tcPr>
            <w:tcW w:w="2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17,890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17,890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400" w:type="dxa"/>
            <w:vAlign w:val="bottom"/>
          </w:tcPr>
          <w:p>
            <w:pPr>
              <w:ind w:left="560"/>
              <w:spacing w:after="0" w:line="189" w:lineRule="exact"/>
              <w:rPr>
                <w:sz w:val="20"/>
                <w:szCs w:val="20"/>
                <w:color w:val="auto"/>
              </w:rPr>
            </w:pPr>
            <w:r>
              <w:rPr>
                <w:rFonts w:ascii="Arial" w:cs="Arial" w:eastAsia="Arial" w:hAnsi="Arial"/>
                <w:sz w:val="14"/>
                <w:szCs w:val="14"/>
                <w:color w:val="auto"/>
              </w:rPr>
              <w:t>entities</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the Partnership</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52,966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76,315</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191,977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119,976</w:t>
            </w:r>
          </w:p>
        </w:tc>
        <w:tc>
          <w:tcPr>
            <w:tcW w:w="0" w:type="dxa"/>
            <w:vAlign w:val="bottom"/>
          </w:tcPr>
          <w:p>
            <w:pPr>
              <w:spacing w:after="0"/>
              <w:rPr>
                <w:sz w:val="1"/>
                <w:szCs w:val="1"/>
                <w:color w:val="auto"/>
              </w:rPr>
            </w:pPr>
          </w:p>
        </w:tc>
      </w:tr>
      <w:tr>
        <w:trPr>
          <w:trHeight w:val="186"/>
        </w:trPr>
        <w:tc>
          <w:tcPr>
            <w:tcW w:w="5400" w:type="dxa"/>
            <w:vAlign w:val="bottom"/>
          </w:tcPr>
          <w:p>
            <w:pPr>
              <w:ind w:left="20"/>
              <w:spacing w:after="0"/>
              <w:rPr>
                <w:sz w:val="20"/>
                <w:szCs w:val="20"/>
                <w:color w:val="auto"/>
              </w:rPr>
            </w:pPr>
            <w:r>
              <w:rPr>
                <w:rFonts w:ascii="Arial" w:cs="Arial" w:eastAsia="Arial" w:hAnsi="Arial"/>
                <w:sz w:val="14"/>
                <w:szCs w:val="14"/>
                <w:color w:val="auto"/>
              </w:rPr>
              <w:t>Net income attributable to StepStone Group Inc.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48,346</w:t>
            </w:r>
          </w:p>
        </w:tc>
        <w:tc>
          <w:tcPr>
            <w:tcW w:w="24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25,578</w:t>
            </w:r>
          </w:p>
        </w:tc>
        <w:tc>
          <w:tcPr>
            <w:tcW w:w="2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152,070</w:t>
            </w:r>
          </w:p>
        </w:tc>
        <w:tc>
          <w:tcPr>
            <w:tcW w:w="24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24,788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Earnings per share of Class A common stock:</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400" w:type="dxa"/>
            <w:vAlign w:val="bottom"/>
          </w:tcPr>
          <w:p>
            <w:pPr>
              <w:ind w:left="46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0.84</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0.87</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3.29</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0.87</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86"/>
        </w:trPr>
        <w:tc>
          <w:tcPr>
            <w:tcW w:w="540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57,875,758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29,237,500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46,247,353</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29,237,500</w:t>
            </w:r>
          </w:p>
        </w:tc>
        <w:tc>
          <w:tcPr>
            <w:tcW w:w="0" w:type="dxa"/>
            <w:vAlign w:val="bottom"/>
          </w:tcPr>
          <w:p>
            <w:pPr>
              <w:spacing w:after="0"/>
              <w:rPr>
                <w:sz w:val="1"/>
                <w:szCs w:val="1"/>
                <w:color w:val="auto"/>
              </w:rPr>
            </w:pPr>
          </w:p>
        </w:tc>
      </w:tr>
      <w:tr>
        <w:trPr>
          <w:trHeight w:val="182"/>
        </w:trPr>
        <w:tc>
          <w:tcPr>
            <w:tcW w:w="5400" w:type="dxa"/>
            <w:vAlign w:val="bottom"/>
          </w:tcPr>
          <w:p>
            <w:pPr>
              <w:ind w:left="46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61,483,233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32,704,975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50,118,482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32,664,198</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the Company did not acquire any direct economic interests. See notes 3, 5 and 14 for more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Nine Months Ended December 31,</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163,398</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before non-controlling interests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380,910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164,381</w:t>
            </w:r>
          </w:p>
        </w:tc>
        <w:tc>
          <w:tcPr>
            <w:tcW w:w="0" w:type="dxa"/>
            <w:vAlign w:val="bottom"/>
          </w:tcPr>
          <w:p>
            <w:pPr>
              <w:spacing w:after="0"/>
              <w:rPr>
                <w:sz w:val="1"/>
                <w:szCs w:val="1"/>
                <w:color w:val="auto"/>
              </w:rPr>
            </w:pPr>
          </w:p>
        </w:tc>
      </w:tr>
      <w:tr>
        <w:trPr>
          <w:trHeight w:val="176"/>
        </w:trPr>
        <w:tc>
          <w:tcPr>
            <w:tcW w:w="5600" w:type="dxa"/>
            <w:vAlign w:val="bottom"/>
          </w:tcPr>
          <w:p>
            <w:pPr>
              <w:ind w:left="400"/>
              <w:spacing w:after="0" w:line="176" w:lineRule="exact"/>
              <w:rPr>
                <w:sz w:val="20"/>
                <w:szCs w:val="20"/>
                <w:color w:val="auto"/>
              </w:rPr>
            </w:pPr>
            <w:r>
              <w:rPr>
                <w:rFonts w:ascii="Arial" w:cs="Arial" w:eastAsia="Arial" w:hAnsi="Arial"/>
                <w:sz w:val="18"/>
                <w:szCs w:val="18"/>
                <w:color w:val="auto"/>
                <w:w w:val="91"/>
              </w:rPr>
              <w:t>Less: Comprehensive income attributable to non-controlling interests in</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7,014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5,719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18,856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19,131</w:t>
            </w:r>
          </w:p>
        </w:tc>
        <w:tc>
          <w:tcPr>
            <w:tcW w:w="0" w:type="dxa"/>
            <w:vAlign w:val="bottom"/>
          </w:tcPr>
          <w:p>
            <w:pPr>
              <w:spacing w:after="0"/>
              <w:rPr>
                <w:sz w:val="1"/>
                <w:szCs w:val="1"/>
                <w:color w:val="auto"/>
              </w:rPr>
            </w:pPr>
          </w:p>
        </w:tc>
      </w:tr>
      <w:tr>
        <w:trPr>
          <w:trHeight w:val="229"/>
        </w:trPr>
        <w:tc>
          <w:tcPr>
            <w:tcW w:w="5600" w:type="dxa"/>
            <w:vAlign w:val="bottom"/>
          </w:tcPr>
          <w:p>
            <w:pPr>
              <w:ind w:left="56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Less: Comprehensive income attributable to non-controlling interests in</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legacy Greenspring entities</w:t>
            </w: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400"/>
              <w:spacing w:after="0" w:line="176" w:lineRule="exact"/>
              <w:rPr>
                <w:sz w:val="20"/>
                <w:szCs w:val="20"/>
                <w:color w:val="auto"/>
              </w:rPr>
            </w:pPr>
            <w:r>
              <w:rPr>
                <w:rFonts w:ascii="Arial" w:cs="Arial" w:eastAsia="Arial" w:hAnsi="Arial"/>
                <w:sz w:val="18"/>
                <w:szCs w:val="18"/>
                <w:color w:val="auto"/>
                <w:w w:val="91"/>
              </w:rPr>
              <w:t>Less: Comprehensive income attributable to non-controlling interests in</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52,925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76,463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192,049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120,409</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the Partnership</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StepStone Group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152,115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Additional Paid-</w:t>
            </w:r>
          </w:p>
        </w:tc>
        <w:tc>
          <w:tcPr>
            <w:tcW w:w="140" w:type="dxa"/>
            <w:vAlign w:val="bottom"/>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9"/>
              </w:rPr>
              <w:t>Legacy</w:t>
            </w:r>
          </w:p>
        </w:tc>
        <w:tc>
          <w:tcPr>
            <w:tcW w:w="9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Greenspring</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Subsidiaries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Entities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September 30, 2021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525,118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158,131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24,558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804,483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1,731,753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48,346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7,091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17,890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52,966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126,293</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9,141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9,164</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1,771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1,632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3,407</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(3,005)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(15,649)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(23,278)</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(9,255)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(9,255)</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0"/>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Arial" w:cs="Arial" w:eastAsia="Arial" w:hAnsi="Arial"/>
                <w:sz w:val="11"/>
                <w:szCs w:val="11"/>
                <w:color w:val="auto"/>
                <w:w w:val="90"/>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shares</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Deferred offering costs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(653)</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70,808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(70,827)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controlling interests</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5"/>
              </w:rPr>
              <w:t>affecting ownership in the Partnership, including</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shd w:val="clear" w:color="auto" w:fill="CCEEFF"/>
          </w:tcPr>
          <w:p>
            <w:pPr>
              <w:ind w:left="240"/>
              <w:spacing w:after="0" w:line="104" w:lineRule="exact"/>
              <w:rPr>
                <w:sz w:val="20"/>
                <w:szCs w:val="20"/>
                <w:color w:val="auto"/>
              </w:rPr>
            </w:pPr>
            <w:r>
              <w:rPr>
                <w:rFonts w:ascii="Arial" w:cs="Arial" w:eastAsia="Arial" w:hAnsi="Arial"/>
                <w:sz w:val="11"/>
                <w:szCs w:val="11"/>
                <w:color w:val="auto"/>
              </w:rPr>
              <w:t>net amounts payable under Tax Receivable</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(19,217)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(19,217)</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Arial" w:cs="Arial" w:eastAsia="Arial" w:hAnsi="Arial"/>
                <w:sz w:val="11"/>
                <w:szCs w:val="11"/>
                <w:color w:val="auto"/>
              </w:rPr>
              <w:t>Balance at December 31, 2021</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578,118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197,222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28,571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241,493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772,291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1,818,054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188,751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60,407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25,885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384,400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659,693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152,070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18,737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17,890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191,977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380,674</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9,141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9,206</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4,702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5,653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10,363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(15,590)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(58,898)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(79,112)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(3,046)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Dividends declared</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(15,255)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(15,255)</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Vesting of RSUs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rPr>
              <w:t>Class A common stock issued for Greenspring</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267,842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290,744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558,599</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8"/>
              </w:rPr>
              <w:t>Class C Partnership units issued for Greenspring</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64,847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70,392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135,239</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0"/>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Arial" w:cs="Arial" w:eastAsia="Arial" w:hAnsi="Arial"/>
                <w:sz w:val="11"/>
                <w:szCs w:val="11"/>
                <w:color w:val="auto"/>
                <w:w w:val="90"/>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shares</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6"/>
              </w:rPr>
              <w:t>Initial consolidation of legacy Greenspring general</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219,086</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partner entities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Deferred offering costs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(653)</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109,967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914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(110,931)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Arial" w:cs="Arial" w:eastAsia="Arial" w:hAnsi="Arial"/>
                <w:sz w:val="11"/>
                <w:szCs w:val="11"/>
                <w:color w:val="auto"/>
                <w:w w:val="95"/>
              </w:rPr>
              <w:t>affecting ownership in the Partnership, including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tcPr>
          <w:p>
            <w:pPr>
              <w:ind w:left="240"/>
              <w:spacing w:after="0" w:line="104" w:lineRule="exact"/>
              <w:rPr>
                <w:sz w:val="20"/>
                <w:szCs w:val="20"/>
                <w:color w:val="auto"/>
              </w:rPr>
            </w:pPr>
            <w:r>
              <w:rPr>
                <w:rFonts w:ascii="Arial" w:cs="Arial" w:eastAsia="Arial" w:hAnsi="Arial"/>
                <w:sz w:val="11"/>
                <w:szCs w:val="11"/>
                <w:color w:val="auto"/>
              </w:rPr>
              <w:t>net amounts payable under Tax Receivable</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(56,967)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(56,967)</w:t>
            </w:r>
          </w:p>
        </w:tc>
        <w:tc>
          <w:tcPr>
            <w:tcW w:w="0" w:type="dxa"/>
            <w:vAlign w:val="bottom"/>
          </w:tcPr>
          <w:p>
            <w:pPr>
              <w:spacing w:after="0"/>
              <w:rPr>
                <w:sz w:val="1"/>
                <w:szCs w:val="1"/>
                <w:color w:val="auto"/>
              </w:rPr>
            </w:pPr>
          </w:p>
        </w:tc>
      </w:tr>
      <w:tr>
        <w:trPr>
          <w:trHeight w:val="162"/>
        </w:trPr>
        <w:tc>
          <w:tcPr>
            <w:tcW w:w="2500" w:type="dxa"/>
            <w:vAlign w:val="bottom"/>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December 31, 2021</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1"/>
                <w:szCs w:val="11"/>
                <w:color w:val="auto"/>
              </w:rPr>
              <w:t>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578,118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197,222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28,571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241,493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772,291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1,818,054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hanging="632"/>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notes 10, 13 and 14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w w:val="99"/>
              </w:rPr>
              <w:t>Retained Earnings</w:t>
            </w:r>
          </w:p>
        </w:tc>
        <w:tc>
          <w:tcPr>
            <w:tcW w:w="40" w:type="dxa"/>
            <w:vAlign w:val="bottom"/>
          </w:tcPr>
          <w:p>
            <w:pPr>
              <w:spacing w:after="0"/>
              <w:rPr>
                <w:sz w:val="10"/>
                <w:szCs w:val="10"/>
                <w:color w:val="auto"/>
              </w:rPr>
            </w:pPr>
          </w:p>
        </w:tc>
        <w:tc>
          <w:tcPr>
            <w:tcW w:w="10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Accumulated Other</w:t>
            </w:r>
          </w:p>
        </w:tc>
        <w:tc>
          <w:tcPr>
            <w:tcW w:w="20" w:type="dxa"/>
            <w:vAlign w:val="bottom"/>
          </w:tcPr>
          <w:p>
            <w:pPr>
              <w:spacing w:after="0"/>
              <w:rPr>
                <w:sz w:val="10"/>
                <w:szCs w:val="10"/>
                <w:color w:val="auto"/>
              </w:rPr>
            </w:pPr>
          </w:p>
        </w:tc>
        <w:tc>
          <w:tcPr>
            <w:tcW w:w="94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20" w:type="dxa"/>
            <w:vAlign w:val="bottom"/>
          </w:tcPr>
          <w:p>
            <w:pPr>
              <w:spacing w:after="0"/>
              <w:rPr>
                <w:sz w:val="10"/>
                <w:szCs w:val="10"/>
                <w:color w:val="auto"/>
              </w:rPr>
            </w:pPr>
          </w:p>
        </w:tc>
        <w:tc>
          <w:tcPr>
            <w:tcW w:w="94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10"/>
                <w:szCs w:val="10"/>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4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90"/>
              </w:rPr>
              <w:t>Additional Paid-</w:t>
            </w:r>
          </w:p>
        </w:tc>
        <w:tc>
          <w:tcPr>
            <w:tcW w:w="100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94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940" w:type="dxa"/>
            <w:vAlign w:val="bottom"/>
            <w:gridSpan w:val="5"/>
            <w:vMerge w:val="continue"/>
          </w:tcPr>
          <w:p>
            <w:pPr>
              <w:spacing w:after="0"/>
              <w:rPr>
                <w:sz w:val="9"/>
                <w:szCs w:val="9"/>
                <w:color w:val="auto"/>
              </w:rPr>
            </w:pPr>
          </w:p>
        </w:tc>
        <w:tc>
          <w:tcPr>
            <w:tcW w:w="940" w:type="dxa"/>
            <w:vAlign w:val="bottom"/>
            <w:gridSpan w:val="5"/>
            <w:vMerge w:val="continue"/>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4"/>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(Accumulated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tcPr>
          <w:p>
            <w:pPr>
              <w:jc w:val="center"/>
              <w:ind w:right="22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3"/>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Interests in the</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Equity / Partners’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88"/>
              </w:rPr>
              <w:t>in 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1"/>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8"/>
              </w:rPr>
              <w:t>Subsidiaries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8"/>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September 30, 2020</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66</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120,278</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(790)</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20,729</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284,105</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424,395</w:t>
            </w:r>
          </w:p>
        </w:tc>
        <w:tc>
          <w:tcPr>
            <w:tcW w:w="0" w:type="dxa"/>
            <w:vAlign w:val="bottom"/>
          </w:tcPr>
          <w:p>
            <w:pPr>
              <w:spacing w:after="0"/>
              <w:rPr>
                <w:sz w:val="1"/>
                <w:szCs w:val="1"/>
                <w:color w:val="auto"/>
              </w:rPr>
            </w:pPr>
          </w:p>
        </w:tc>
      </w:tr>
      <w:tr>
        <w:trPr>
          <w:trHeight w:val="140"/>
        </w:trPr>
        <w:tc>
          <w:tcPr>
            <w:tcW w:w="254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25,578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5,496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76,315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107,389</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148</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446</w:t>
            </w:r>
          </w:p>
        </w:tc>
        <w:tc>
          <w:tcPr>
            <w:tcW w:w="0" w:type="dxa"/>
            <w:vAlign w:val="bottom"/>
          </w:tcPr>
          <w:p>
            <w:pPr>
              <w:spacing w:after="0"/>
              <w:rPr>
                <w:sz w:val="1"/>
                <w:szCs w:val="1"/>
                <w:color w:val="auto"/>
              </w:rPr>
            </w:pPr>
          </w:p>
        </w:tc>
      </w:tr>
      <w:tr>
        <w:trPr>
          <w:trHeight w:val="140"/>
        </w:trPr>
        <w:tc>
          <w:tcPr>
            <w:tcW w:w="254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988</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2,215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3,206</w:t>
            </w:r>
          </w:p>
        </w:tc>
        <w:tc>
          <w:tcPr>
            <w:tcW w:w="0" w:type="dxa"/>
            <w:vAlign w:val="bottom"/>
          </w:tcPr>
          <w:p>
            <w:pPr>
              <w:spacing w:after="0"/>
              <w:rPr>
                <w:sz w:val="1"/>
                <w:szCs w:val="1"/>
                <w:color w:val="auto"/>
              </w:rPr>
            </w:pPr>
          </w:p>
        </w:tc>
      </w:tr>
      <w:tr>
        <w:trPr>
          <w:trHeight w:val="140"/>
        </w:trPr>
        <w:tc>
          <w:tcPr>
            <w:tcW w:w="254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(1,318)</w:t>
            </w:r>
          </w:p>
        </w:tc>
        <w:tc>
          <w:tcPr>
            <w:tcW w:w="0" w:type="dxa"/>
            <w:vAlign w:val="bottom"/>
          </w:tcPr>
          <w:p>
            <w:pPr>
              <w:spacing w:after="0"/>
              <w:rPr>
                <w:sz w:val="1"/>
                <w:szCs w:val="1"/>
                <w:color w:val="auto"/>
              </w:rPr>
            </w:pPr>
          </w:p>
        </w:tc>
      </w:tr>
      <w:tr>
        <w:trPr>
          <w:trHeight w:val="22"/>
        </w:trPr>
        <w:tc>
          <w:tcPr>
            <w:tcW w:w="2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December 31, 2020</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ind w:left="480"/>
              <w:spacing w:after="0"/>
              <w:rPr>
                <w:sz w:val="20"/>
                <w:szCs w:val="20"/>
                <w:color w:val="auto"/>
              </w:rPr>
            </w:pPr>
            <w:r>
              <w:rPr>
                <w:rFonts w:ascii="Arial" w:cs="Arial" w:eastAsia="Arial" w:hAnsi="Arial"/>
                <w:sz w:val="11"/>
                <w:szCs w:val="11"/>
                <w:color w:val="auto"/>
              </w:rPr>
              <w:t>66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121,266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24,788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25,133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362,802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534,137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2020</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216,051</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20,738</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236,967</w:t>
            </w:r>
          </w:p>
        </w:tc>
        <w:tc>
          <w:tcPr>
            <w:tcW w:w="0" w:type="dxa"/>
            <w:vAlign w:val="bottom"/>
          </w:tcPr>
          <w:p>
            <w:pPr>
              <w:spacing w:after="0"/>
              <w:rPr>
                <w:sz w:val="1"/>
                <w:szCs w:val="1"/>
                <w:color w:val="auto"/>
              </w:rPr>
            </w:pPr>
          </w:p>
        </w:tc>
      </w:tr>
      <w:tr>
        <w:trPr>
          <w:trHeight w:val="140"/>
        </w:trPr>
        <w:tc>
          <w:tcPr>
            <w:tcW w:w="2540" w:type="dxa"/>
            <w:vAlign w:val="bottom"/>
          </w:tcPr>
          <w:p>
            <w:pPr>
              <w:ind w:left="140"/>
              <w:spacing w:after="0"/>
              <w:rPr>
                <w:sz w:val="20"/>
                <w:szCs w:val="20"/>
                <w:color w:val="auto"/>
              </w:rPr>
            </w:pPr>
            <w:r>
              <w:rPr>
                <w:rFonts w:ascii="Arial" w:cs="Arial" w:eastAsia="Arial" w:hAnsi="Arial"/>
                <w:sz w:val="11"/>
                <w:szCs w:val="11"/>
                <w:color w:val="auto"/>
              </w:rPr>
              <w:t>Net income prior to Reorganization and IPO</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45,265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5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12,428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57,693</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2"/>
              </w:rPr>
              <w:t>Other comprehensive income prior to Reorganization</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350</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40" w:type="dxa"/>
            <w:vAlign w:val="bottom"/>
          </w:tcPr>
          <w:p>
            <w:pPr>
              <w:ind w:left="140"/>
              <w:spacing w:after="0"/>
              <w:rPr>
                <w:sz w:val="20"/>
                <w:szCs w:val="20"/>
                <w:color w:val="auto"/>
              </w:rPr>
            </w:pPr>
            <w:r>
              <w:rPr>
                <w:rFonts w:ascii="Arial" w:cs="Arial" w:eastAsia="Arial" w:hAnsi="Arial"/>
                <w:sz w:val="11"/>
                <w:szCs w:val="11"/>
                <w:color w:val="auto"/>
                <w:w w:val="95"/>
              </w:rPr>
              <w:t>Contributed capital prior to Reorganization and IPO</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5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87"/>
              </w:rPr>
              <w:t>Equity-based compensation prior to Reorganization and</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723</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IPO</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40" w:type="dxa"/>
            <w:vAlign w:val="bottom"/>
            <w:gridSpan w:val="3"/>
          </w:tcPr>
          <w:p>
            <w:pPr>
              <w:ind w:left="140"/>
              <w:spacing w:after="0" w:line="112" w:lineRule="exact"/>
              <w:rPr>
                <w:sz w:val="20"/>
                <w:szCs w:val="20"/>
                <w:color w:val="auto"/>
              </w:rPr>
            </w:pPr>
            <w:r>
              <w:rPr>
                <w:rFonts w:ascii="Arial" w:cs="Arial" w:eastAsia="Arial" w:hAnsi="Arial"/>
                <w:sz w:val="11"/>
                <w:szCs w:val="11"/>
                <w:color w:val="auto"/>
                <w:w w:val="99"/>
              </w:rPr>
              <w:t>Sale of non-controlling interests prior to Reorganization</w:t>
            </w:r>
          </w:p>
        </w:tc>
        <w:tc>
          <w:tcPr>
            <w:tcW w:w="64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ind w:left="5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3,308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6"/>
        </w:trPr>
        <w:tc>
          <w:tcPr>
            <w:tcW w:w="2540" w:type="dxa"/>
            <w:vAlign w:val="bottom"/>
          </w:tcPr>
          <w:p>
            <w:pPr>
              <w:ind w:left="240"/>
              <w:spacing w:after="0"/>
              <w:rPr>
                <w:sz w:val="20"/>
                <w:szCs w:val="20"/>
                <w:color w:val="auto"/>
              </w:rPr>
            </w:pPr>
            <w:r>
              <w:rPr>
                <w:rFonts w:ascii="Arial" w:cs="Arial" w:eastAsia="Arial" w:hAnsi="Arial"/>
                <w:sz w:val="11"/>
                <w:szCs w:val="11"/>
                <w:color w:val="auto"/>
              </w:rPr>
              <w:t>and IPO</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Purchase of non-controlling interests prior to</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40" w:type="dxa"/>
            <w:vAlign w:val="bottom"/>
          </w:tcPr>
          <w:p>
            <w:pPr>
              <w:ind w:left="140"/>
              <w:spacing w:after="0"/>
              <w:rPr>
                <w:sz w:val="20"/>
                <w:szCs w:val="20"/>
                <w:color w:val="auto"/>
              </w:rPr>
            </w:pPr>
            <w:r>
              <w:rPr>
                <w:rFonts w:ascii="Arial" w:cs="Arial" w:eastAsia="Arial" w:hAnsi="Arial"/>
                <w:sz w:val="11"/>
                <w:szCs w:val="11"/>
                <w:color w:val="auto"/>
              </w:rPr>
              <w:t>Distributions prior to Reorganization and IPO</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(50,424)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5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(13,161)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(63,585)</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252</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0"/>
              </w:rPr>
              <w:t>controlling interests prior to Reorganization and IPO</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40" w:type="dxa"/>
            <w:vAlign w:val="bottom"/>
          </w:tcPr>
          <w:p>
            <w:pPr>
              <w:ind w:left="140"/>
              <w:spacing w:after="0" w:line="112" w:lineRule="exact"/>
              <w:rPr>
                <w:sz w:val="20"/>
                <w:szCs w:val="20"/>
                <w:color w:val="auto"/>
              </w:rPr>
            </w:pPr>
            <w:r>
              <w:rPr>
                <w:rFonts w:ascii="Arial" w:cs="Arial" w:eastAsia="Arial" w:hAnsi="Arial"/>
                <w:sz w:val="11"/>
                <w:szCs w:val="11"/>
                <w:color w:val="auto"/>
                <w:w w:val="93"/>
              </w:rPr>
              <w:t>Effect of Reorganization and purchase of units in the</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(211,894)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restart"/>
          </w:tcPr>
          <w:p>
            <w:pPr>
              <w:ind w:left="540"/>
              <w:spacing w:after="0"/>
              <w:rPr>
                <w:sz w:val="20"/>
                <w:szCs w:val="20"/>
                <w:color w:val="auto"/>
              </w:rPr>
            </w:pPr>
            <w:r>
              <w:rPr>
                <w:rFonts w:ascii="Arial" w:cs="Arial" w:eastAsia="Arial" w:hAnsi="Arial"/>
                <w:sz w:val="11"/>
                <w:szCs w:val="11"/>
                <w:color w:val="auto"/>
              </w:rPr>
              <w:t>73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23,432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(513)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188,893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40" w:type="dxa"/>
            <w:vAlign w:val="bottom"/>
          </w:tcPr>
          <w:p>
            <w:pPr>
              <w:ind w:left="240"/>
              <w:spacing w:after="0"/>
              <w:rPr>
                <w:sz w:val="20"/>
                <w:szCs w:val="20"/>
                <w:color w:val="auto"/>
              </w:rPr>
            </w:pPr>
            <w:r>
              <w:rPr>
                <w:rFonts w:ascii="Arial" w:cs="Arial" w:eastAsia="Arial" w:hAnsi="Arial"/>
                <w:sz w:val="11"/>
                <w:szCs w:val="11"/>
                <w:color w:val="auto"/>
              </w:rPr>
              <w:t>Partnership</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0"/>
              </w:rPr>
              <w:t>Issuance of Class A common stock sold in IPO, net of</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20</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337,778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337,798</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underwriting discounts</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40" w:type="dxa"/>
            <w:vAlign w:val="bottom"/>
          </w:tcPr>
          <w:p>
            <w:pPr>
              <w:ind w:left="140"/>
              <w:spacing w:after="0"/>
              <w:rPr>
                <w:sz w:val="20"/>
                <w:szCs w:val="20"/>
                <w:color w:val="auto"/>
              </w:rPr>
            </w:pPr>
            <w:r>
              <w:rPr>
                <w:rFonts w:ascii="Arial" w:cs="Arial" w:eastAsia="Arial" w:hAnsi="Arial"/>
                <w:sz w:val="11"/>
                <w:szCs w:val="11"/>
                <w:color w:val="auto"/>
                <w:w w:val="87"/>
              </w:rPr>
              <w:t>Purchase of partnership interests with IPO net proceeds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ind w:left="540"/>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(127,979)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(127,986)</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Deferred IPO costs</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(2,981)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(6,686)</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(9,667)</w:t>
            </w:r>
          </w:p>
        </w:tc>
        <w:tc>
          <w:tcPr>
            <w:tcW w:w="0" w:type="dxa"/>
            <w:vAlign w:val="bottom"/>
          </w:tcPr>
          <w:p>
            <w:pPr>
              <w:spacing w:after="0"/>
              <w:rPr>
                <w:sz w:val="1"/>
                <w:szCs w:val="1"/>
                <w:color w:val="auto"/>
              </w:rPr>
            </w:pPr>
          </w:p>
        </w:tc>
      </w:tr>
      <w:tr>
        <w:trPr>
          <w:trHeight w:val="112"/>
        </w:trPr>
        <w:tc>
          <w:tcPr>
            <w:tcW w:w="2540" w:type="dxa"/>
            <w:vAlign w:val="bottom"/>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tcPr>
          <w:p>
            <w:pPr>
              <w:ind w:left="240"/>
              <w:spacing w:after="0" w:line="108" w:lineRule="exact"/>
              <w:rPr>
                <w:sz w:val="20"/>
                <w:szCs w:val="20"/>
                <w:color w:val="auto"/>
              </w:rPr>
            </w:pPr>
            <w:r>
              <w:rPr>
                <w:rFonts w:ascii="Arial" w:cs="Arial" w:eastAsia="Arial" w:hAnsi="Arial"/>
                <w:sz w:val="11"/>
                <w:szCs w:val="11"/>
                <w:color w:val="auto"/>
                <w:w w:val="93"/>
              </w:rPr>
              <w:t>controlling interests subsequent to Reorganization</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ind w:left="5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(103,063)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103,063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40" w:type="dxa"/>
            <w:vAlign w:val="bottom"/>
          </w:tcPr>
          <w:p>
            <w:pPr>
              <w:ind w:left="240"/>
              <w:spacing w:after="0"/>
              <w:rPr>
                <w:sz w:val="20"/>
                <w:szCs w:val="20"/>
                <w:color w:val="auto"/>
              </w:rPr>
            </w:pPr>
            <w:r>
              <w:rPr>
                <w:rFonts w:ascii="Arial" w:cs="Arial" w:eastAsia="Arial" w:hAnsi="Arial"/>
                <w:sz w:val="11"/>
                <w:szCs w:val="11"/>
                <w:color w:val="auto"/>
              </w:rPr>
              <w:t>and IPO</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0"/>
              </w:rPr>
              <w:t>Deferred tax effect resulting from purchase of Class B</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89"/>
              </w:rPr>
              <w:t>units, net of amounts payable under Tax Receivable</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(7,128)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Agreements</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40" w:type="dxa"/>
            <w:vAlign w:val="bottom"/>
          </w:tcPr>
          <w:p>
            <w:pPr>
              <w:ind w:left="140"/>
              <w:spacing w:after="0"/>
              <w:rPr>
                <w:sz w:val="20"/>
                <w:szCs w:val="20"/>
                <w:color w:val="auto"/>
              </w:rPr>
            </w:pPr>
            <w:r>
              <w:rPr>
                <w:rFonts w:ascii="Arial" w:cs="Arial" w:eastAsia="Arial" w:hAnsi="Arial"/>
                <w:sz w:val="11"/>
                <w:szCs w:val="11"/>
                <w:color w:val="auto"/>
                <w:w w:val="95"/>
              </w:rPr>
              <w:t>Net income subsequent to Reorganization and IPO</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5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24,788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6,206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74,711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105,705</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Other comprehensive income subsequent to</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298</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40" w:type="dxa"/>
            <w:vAlign w:val="bottom"/>
          </w:tcPr>
          <w:p>
            <w:pPr>
              <w:ind w:left="140"/>
              <w:spacing w:after="0" w:line="112" w:lineRule="exact"/>
              <w:rPr>
                <w:sz w:val="20"/>
                <w:szCs w:val="20"/>
                <w:color w:val="auto"/>
              </w:rPr>
            </w:pPr>
            <w:r>
              <w:rPr>
                <w:rFonts w:ascii="Arial" w:cs="Arial" w:eastAsia="Arial" w:hAnsi="Arial"/>
                <w:sz w:val="11"/>
                <w:szCs w:val="11"/>
                <w:color w:val="auto"/>
                <w:w w:val="90"/>
              </w:rPr>
              <w:t>Contributed capital subsequent to Reorganization and</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ind w:left="5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36"/>
        </w:trPr>
        <w:tc>
          <w:tcPr>
            <w:tcW w:w="2540" w:type="dxa"/>
            <w:vAlign w:val="bottom"/>
          </w:tcPr>
          <w:p>
            <w:pPr>
              <w:ind w:left="240"/>
              <w:spacing w:after="0"/>
              <w:rPr>
                <w:sz w:val="20"/>
                <w:szCs w:val="20"/>
                <w:color w:val="auto"/>
              </w:rPr>
            </w:pPr>
            <w:r>
              <w:rPr>
                <w:rFonts w:ascii="Arial" w:cs="Arial" w:eastAsia="Arial" w:hAnsi="Arial"/>
                <w:sz w:val="11"/>
                <w:szCs w:val="11"/>
                <w:color w:val="auto"/>
              </w:rPr>
              <w:t>IPO</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Equity-based compensation subsequent to</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3"/>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1,207</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2,704</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3,916</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40" w:type="dxa"/>
            <w:vAlign w:val="bottom"/>
          </w:tcPr>
          <w:p>
            <w:pPr>
              <w:ind w:left="140"/>
              <w:spacing w:after="0"/>
              <w:rPr>
                <w:sz w:val="20"/>
                <w:szCs w:val="20"/>
                <w:color w:val="auto"/>
              </w:rPr>
            </w:pPr>
            <w:r>
              <w:rPr>
                <w:rFonts w:ascii="Arial" w:cs="Arial" w:eastAsia="Arial" w:hAnsi="Arial"/>
                <w:sz w:val="11"/>
                <w:szCs w:val="11"/>
                <w:color w:val="auto"/>
                <w:w w:val="94"/>
              </w:rPr>
              <w:t>Distributions subsequent to Reorganization and IPO</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5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(1,330)</w:t>
            </w:r>
          </w:p>
        </w:tc>
        <w:tc>
          <w:tcPr>
            <w:tcW w:w="0" w:type="dxa"/>
            <w:vAlign w:val="bottom"/>
          </w:tcPr>
          <w:p>
            <w:pPr>
              <w:spacing w:after="0"/>
              <w:rPr>
                <w:sz w:val="1"/>
                <w:szCs w:val="1"/>
                <w:color w:val="auto"/>
              </w:rPr>
            </w:pPr>
          </w:p>
        </w:tc>
      </w:tr>
      <w:tr>
        <w:trPr>
          <w:trHeight w:val="22"/>
        </w:trPr>
        <w:tc>
          <w:tcPr>
            <w:tcW w:w="2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December 31, 2020</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w:t>
            </w: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66</w:t>
            </w: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121,266</w:t>
            </w: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24,788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362,802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534,137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4"/>
              </w:rPr>
              <w:t>Nine Months Ended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380,674</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163,398</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15,289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4,157</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carried interest allocations and investment income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(466,962)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(178,546)</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Unrealized legacy Greenspring carried interest allocations and investment income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(94,714)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performance fee-related compensation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83,487</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Unrealized legacy Greenspring performance fee-related compensation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80,376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 amortization of deferred financing costs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10,363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4,641</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Other non-cash activities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Fees and accounts receivable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(2,519)</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 affiliates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Other assets and receivables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6,808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3,657</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26,075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19,312</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carried interest-related compensation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Due to affiliates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right-of-use assets, net and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181,978</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120,297</w:t>
            </w:r>
          </w:p>
        </w:tc>
      </w:tr>
      <w:tr>
        <w:trPr>
          <w:trHeight w:val="250"/>
        </w:trPr>
        <w:tc>
          <w:tcPr>
            <w:tcW w:w="7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investments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Distributions received from investments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7,845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investments in legacy Greenspring entities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Distributions received from investments in legacy Greenspring entities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Greenspring acquisition, net of cash acquired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(201,475)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4"/>
              </w:rPr>
              <w:t>Nine Months Ended December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Sale of non-controlling interests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capital contributions from non-controlling interests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IPO, net of underwriting discount</w:t>
            </w:r>
          </w:p>
        </w:tc>
        <w:tc>
          <w:tcPr>
            <w:tcW w:w="24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337,798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non-controlling interests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Payment of deferred offering costs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(9,667)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term loan</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Payments on revolving credit facility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(120,000)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(64,915)</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capital contributions to legacy Greenspring entities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9,141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interests in legacy Greenspring entities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Dividends paid to common stockholders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(14,758)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to related parties under Tax Receivable Agreements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(27,073)</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89,939</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136,916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188,991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acquisition related contingent consideration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Accrued dividends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Deferred tax effect resulting from transactions affecting ownership in the Partnership, including net</w:t>
            </w:r>
          </w:p>
        </w:tc>
        <w:tc>
          <w:tcPr>
            <w:tcW w:w="2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(56,967)</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135"/>
        </w:trPr>
        <w:tc>
          <w:tcPr>
            <w:tcW w:w="786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amounts payable under Tax Receivable Agreements</w:t>
            </w:r>
          </w:p>
        </w:tc>
        <w:tc>
          <w:tcPr>
            <w:tcW w:w="24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78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Accrued deferred offering costs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Establishment of lease liabilities in exchange for lease right-of-use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Class A common stock issued for Greenspring acquisition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558,598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C Partnership units issued for Greenspring acquisition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135,239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136,916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188,991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2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As of September 18, 2020, in connection with the Reorganization discussed below, SSG became the sole managing member of StepStone Group Holdings LLC (the “General Partner”), the general partner of the Partnership. Unless otherwise specified, “StepStone” or the “Company” refers to SSG and its consolidated subsidiaries, including the Partnership, following the Reorganization and IPO, and to the Partnership and its consolidated subsidiaries prior to the Reorganization and IPO, throughout the remainder of these notes to the condensed consolidated financial statements.</w:t>
      </w:r>
    </w:p>
    <w:p>
      <w:pPr>
        <w:spacing w:after="0" w:line="185"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97" w:lineRule="exact"/>
        <w:rPr>
          <w:sz w:val="20"/>
          <w:szCs w:val="20"/>
          <w:color w:val="auto"/>
        </w:rPr>
      </w:pPr>
    </w:p>
    <w:p>
      <w:pPr>
        <w:ind w:right="220" w:firstLine="648"/>
        <w:spacing w:after="0" w:line="316" w:lineRule="auto"/>
        <w:rPr>
          <w:sz w:val="20"/>
          <w:szCs w:val="20"/>
          <w:color w:val="auto"/>
        </w:rPr>
      </w:pPr>
      <w:r>
        <w:rPr>
          <w:rFonts w:ascii="Arial" w:cs="Arial" w:eastAsia="Arial" w:hAnsi="Arial"/>
          <w:sz w:val="18"/>
          <w:szCs w:val="18"/>
          <w:color w:val="auto"/>
        </w:rPr>
        <w:t>The Company, through its subsidiaries, acts as the investment advisor and general partner or managing member to separately managed accounts (“SMAs”) and focused commingled funds, including acquired Greenspring funds (collectively, the “StepStone Funds”).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connection with the IPO, the Company completed certain transactions as part of a corporate reorganization (the “Reorganization”), which are described below:</w:t>
      </w:r>
    </w:p>
    <w:p>
      <w:pPr>
        <w:spacing w:after="0" w:line="177" w:lineRule="exact"/>
        <w:rPr>
          <w:sz w:val="20"/>
          <w:szCs w:val="20"/>
          <w:color w:val="auto"/>
        </w:rPr>
      </w:pPr>
    </w:p>
    <w:p>
      <w:pPr>
        <w:ind w:left="660" w:right="360" w:hanging="328"/>
        <w:spacing w:after="0" w:line="26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SSG amended and restated its certificate of incorporation to, among other things, provide for Class A common stock and Class B common stock.</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Partnership amended its limited partnership agreement to, among other things, provide for Class A units and Class B units.</w:t>
      </w:r>
    </w:p>
    <w:p>
      <w:pPr>
        <w:spacing w:after="0" w:line="238" w:lineRule="exact"/>
        <w:rPr>
          <w:rFonts w:ascii="Arial" w:cs="Arial" w:eastAsia="Arial" w:hAnsi="Arial"/>
          <w:sz w:val="18"/>
          <w:szCs w:val="18"/>
          <w:color w:val="auto"/>
        </w:rPr>
      </w:pPr>
    </w:p>
    <w:p>
      <w:pPr>
        <w:ind w:left="660" w:right="240" w:hanging="328"/>
        <w:spacing w:after="0" w:line="26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General Partner amended and restated its limited liability company agreement to, among other things, appoint SSG as the sole managing member of the General Partner.</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SSG redeemed its 100 shares of common stock outstanding.</w:t>
      </w:r>
    </w:p>
    <w:p>
      <w:pPr>
        <w:spacing w:after="0" w:line="215" w:lineRule="exact"/>
        <w:rPr>
          <w:rFonts w:ascii="Arial" w:cs="Arial" w:eastAsia="Arial" w:hAnsi="Arial"/>
          <w:sz w:val="20"/>
          <w:szCs w:val="20"/>
          <w:color w:val="auto"/>
        </w:rPr>
      </w:pPr>
    </w:p>
    <w:p>
      <w:pPr>
        <w:ind w:left="660" w:right="160" w:hanging="328"/>
        <w:spacing w:after="0" w:line="291"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Partnership effectuated a series of transactions such that certain blocker entities in which certain pre-IPO institutional investors that held partnership units in the Partnership merged with and into SSG, with SSG surviving. As a result of the mergers, the 100% owners of the blocker entities acquired 9,112,500 shares of newly issued Class A common stock of SSG.</w:t>
      </w:r>
    </w:p>
    <w:p>
      <w:pPr>
        <w:spacing w:after="0" w:line="151"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Partnership classified the partnership units acquired by SSG as Class A units and reclassified the partnership units held by the continuing limited partners of the Partnership as Class B units.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right="620" w:hanging="328"/>
        <w:spacing w:after="0" w:line="26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SSG issued to the remaining Class B unitholders one share of Class B common stock for each Class B unit that they owned in exchange for their interests in the General Partner.</w:t>
      </w:r>
    </w:p>
    <w:p>
      <w:pPr>
        <w:spacing w:after="0" w:line="176" w:lineRule="exact"/>
        <w:rPr>
          <w:rFonts w:ascii="Arial" w:cs="Arial" w:eastAsia="Arial" w:hAnsi="Arial"/>
          <w:sz w:val="20"/>
          <w:szCs w:val="20"/>
          <w:color w:val="auto"/>
        </w:rPr>
      </w:pPr>
    </w:p>
    <w:p>
      <w:pPr>
        <w:jc w:val="both"/>
        <w:ind w:left="660" w:right="260" w:hanging="328"/>
        <w:spacing w:after="0" w:line="269" w:lineRule="auto"/>
        <w:tabs>
          <w:tab w:leader="none" w:pos="648" w:val="left"/>
        </w:tabs>
        <w:numPr>
          <w:ilvl w:val="0"/>
          <w:numId w:val="9"/>
        </w:numPr>
        <w:rPr>
          <w:rFonts w:ascii="Arial" w:cs="Arial" w:eastAsia="Arial" w:hAnsi="Arial"/>
          <w:sz w:val="19"/>
          <w:szCs w:val="19"/>
          <w:color w:val="auto"/>
        </w:rPr>
      </w:pPr>
      <w:r>
        <w:rPr>
          <w:rFonts w:ascii="Arial" w:cs="Arial" w:eastAsia="Arial" w:hAnsi="Arial"/>
          <w:sz w:val="19"/>
          <w:szCs w:val="19"/>
          <w:color w:val="auto"/>
        </w:rPr>
        <w:t>Certain of the Class B stockholders entered into a stockholders agreement pursuant to which they agreed to vote all their shares of voting stock, including Class A common stock and Class B common stock, together and in accordance with the instructions of the Class B Committee, which comprises certain members of senior management.</w:t>
      </w:r>
    </w:p>
    <w:p>
      <w:pPr>
        <w:spacing w:after="0" w:line="16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b w:val="1"/>
          <w:bCs w:val="1"/>
          <w:color w:val="auto"/>
        </w:rPr>
        <w:t>Initial Public Offering and Greenspring Acquisition</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auto"/>
        </w:rPr>
        <w:t>On September 18, 2020, SSG issued 20,125,000 shares of Class A common stock in the IPO at a price of $18.00 per share. The net proceeds from the offering totaled $337.8 million, net of underwriting discounts of $24.5 million and before offering costs of $9.7 million that were incurred by the Partnership. SSG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80"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In connection with the Greenspring acquisition (see note 14), the Company issued 12,686,756 shares of its Class A common stock and the Partnership issued 3,071,519 newly created Class C units of the Partnership, each of which is exchangeable into one share of Class A common stock, in each case subject to certain adjustments and restrictions (see note 13).</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Following the Reorganization and IPO, SSG became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December 31, 2021, SSG held approximately 54.7% of the economic interest in the Partnership. As the Partnership’s limited partners exchange their Class B and Class C units into SSG’s Class A common stock in the future, SSG’s economic interest in the Partnership will increase relative to that of the Class B and Class C unit holders.</w:t>
      </w:r>
    </w:p>
    <w:p>
      <w:pPr>
        <w:spacing w:after="0" w:line="174"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The Reorganization was considered a transaction between entities under common control. As a result, the condensed consolidated financial statements for periods prior to the Reorganization and IPO are the condensed consolidated financial statements of the Partnership as the predecessor to SSG for accounting and reporting purposes.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7140" w:hanging="652"/>
        <w:spacing w:after="0" w:line="468" w:lineRule="auto"/>
        <w:tabs>
          <w:tab w:leader="none" w:pos="358"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ind w:right="20" w:firstLine="648"/>
        <w:spacing w:after="0" w:line="309" w:lineRule="auto"/>
        <w:rPr>
          <w:sz w:val="20"/>
          <w:szCs w:val="20"/>
          <w:color w:val="auto"/>
        </w:rPr>
      </w:pPr>
      <w:r>
        <w:rPr>
          <w:rFonts w:ascii="Arial" w:cs="Arial" w:eastAsia="Arial" w:hAnsi="Arial"/>
          <w:sz w:val="16"/>
          <w:szCs w:val="16"/>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2021 filed with the Securities and Exchange Commission (“SEC”).</w:t>
      </w:r>
    </w:p>
    <w:p>
      <w:pPr>
        <w:spacing w:after="0" w:line="379"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Reclassifications</w:t>
      </w:r>
    </w:p>
    <w:p>
      <w:pPr>
        <w:spacing w:after="0" w:line="208"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Certain prior year amounts have been reclassified to conform to the current period presentation. Unrealized performance fee-related compensation has been presented separately within cash flows from operating activities in the condensed consolidated statements of cash flows, and was previously included within accrued carried interest-related compensation within cash flows from operating activities.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0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6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9"/>
          <w:szCs w:val="19"/>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its fee arrangements are considered customary and commensurate and thus not deemed to be variable interests, and it does not hold any other interests in those funds that are considered more than insignificant.</w:t>
      </w:r>
    </w:p>
    <w:p>
      <w:pPr>
        <w:spacing w:after="0" w:line="184"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96" w:lineRule="exact"/>
        <w:rPr>
          <w:sz w:val="20"/>
          <w:szCs w:val="20"/>
          <w:color w:val="auto"/>
        </w:rPr>
      </w:pPr>
    </w:p>
    <w:p>
      <w:pPr>
        <w:ind w:right="120" w:firstLine="648"/>
        <w:spacing w:after="0" w:line="243" w:lineRule="auto"/>
        <w:rPr>
          <w:sz w:val="20"/>
          <w:szCs w:val="20"/>
          <w:color w:val="auto"/>
        </w:rPr>
      </w:pPr>
      <w:r>
        <w:rPr>
          <w:rFonts w:ascii="Arial" w:cs="Arial" w:eastAsia="Arial" w:hAnsi="Arial"/>
          <w:sz w:val="20"/>
          <w:szCs w:val="20"/>
          <w:color w:val="auto"/>
        </w:rPr>
        <w:t>In connection with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1"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legacy Greenspring entities </w:t>
      </w:r>
      <w:r>
        <w:rPr>
          <w:rFonts w:ascii="Arial" w:cs="Arial" w:eastAsia="Arial" w:hAnsi="Arial"/>
          <w:sz w:val="20"/>
          <w:szCs w:val="20"/>
          <w:color w:val="auto"/>
        </w:rPr>
        <w:t>represent the economic interests in the legacy Greenspring general partner</w:t>
      </w:r>
      <w:r>
        <w:rPr>
          <w:rFonts w:ascii="Arial" w:cs="Arial" w:eastAsia="Arial" w:hAnsi="Arial"/>
          <w:sz w:val="20"/>
          <w:szCs w:val="20"/>
          <w:i w:val="1"/>
          <w:iCs w:val="1"/>
          <w:color w:val="auto"/>
        </w:rPr>
        <w:t xml:space="preserve"> </w:t>
      </w:r>
      <w:r>
        <w:rPr>
          <w:rFonts w:ascii="Arial" w:cs="Arial" w:eastAsia="Arial" w:hAnsi="Arial"/>
          <w:sz w:val="20"/>
          <w:szCs w:val="20"/>
          <w:color w:val="auto"/>
        </w:rPr>
        <w:t>entities. The Company did not acquire any direct economic interests in the legacy Greenspring general partner entities. As a result, all of the net income or loss related to the legacy Greenspring general partner entities is allocated to non-controlling interests in legacy Greenspring entities.</w:t>
      </w:r>
    </w:p>
    <w:p>
      <w:pPr>
        <w:spacing w:after="0" w:line="191" w:lineRule="exact"/>
        <w:rPr>
          <w:sz w:val="20"/>
          <w:szCs w:val="20"/>
          <w:color w:val="auto"/>
        </w:rPr>
      </w:pPr>
    </w:p>
    <w:p>
      <w:pPr>
        <w:ind w:right="420" w:firstLine="648"/>
        <w:spacing w:after="0" w:line="244"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and Class C units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 Prior to the Reorganization and IPO, all of the Company’s net income related to the Partnership and therefore has been presented as non-controlling interests in the Partnership.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ending December 31, 2021, the Company used the September 30, 2021 unaudited financial statements of the StepStone Funds, which reflect the underlying private market funds as of September 30, 2021, to record its investments (including any carried interest allocated by those investments), as adjusted for capital contributions and distributions during the three-month lag period ended December 31,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16" w:lineRule="exact"/>
        <w:rPr>
          <w:sz w:val="20"/>
          <w:szCs w:val="20"/>
          <w:color w:val="auto"/>
        </w:rPr>
      </w:pPr>
    </w:p>
    <w:p>
      <w:pPr>
        <w:ind w:right="320" w:firstLine="648"/>
        <w:spacing w:after="0" w:line="287" w:lineRule="auto"/>
        <w:rPr>
          <w:sz w:val="20"/>
          <w:szCs w:val="20"/>
          <w:color w:val="auto"/>
        </w:rPr>
      </w:pPr>
      <w:r>
        <w:rPr>
          <w:rFonts w:ascii="Arial" w:cs="Arial" w:eastAsia="Arial" w:hAnsi="Arial"/>
          <w:sz w:val="19"/>
          <w:szCs w:val="19"/>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54" w:right="41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Continuing Impact of COVID-19</w:t>
      </w:r>
    </w:p>
    <w:p>
      <w:pPr>
        <w:spacing w:after="0" w:line="2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9"/>
          <w:szCs w:val="19"/>
          <w:color w:val="auto"/>
        </w:rPr>
        <w:t>The COVID-19 pandemic has continued to impact the global economy and financial markets. With the spread of the Omicron variant, restrictions have been and may continue to be reimposed to mitigate risks to public health in jurisdictions where additional outbreaks have been detected. Moreover, even where restrictions are and remain lifted, and as vaccinations have become available and more accessible, certain groups of people may continue to self-isolate and not participate in the economy at pre-pandemic levels for a prolonged period of time, potentially further delaying global economic recovery. The Company is continuing to closely monitor developments related to COVID-19 and assessing any negative impacts to the Company’s business. In particular, it is possible that the Company’s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fees. As the global response and ongoing nature of COVID-19 evolves, it is currently not possible to predict the potential scale and scope of the outbreak and its ultimate effects on the financial markets, overall economy and the Company’s condensed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91" w:lineRule="exact"/>
        <w:rPr>
          <w:rFonts w:ascii="Arial" w:cs="Arial" w:eastAsia="Arial" w:hAnsi="Arial"/>
          <w:sz w:val="20"/>
          <w:szCs w:val="20"/>
          <w:color w:val="auto"/>
        </w:rPr>
      </w:pPr>
    </w:p>
    <w:p>
      <w:pPr>
        <w:ind w:left="660" w:right="38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65"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The Company considers its cash, cash equivalents, restricted cash, fees and accounts receivable, accounts payable, investments, revolving credit facility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notes 6 and 8 for additional details regarding the fair value of the Company’s contingent consideration and revolving credit facility balances,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Cash</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22"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37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On April 1, 2021, the Company adopted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on a prospective basis.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 a result, prior period amounts were not adjusted to reflect the impact of the new standard.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The new standard establishes a right-of-use (“ROU”) model that requires a lessee to record a ROU asset and a lease liability on the condensed consolidated balance sheets for all leases with terms longer than 12 months. Under the previous guidance, operating leases were not recognized by the Company in the condensed consolidated balance sheets as a lessee. The guidance does not significantly change the recognition, measurement and presentation of expenses in the condensed consolidated statements of income or cash flows arising from a lease by a lessee. The adoption of this standard did not have a material impact on the condensed consolidated statements of income as substantially all of the Company’s leases are still classified as operating leases, which under the new guidance will continue to be recognized as expense on a straight-line basis. However, the adoption resulted in a significant gross-up in total assets and total liabilities on the Company’s condensed consolidated balance sheets. The Company recognized right-of-use assets of approximately $66.7 million and liabilities of approximately $76.9 million related to its operating leases which represents the aggregate discounted amount of the Company’s minimum lease obligations as of the adoption date.</w:t>
      </w:r>
    </w:p>
    <w:p>
      <w:pPr>
        <w:spacing w:after="0" w:line="190" w:lineRule="exact"/>
        <w:rPr>
          <w:sz w:val="20"/>
          <w:szCs w:val="20"/>
          <w:color w:val="auto"/>
        </w:rPr>
      </w:pPr>
    </w:p>
    <w:p>
      <w:pPr>
        <w:ind w:firstLine="648"/>
        <w:spacing w:after="0" w:line="309" w:lineRule="auto"/>
        <w:rPr>
          <w:sz w:val="20"/>
          <w:szCs w:val="20"/>
          <w:color w:val="auto"/>
        </w:rPr>
      </w:pPr>
      <w:r>
        <w:rPr>
          <w:rFonts w:ascii="Arial" w:cs="Arial" w:eastAsia="Arial" w:hAnsi="Arial"/>
          <w:sz w:val="16"/>
          <w:szCs w:val="16"/>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37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8"/>
          <w:szCs w:val="18"/>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15 for more information.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Business Combinations</w:t>
      </w:r>
    </w:p>
    <w:p>
      <w:pPr>
        <w:spacing w:after="0" w:line="222"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Acquisition-related costs incurred in connection with a business combination are expensed as incurred and are included in general, administrative and other expenses in the condensed consolidated statements of income.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Intangibles and Goodwill</w:t>
      </w:r>
    </w:p>
    <w:p>
      <w:pPr>
        <w:spacing w:after="0" w:line="222"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December 31, 2021.</w:t>
      </w:r>
    </w:p>
    <w:p>
      <w:pPr>
        <w:spacing w:after="0" w:line="170"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nine months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firstLine="648"/>
        <w:spacing w:after="0" w:line="328" w:lineRule="auto"/>
        <w:rPr>
          <w:sz w:val="20"/>
          <w:szCs w:val="20"/>
          <w:color w:val="auto"/>
        </w:rPr>
      </w:pPr>
      <w:r>
        <w:rPr>
          <w:rFonts w:ascii="Arial" w:cs="Arial" w:eastAsia="Arial" w:hAnsi="Arial"/>
          <w:sz w:val="16"/>
          <w:szCs w:val="16"/>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28"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3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jc w:val="both"/>
        <w:ind w:right="120" w:firstLine="648"/>
        <w:spacing w:after="0" w:line="306" w:lineRule="auto"/>
        <w:rPr>
          <w:sz w:val="20"/>
          <w:szCs w:val="20"/>
          <w:color w:val="auto"/>
        </w:rPr>
      </w:pPr>
      <w:r>
        <w:rPr>
          <w:rFonts w:ascii="Arial" w:cs="Arial" w:eastAsia="Arial" w:hAnsi="Arial"/>
          <w:sz w:val="16"/>
          <w:szCs w:val="16"/>
          <w:color w:val="auto"/>
        </w:rPr>
        <w:t>The Company recognizes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color w:val="auto"/>
        </w:rPr>
        <w:t>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94"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i w:val="1"/>
          <w:iCs w:val="1"/>
          <w:color w:val="231F20"/>
        </w:rPr>
        <w:t xml:space="preserve">Legacy Greenspring carried interest allocations </w:t>
      </w:r>
      <w:r>
        <w:rPr>
          <w:rFonts w:ascii="Arial" w:cs="Arial" w:eastAsia="Arial" w:hAnsi="Arial"/>
          <w:sz w:val="18"/>
          <w:szCs w:val="18"/>
          <w:color w:val="231F20"/>
        </w:rPr>
        <w:t>reflect the allocation of carried interest to legacy Greenspring general partner</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Arial" w:cs="Arial" w:eastAsia="Arial" w:hAnsi="Arial"/>
          <w:sz w:val="18"/>
          <w:szCs w:val="18"/>
          <w:color w:val="000000"/>
        </w:rPr>
        <w:t>because it</w:t>
      </w:r>
      <w:r>
        <w:rPr>
          <w:rFonts w:ascii="Arial" w:cs="Arial" w:eastAsia="Arial" w:hAnsi="Arial"/>
          <w:sz w:val="18"/>
          <w:szCs w:val="18"/>
          <w:color w:val="231F20"/>
        </w:rPr>
        <w:t xml:space="preserve"> </w:t>
      </w:r>
      <w:r>
        <w:rPr>
          <w:rFonts w:ascii="Arial" w:cs="Arial" w:eastAsia="Arial" w:hAnsi="Arial"/>
          <w:sz w:val="18"/>
          <w:szCs w:val="18"/>
          <w:color w:val="000000"/>
        </w:rPr>
        <w:t>is presumed to have significant influence as the general partner or managing member</w:t>
      </w:r>
      <w:r>
        <w:rPr>
          <w:rFonts w:ascii="Arial" w:cs="Arial" w:eastAsia="Arial" w:hAnsi="Arial"/>
          <w:sz w:val="18"/>
          <w:szCs w:val="18"/>
          <w:color w:val="231F20"/>
        </w:rPr>
        <w:t>. The Company does not hold any direct economic</w:t>
      </w:r>
      <w:r>
        <w:rPr>
          <w:rFonts w:ascii="Arial" w:cs="Arial" w:eastAsia="Arial" w:hAnsi="Arial"/>
          <w:sz w:val="18"/>
          <w:szCs w:val="18"/>
          <w:color w:val="000000"/>
        </w:rPr>
        <w:t xml:space="preserve"> </w:t>
      </w:r>
      <w:r>
        <w:rPr>
          <w:rFonts w:ascii="Arial" w:cs="Arial" w:eastAsia="Arial" w:hAnsi="Arial"/>
          <w:sz w:val="18"/>
          <w:szCs w:val="18"/>
          <w:color w:val="231F20"/>
        </w:rPr>
        <w:t xml:space="preserve">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 </w:t>
      </w:r>
      <w:r>
        <w:rPr>
          <w:rFonts w:ascii="Arial" w:cs="Arial" w:eastAsia="Arial" w:hAnsi="Arial"/>
          <w:sz w:val="18"/>
          <w:szCs w:val="18"/>
          <w:color w:val="000000"/>
        </w:rPr>
        <w:t>Accordingly, legacy Greenspring carried interest allocations are not deemed to be within the scope of ASC 606.</w:t>
      </w:r>
    </w:p>
    <w:p>
      <w:pPr>
        <w:spacing w:after="0" w:line="174" w:lineRule="exact"/>
        <w:rPr>
          <w:sz w:val="20"/>
          <w:szCs w:val="20"/>
          <w:color w:val="auto"/>
        </w:rPr>
      </w:pPr>
    </w:p>
    <w:p>
      <w:pPr>
        <w:ind w:right="60" w:firstLine="648"/>
        <w:spacing w:after="0" w:line="316" w:lineRule="auto"/>
        <w:rPr>
          <w:sz w:val="20"/>
          <w:szCs w:val="20"/>
          <w:color w:val="auto"/>
        </w:rPr>
      </w:pPr>
      <w:r>
        <w:rPr>
          <w:rFonts w:ascii="Arial" w:cs="Arial" w:eastAsia="Arial" w:hAnsi="Arial"/>
          <w:sz w:val="16"/>
          <w:szCs w:val="16"/>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2021 and March 31, 2021, no material amounts for potential clawback obligations had been accrued.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See note 9 for additional information regarding the Company’s accounting for equity-based awards.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40" w:firstLine="648"/>
        <w:spacing w:after="0" w:line="316"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40"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 xml:space="preserve">The Company is subject to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percent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SSG has entered into an Exchanges Tax Receivable Agreement (the “Exchanges Tax Receivable Agreement”) with the partners of the Partnership as of the date of the IPO and a Reorganization Tax Receivable Agreement with certain pre-IPO institutional investors (together with the Exchanges Tax Receivable Agreement,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notes 13 and 14 for more information.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w w:val="89"/>
              </w:rPr>
              <w:t>As of</w:t>
            </w:r>
          </w:p>
        </w:tc>
        <w:tc>
          <w:tcPr>
            <w:tcW w:w="1240" w:type="dxa"/>
            <w:vAlign w:val="bottom"/>
            <w:tcBorders>
              <w:bottom w:val="single" w:sz="8" w:color="auto"/>
            </w:tcBorders>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2240" w:type="dxa"/>
            <w:vAlign w:val="bottom"/>
            <w:gridSpan w:val="3"/>
          </w:tcPr>
          <w:p>
            <w:pPr>
              <w:ind w:left="680"/>
              <w:spacing w:after="0"/>
              <w:rPr>
                <w:sz w:val="20"/>
                <w:szCs w:val="20"/>
                <w:color w:val="auto"/>
              </w:rPr>
            </w:pPr>
            <w:r>
              <w:rPr>
                <w:rFonts w:ascii="Arial" w:cs="Arial" w:eastAsia="Arial" w:hAnsi="Arial"/>
                <w:sz w:val="16"/>
                <w:szCs w:val="16"/>
                <w:b w:val="1"/>
                <w:bCs w:val="1"/>
                <w:color w:val="auto"/>
              </w:rPr>
              <w:t>December 31, 2021</w:t>
            </w:r>
          </w:p>
        </w:tc>
        <w:tc>
          <w:tcPr>
            <w:tcW w:w="78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69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303</w:t>
            </w:r>
          </w:p>
        </w:tc>
        <w:tc>
          <w:tcPr>
            <w:tcW w:w="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208</w:t>
            </w:r>
          </w:p>
        </w:tc>
      </w:tr>
      <w:tr>
        <w:trPr>
          <w:trHeight w:val="229"/>
        </w:trPr>
        <w:tc>
          <w:tcPr>
            <w:tcW w:w="6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Unrealized loss on defined benefit plan, net</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3"/>
              </w:rPr>
              <w:t>(53)</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3"/>
              </w:rPr>
              <w:t>(53)</w:t>
            </w:r>
          </w:p>
        </w:tc>
      </w:tr>
      <w:tr>
        <w:trPr>
          <w:trHeight w:val="248"/>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155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The Company operates as one business, a fully-integrated private markets solution provider. The Company’s chief operating decision maker, which consists of the Company’s co-chief executive officers together, through December 31, 2021, and the chief executive officer beginning January 1, 2022,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2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The Company considers the applicability and impact of all ASU updates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186"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 xml:space="preserve">In December 2019, the FASB issued ASU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which modifies ASC 740 to simplify the accounting for income taxes. The guidance, among other changes, (i) provides a policy election to not allocate consolidated income taxes when a member of a consolidated tax return is not subject to income tax and (ii) provides guidance to evaluate whether a step-up in tax basis of goodwill relates to a business combination in which book goodwill was recognized or a separate transaction. This guidance is effective for annual and interim periods beginning after December 15, 2020, with early adoption permitted. The Company adopted this guidance on April 1, 2021. Adoption of this guidance did not have a material effect on the condensed consolidated financial statements.</w:t>
      </w:r>
    </w:p>
    <w:p>
      <w:pPr>
        <w:spacing w:after="0" w:line="193" w:lineRule="exact"/>
        <w:rPr>
          <w:sz w:val="20"/>
          <w:szCs w:val="20"/>
          <w:color w:val="auto"/>
        </w:rPr>
      </w:pPr>
    </w:p>
    <w:p>
      <w:pPr>
        <w:ind w:right="280" w:firstLine="648"/>
        <w:spacing w:after="0" w:line="274" w:lineRule="auto"/>
        <w:rPr>
          <w:sz w:val="20"/>
          <w:szCs w:val="20"/>
          <w:color w:val="auto"/>
        </w:rPr>
      </w:pPr>
      <w:r>
        <w:rPr>
          <w:rFonts w:ascii="Arial" w:cs="Arial" w:eastAsia="Arial" w:hAnsi="Arial"/>
          <w:sz w:val="18"/>
          <w:szCs w:val="18"/>
          <w:color w:val="auto"/>
        </w:rPr>
        <w:t xml:space="preserve">In July 2021, the FASB issued ASU 2021-05, </w:t>
      </w:r>
      <w:r>
        <w:rPr>
          <w:rFonts w:ascii="Arial" w:cs="Arial" w:eastAsia="Arial" w:hAnsi="Arial"/>
          <w:sz w:val="18"/>
          <w:szCs w:val="18"/>
          <w:i w:val="1"/>
          <w:iCs w:val="1"/>
          <w:color w:val="auto"/>
        </w:rPr>
        <w:t>Leases (Topic 842): Lessors—Certain Leases with Variable Lease Payments</w:t>
      </w:r>
      <w:r>
        <w:rPr>
          <w:rFonts w:ascii="Arial" w:cs="Arial" w:eastAsia="Arial" w:hAnsi="Arial"/>
          <w:sz w:val="18"/>
          <w:szCs w:val="18"/>
          <w:color w:val="auto"/>
        </w:rPr>
        <w:t>, which modifies ASC 842 to amend the lease classification requirements for lessors to align with practice under ASC Topic 840. Lessors should classify and account for a lease with variable lease payments that do not depend on a reference index or a rate as an operating lease if the lease would have been classified as a sales-type lease or a direct financing lease under ASC 842, and the lessor would have otherwise recognized a day-one loss on the investment in the lease. This guidance is effective for annual periods beginning after December 15, 2021 and interim periods within those annual periods. The Company plans to adopt this guidance on April 1, 2022, and does not expect the adoption of this guidance to have a material effect on the condensed consolidated financial statements.</w:t>
      </w:r>
    </w:p>
    <w:p>
      <w:pPr>
        <w:spacing w:after="0" w:line="168"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 xml:space="preserve">In November 2021, the FASB issued ASU 2021-08, </w:t>
      </w:r>
      <w:r>
        <w:rPr>
          <w:rFonts w:ascii="Arial" w:cs="Arial" w:eastAsia="Arial" w:hAnsi="Arial"/>
          <w:sz w:val="18"/>
          <w:szCs w:val="18"/>
          <w:i w:val="1"/>
          <w:iCs w:val="1"/>
          <w:color w:val="auto"/>
        </w:rPr>
        <w:t>Business Combinations (Topic 805): Accounting for Contract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 Liabilities from Contracts with Customers</w:t>
      </w:r>
      <w:r>
        <w:rPr>
          <w:rFonts w:ascii="Arial" w:cs="Arial" w:eastAsia="Arial" w:hAnsi="Arial"/>
          <w:sz w:val="18"/>
          <w:szCs w:val="18"/>
          <w:color w:val="auto"/>
        </w:rPr>
        <w:t>, which modifies ASC 805 to require an acquiring entity in a business combination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and measure contract assets and contract liabilities acquired in a business combination in accordance with Topic 606. At the acquisition date, an acquirer should account for the related revenue contracts in accordance with Topic 606 as if it had originated the contracts. Under current GAAP, an acquirer generally recognizes such items at fair value on the acquisition date. This guidance is effective for annual and interim periods beginning after December 15, 2022, with early adoption permitted. The Company plans to adopt this guidance on April 1, 2023, and will apply the guidance prospectively to business combinations that occur after this date. The Company does not expect the adoption of this guidance to have a material effect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9"/>
          </w:tcPr>
          <w:p>
            <w:pPr>
              <w:spacing w:after="0"/>
              <w:rPr>
                <w:sz w:val="20"/>
                <w:szCs w:val="20"/>
                <w:color w:val="auto"/>
              </w:rPr>
            </w:pPr>
            <w:r>
              <w:rPr>
                <w:rFonts w:ascii="Arial" w:cs="Arial" w:eastAsia="Arial" w:hAnsi="Arial"/>
                <w:sz w:val="16"/>
                <w:szCs w:val="16"/>
                <w:b w:val="1"/>
                <w:bCs w:val="1"/>
                <w:color w:val="auto"/>
              </w:rPr>
              <w:t>Three Months Ended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right"/>
              <w:ind w:right="52"/>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Management and Advisory Fees, Net</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Focused commingled funds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23,567</w:t>
            </w:r>
          </w:p>
        </w:tc>
        <w:tc>
          <w:tcPr>
            <w:tcW w:w="2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99,173</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74,241</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SMAs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33,079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127,137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95,030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and other services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13,442</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 reimbursement revenues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management and advisory fees, net</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268,028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9"/>
          </w:tcPr>
          <w:p>
            <w:pPr>
              <w:ind w:left="20"/>
              <w:spacing w:after="0"/>
              <w:rPr>
                <w:sz w:val="20"/>
                <w:szCs w:val="20"/>
                <w:color w:val="auto"/>
              </w:rPr>
            </w:pPr>
            <w:r>
              <w:rPr>
                <w:rFonts w:ascii="Arial" w:cs="Arial" w:eastAsia="Arial" w:hAnsi="Arial"/>
                <w:sz w:val="16"/>
                <w:szCs w:val="16"/>
                <w:b w:val="1"/>
                <w:bCs w:val="1"/>
                <w:color w:val="auto"/>
              </w:rPr>
              <w:t>Three Months Ended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right"/>
              <w:ind w:right="52"/>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Incentive Fees</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Focused commingled funds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incentive fees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8"/>
        </w:trPr>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9"/>
          </w:tcPr>
          <w:p>
            <w:pPr>
              <w:spacing w:after="0"/>
              <w:rPr>
                <w:sz w:val="20"/>
                <w:szCs w:val="20"/>
                <w:color w:val="auto"/>
              </w:rPr>
            </w:pPr>
            <w:r>
              <w:rPr>
                <w:rFonts w:ascii="Arial" w:cs="Arial" w:eastAsia="Arial" w:hAnsi="Arial"/>
                <w:sz w:val="16"/>
                <w:szCs w:val="16"/>
                <w:b w:val="1"/>
                <w:bCs w:val="1"/>
                <w:color w:val="auto"/>
              </w:rPr>
              <w:t>Three Months Ended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right"/>
              <w:ind w:right="52"/>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Allocations</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136,950</w:t>
            </w:r>
          </w:p>
        </w:tc>
        <w:tc>
          <w:tcPr>
            <w:tcW w:w="2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436,283</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158,409</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65,433</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39,794</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185,559</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55,898</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carried interest allocations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176,744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621,842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214,307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gridSpan w:val="2"/>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1"/>
        </w:trPr>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9"/>
          </w:tcPr>
          <w:p>
            <w:pPr>
              <w:ind w:left="20"/>
              <w:spacing w:after="0"/>
              <w:rPr>
                <w:sz w:val="20"/>
                <w:szCs w:val="20"/>
                <w:color w:val="auto"/>
              </w:rPr>
            </w:pPr>
            <w:r>
              <w:rPr>
                <w:rFonts w:ascii="Arial" w:cs="Arial" w:eastAsia="Arial" w:hAnsi="Arial"/>
                <w:sz w:val="16"/>
                <w:szCs w:val="16"/>
                <w:b w:val="1"/>
                <w:bCs w:val="1"/>
                <w:color w:val="auto"/>
              </w:rPr>
              <w:t>Three Months Ended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right"/>
              <w:ind w:right="52"/>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Legacy Greenspring Carried Interest Allocations</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Focused commingled funds</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104,960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legacy Greenspring carried interest allocations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880" w:hanging="652"/>
        <w:spacing w:after="0" w:line="323" w:lineRule="auto"/>
        <w:tabs>
          <w:tab w:leader="none" w:pos="6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three and nine months ended December 31, 2021, respectively, reflect the net effect of gross realized carried interest allocations of $24.6 million and $27.6 million, and the reversal of such amounts in unrealized carried interest allocations for such periods.</w:t>
      </w:r>
    </w:p>
    <w:p>
      <w:pPr>
        <w:spacing w:after="0" w:line="136" w:lineRule="exact"/>
        <w:rPr>
          <w:sz w:val="20"/>
          <w:szCs w:val="20"/>
          <w:color w:val="auto"/>
        </w:rPr>
      </w:pPr>
    </w:p>
    <w:p>
      <w:pPr>
        <w:jc w:val="both"/>
        <w:ind w:right="800" w:firstLine="648"/>
        <w:spacing w:after="0" w:line="250" w:lineRule="auto"/>
        <w:rPr>
          <w:sz w:val="20"/>
          <w:szCs w:val="20"/>
          <w:color w:val="auto"/>
        </w:rPr>
      </w:pPr>
      <w:r>
        <w:rPr>
          <w:rFonts w:ascii="Arial" w:cs="Arial" w:eastAsia="Arial" w:hAnsi="Arial"/>
          <w:sz w:val="20"/>
          <w:szCs w:val="20"/>
          <w:color w:val="auto"/>
        </w:rPr>
        <w:t>The increase in carried interest allocations for the three and nine months ended December 31, 2021 and 2020 was primarily attributable to net unrealized appreciation in the fair value of certain underlying fund investments. See note 2 for a discussion of the Company’s accounting policy for investments on a three-month lag.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w w:val="91"/>
              </w:rPr>
              <w:t>Nine Months Ended December 31,</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170,726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282,366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96,782</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Non-U.S. countries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239,739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202,329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718,469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331,868</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460" w:hanging="652"/>
        <w:spacing w:after="0" w:line="26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183"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For the three and nine months ended December 31, 2021 and 2020, no individual client represented 10% or more of the Company’s net management and advisory fees.</w:t>
      </w:r>
    </w:p>
    <w:p>
      <w:pPr>
        <w:spacing w:after="0" w:line="177"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As of December 31, 2021 and March 31, 2021, the Company had $20.6 million and $13.9 million, respectively, of deferred revenues, which is included in accounts payable, accrued expenses and other liabilities in the condensed consolidated balance sheets. During the nine months ended December 31, 2021, the Company had recognized $0.3 million as revenue from amounts included in the deferred revenue balance as of March 31, 2021.</w:t>
      </w:r>
    </w:p>
    <w:p>
      <w:pPr>
        <w:spacing w:after="0" w:line="185" w:lineRule="exact"/>
        <w:rPr>
          <w:sz w:val="20"/>
          <w:szCs w:val="20"/>
          <w:color w:val="auto"/>
        </w:rPr>
      </w:pPr>
    </w:p>
    <w:p>
      <w:pPr>
        <w:ind w:left="660" w:right="8760" w:hanging="652"/>
        <w:spacing w:after="0" w:line="520" w:lineRule="auto"/>
        <w:tabs>
          <w:tab w:leader="none" w:pos="35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Consolidated VIEs</w:t>
      </w:r>
    </w:p>
    <w:p>
      <w:pPr>
        <w:ind w:firstLine="648"/>
        <w:spacing w:after="0" w:line="273" w:lineRule="auto"/>
        <w:rPr>
          <w:sz w:val="20"/>
          <w:szCs w:val="20"/>
          <w:color w:val="auto"/>
        </w:rPr>
      </w:pPr>
      <w:r>
        <w:rPr>
          <w:rFonts w:ascii="Arial" w:cs="Arial" w:eastAsia="Arial" w:hAnsi="Arial"/>
          <w:sz w:val="18"/>
          <w:szCs w:val="18"/>
          <w:color w:val="auto"/>
        </w:rPr>
        <w:t>The Company consolidates certain VIEs for which it is the primary beneficiary. The Company’s VIEs consist of certain operating entities not wholly-owned by the Company (e.g., Swiss Capital, SRA and SRE) and legacy Greenspring general partner entities. See note 2 for more information on the Company’s accounting policies related to the consolidation of VIEs. The assets of the consolidated VIEs totaled $1,411.8 million and $65.3 million as of December 31, 2021 and March 31, 2021, respectively. The liabilities of the consolidated VIEs totaled $1,122.2 million and $26.9 million as of December 31, 2021 and March 31, 2021,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December 31, 2021 and March 31, 2021, no material amounts previously distributed have been accrued for clawback liabilities.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2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Legacy Greenspring investments in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241,493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 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7,488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legacy Greenspring entities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241,493</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97,692</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71,109</w:t>
            </w:r>
          </w:p>
        </w:tc>
      </w:tr>
      <w:tr>
        <w:trPr>
          <w:trHeight w:val="21"/>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condensed consolidated statements of income. Investment income attributable to investments in certain legacy Greenspring funds for which the Company has no direct economic interests are recorded in legacy Greenspring investment income in the condensed consolidated statements of income.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Accrued carried interest allocations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1,347,448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896,523</w:t>
            </w:r>
          </w:p>
        </w:tc>
      </w:tr>
      <w:tr>
        <w:trPr>
          <w:trHeight w:val="230"/>
        </w:trPr>
        <w:tc>
          <w:tcPr>
            <w:tcW w:w="8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Legacy Greenspring investments in funds and accrued carried interest allocations</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1,311,475</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2,757,703</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970,902</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investments in funds of $241.5 million and carried interest allocations of $1,070.0 million as of December 31, 2021.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equity method income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0"/>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Carried interest allocations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199,094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176,744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214,307</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6,508</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Greenspring carried interest allocations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Legacy Greenspring investment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equity method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329,174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182,105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765,533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220,815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The increase in carried interest allocations for the three and nine months ended December 31, 2021 as compared to the three and nine months ended December 31, 2020 was primarily attributable to unrealized appreciation in the fair value of the underlying investments in the Company’s private equity funds. See note 2 for a discussion of the Company’s accounting policy for investments on a three-month lag.</w:t>
      </w:r>
    </w:p>
    <w:p>
      <w:pPr>
        <w:spacing w:after="0" w:line="1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As of December 31, 2021, the Company’s investments in two SMAs each individually represented 10% or more of the total accrued carried interest allocations balance, and in the aggregate represented approximately 24% of the total accrued carried interest allocations balance as of that date. As of March 31, 2021, the Company’s investments in two SMAs each individually represented 10% or more of the total accrued carried interest allocations balance, and in the aggregate represented approximately 26% of the total accrued carried interest allocations balance as of that date. As of December 31, 2021, the Company’s investments in two commingled funds individually represented 10% or more of the total legacy Greenspring investments in funds and accrued carried interest allocations balance, and in the aggregate represented approximately 31% of the total legacy Greenspring investments in funds and accrued carried interest allocations balance as of that date.</w:t>
      </w:r>
    </w:p>
    <w:p>
      <w:pPr>
        <w:spacing w:after="0" w:line="180"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Of the total accrued carried interest allocations balance as of December 31, 2021 and March 31, 2021, respectively, $688.1 million and $465.6 million were payable to affiliates and is included in accrued carried interest-related compensation in the condensed consolidated balance sheets. Of the total legacy Greenspring investments in funds and accrued carried interest allocations balance as of December 31, 2021, $1,070.0 million was payable to employees who are considered affiliates of the Company and is included in legacy Greenspring accrued carried interest-related compensation in the condensed consolidated balance sheets and $241.5 million is reflected as non-controlling interests in legacy Greenspring entities in the condensed consolidated balance sheets.</w:t>
      </w:r>
    </w:p>
    <w:p>
      <w:pPr>
        <w:spacing w:after="0" w:line="165"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December 31, 2021 and March 31, 2021 and for the three and nine months ended December 31, 2021 and 2020,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As of December 31, 2021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20,253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20,253</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As of March 31, 2021</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For the liabilities presented in the tables above, there were no changes in fair value hierarchy levels during the three and nine months ended December 31, 2021 and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changes in the fair value of Level III financial instruments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Nine Months Ended December 31,</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18,851</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Arial" w:cs="Arial" w:eastAsia="Arial" w:hAnsi="Arial"/>
                <w:sz w:val="18"/>
                <w:szCs w:val="18"/>
                <w:color w:val="auto"/>
              </w:rPr>
              <w:t>Loss on change in fair value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20"/>
              <w:spacing w:after="0" w:line="176" w:lineRule="exact"/>
              <w:rPr>
                <w:sz w:val="20"/>
                <w:szCs w:val="20"/>
                <w:color w:val="auto"/>
              </w:rPr>
            </w:pPr>
            <w:r>
              <w:rPr>
                <w:rFonts w:ascii="Arial" w:cs="Arial" w:eastAsia="Arial" w:hAnsi="Arial"/>
                <w:sz w:val="18"/>
                <w:szCs w:val="18"/>
                <w:color w:val="auto"/>
              </w:rPr>
              <w:t>Changes in unrealized losses included in earnings related to financial</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1,624</w:t>
            </w:r>
          </w:p>
        </w:tc>
        <w:tc>
          <w:tcPr>
            <w:tcW w:w="24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1,624</w:t>
            </w:r>
          </w:p>
        </w:tc>
        <w:tc>
          <w:tcPr>
            <w:tcW w:w="24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8"/>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liabilities still held at the reporting date</w:t>
            </w:r>
          </w:p>
        </w:tc>
        <w:tc>
          <w:tcPr>
            <w:tcW w:w="1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In connection with the Greenspring acquisition, the Company recorded a contingent consideration liability of $17.8 million during the three months ended September 30, 2021. See note 14 for more information.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fair value of the contingent consideration liability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liabilities primarily relate to the discount rates applied to the expected future revenue and payment obligations, which ranged from 3% to 10% as of December 31, 2021. The contingent consideration liabilities are included in accounts payable, accrued expenses and other liabilities in the condensed consolidated balance sheets. Changes in the fair value of the liability are included in general, administrative and other expenses in the condensed consolidated statements of income. In February 2022, the Company amended the contingent consideration arrangement in respect of the Greenspring acquisition whereby a portion of the contingent consideration liability otherwise payable to the sellers will be used to fund compensation arrangements with certain employees of the Company, which will be payable following the end of the earn-out period.</w:t>
      </w:r>
    </w:p>
    <w:p>
      <w:pPr>
        <w:spacing w:after="0" w:line="16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Intangibles and Goodwill</w:t>
      </w:r>
    </w:p>
    <w:p>
      <w:pPr>
        <w:spacing w:after="0" w:line="222" w:lineRule="exact"/>
        <w:rPr>
          <w:sz w:val="20"/>
          <w:szCs w:val="20"/>
          <w:color w:val="auto"/>
        </w:rPr>
      </w:pPr>
    </w:p>
    <w:p>
      <w:pPr>
        <w:ind w:right="980" w:firstLine="648"/>
        <w:spacing w:after="0" w:line="287" w:lineRule="auto"/>
        <w:rPr>
          <w:sz w:val="20"/>
          <w:szCs w:val="20"/>
          <w:color w:val="auto"/>
        </w:rPr>
      </w:pPr>
      <w:r>
        <w:rPr>
          <w:rFonts w:ascii="Arial" w:cs="Arial" w:eastAsia="Arial" w:hAnsi="Arial"/>
          <w:sz w:val="19"/>
          <w:szCs w:val="19"/>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contracts</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41,058</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agreements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(49,015)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(35,567)</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Intangible assets, net</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409,174</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8"/>
          <w:szCs w:val="18"/>
          <w:color w:val="auto"/>
        </w:rPr>
        <w:t>Amortization expense related to intangible assets was $11.0 million and $0.8 million for the three months ended December 31, 2021 and 2020, respectively, and $13.4 million and $2.5 million for the nine months ended December 31, 2021 and 2020, respectively. These amounts are included in general, administrative and other expenses in the condensed consolidated statements of income.</w:t>
      </w:r>
    </w:p>
    <w:p>
      <w:pPr>
        <w:spacing w:after="0" w:line="15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In connection with the Greenspring acquisition, the Company added approximately $310.9 million of management contract intangible assets, $96.7 million of client relationship intangible assets and $9.5 million of service agreement intangible assets. See note 14 for more information.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9800" w:type="dxa"/>
            <w:vAlign w:val="bottom"/>
          </w:tcPr>
          <w:p>
            <w:pPr>
              <w:jc w:val="center"/>
              <w:ind w:left="1368"/>
              <w:spacing w:after="0"/>
              <w:rPr>
                <w:sz w:val="20"/>
                <w:szCs w:val="20"/>
                <w:color w:val="auto"/>
              </w:rPr>
            </w:pPr>
            <w:r>
              <w:rPr>
                <w:rFonts w:ascii="Arial" w:cs="Arial" w:eastAsia="Arial" w:hAnsi="Arial"/>
                <w:sz w:val="20"/>
                <w:szCs w:val="20"/>
                <w:b w:val="1"/>
                <w:bCs w:val="1"/>
                <w:color w:val="auto"/>
                <w:w w:val="88"/>
              </w:rPr>
              <w:t>StepStone Group Inc.</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6"/>
        </w:trPr>
        <w:tc>
          <w:tcPr>
            <w:tcW w:w="9800" w:type="dxa"/>
            <w:vAlign w:val="bottom"/>
          </w:tcPr>
          <w:p>
            <w:pPr>
              <w:jc w:val="center"/>
              <w:ind w:left="1348"/>
              <w:spacing w:after="0"/>
              <w:rPr>
                <w:sz w:val="20"/>
                <w:szCs w:val="20"/>
                <w:color w:val="auto"/>
              </w:rPr>
            </w:pPr>
            <w:r>
              <w:rPr>
                <w:rFonts w:ascii="Arial" w:cs="Arial" w:eastAsia="Arial" w:hAnsi="Arial"/>
                <w:sz w:val="20"/>
                <w:szCs w:val="20"/>
                <w:b w:val="1"/>
                <w:bCs w:val="1"/>
                <w:color w:val="auto"/>
                <w:w w:val="88"/>
              </w:rPr>
              <w:t>Notes to Condensed Consolidated Financial Statements (Unaudited)</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6"/>
        </w:trPr>
        <w:tc>
          <w:tcPr>
            <w:tcW w:w="9800" w:type="dxa"/>
            <w:vAlign w:val="bottom"/>
          </w:tcPr>
          <w:p>
            <w:pPr>
              <w:jc w:val="center"/>
              <w:ind w:left="1368"/>
              <w:spacing w:after="0"/>
              <w:rPr>
                <w:sz w:val="20"/>
                <w:szCs w:val="20"/>
                <w:color w:val="auto"/>
              </w:rPr>
            </w:pPr>
            <w:r>
              <w:rPr>
                <w:rFonts w:ascii="Arial" w:cs="Arial" w:eastAsia="Arial" w:hAnsi="Arial"/>
                <w:sz w:val="16"/>
                <w:szCs w:val="16"/>
                <w:i w:val="1"/>
                <w:iCs w:val="1"/>
                <w:color w:val="auto"/>
                <w:w w:val="90"/>
              </w:rPr>
              <w:t>(in thousands, except share and per share amounts and where noted)</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85"/>
        </w:trPr>
        <w:tc>
          <w:tcPr>
            <w:tcW w:w="9800" w:type="dxa"/>
            <w:vAlign w:val="bottom"/>
          </w:tcPr>
          <w:p>
            <w:pPr>
              <w:ind w:left="660"/>
              <w:spacing w:after="0"/>
              <w:rPr>
                <w:sz w:val="20"/>
                <w:szCs w:val="20"/>
                <w:color w:val="auto"/>
              </w:rPr>
            </w:pPr>
            <w:r>
              <w:rPr>
                <w:rFonts w:ascii="Arial" w:cs="Arial" w:eastAsia="Arial" w:hAnsi="Arial"/>
                <w:sz w:val="20"/>
                <w:szCs w:val="20"/>
                <w:color w:val="auto"/>
              </w:rPr>
              <w:t>At December 31, 2021, the expected future amortization of finite-lived intangible assets is as follows: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9"/>
        </w:trPr>
        <w:tc>
          <w:tcPr>
            <w:tcW w:w="9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FY2022</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FY2023</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43,481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FY2024</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42,645</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FY2025</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41,955</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41,764</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228,281</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409,174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The carrying value of goodwill was $583.2 million as of December 31, 2021 and $6.8 million as of March 31, 2021. The increase in the carrying value of goodwill is attributable to the Greenspring acquisition, which added approximately $576.4 million in goodwill. See note 14 for more information. The Company determined there was no indication of goodwill impairment as of December 31, 2021 and March 31,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 Obligations</w:t>
      </w:r>
    </w:p>
    <w:p>
      <w:pPr>
        <w:spacing w:after="0" w:line="222"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In September 2021, the Company entered into a credit agreement with various lenders (the “Credit Agreement”) in connection with the Greenspring acquisition. The Credit Agreement was arranged by JPMorgan Chase Bank, N.A., as the administrative agent, and provides for a $225.0 million multicurrency revolving credit facility (the “Revolver”) with a five-year maturity. As of December 31, 2021, the Company had $62.8 million outstanding on the Revolver, net of debt issuance costs.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debt obligations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1920"/>
              <w:spacing w:after="0"/>
              <w:rPr>
                <w:sz w:val="20"/>
                <w:szCs w:val="20"/>
                <w:color w:val="auto"/>
              </w:rPr>
            </w:pPr>
            <w:r>
              <w:rPr>
                <w:rFonts w:ascii="Arial" w:cs="Arial" w:eastAsia="Arial" w:hAnsi="Arial"/>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2021</w:t>
            </w:r>
          </w:p>
        </w:tc>
        <w:tc>
          <w:tcPr>
            <w:tcW w:w="320" w:type="dxa"/>
            <w:vAlign w:val="bottom"/>
          </w:tcPr>
          <w:p>
            <w:pPr>
              <w:spacing w:after="0"/>
              <w:rPr>
                <w:sz w:val="19"/>
                <w:szCs w:val="19"/>
                <w:color w:val="auto"/>
              </w:rPr>
            </w:pPr>
          </w:p>
        </w:tc>
        <w:tc>
          <w:tcPr>
            <w:tcW w:w="1920" w:type="dxa"/>
            <w:vAlign w:val="bottom"/>
          </w:tcPr>
          <w:p>
            <w:pPr>
              <w:ind w:left="20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65,000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4"/>
              </w:rPr>
              <w:t>(2,238)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62,762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Borrowings under the Revolver bear interest at a variable rate per annum. The Company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weighted-average interest rate in effect for the Revolver as of December 31, 2021 was 2.13%.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5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8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9"/>
          <w:szCs w:val="19"/>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beginning with the quarter ending December 31, 2021. As of December 31, 2021, the Company was in compliance with the total net leverage ratio and minimum fee-earning assets under management covenants.</w:t>
      </w:r>
    </w:p>
    <w:p>
      <w:pPr>
        <w:spacing w:after="0" w:line="185"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color w:val="auto"/>
        </w:rPr>
        <w:t>The Company can use available funding capacity under the Revolver to satisfy letters of credit in amounts up to $10.0 million. Amounts used to satisfy the letters of credit reduce the available capacity under the Revolver. As of December 31, 2021, the Company had outstanding letters of credit totaling $2.9 million.</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Equity-Based Compensation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Arial" w:cs="Arial" w:eastAsia="Arial" w:hAnsi="Arial"/>
                <w:sz w:val="16"/>
                <w:szCs w:val="16"/>
                <w:b w:val="1"/>
                <w:bCs w:val="1"/>
                <w:color w:val="auto"/>
                <w:w w:val="95"/>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2,549,861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17,173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22" w:lineRule="exact"/>
        <w:rPr>
          <w:sz w:val="20"/>
          <w:szCs w:val="20"/>
          <w:color w:val="auto"/>
        </w:rPr>
      </w:pPr>
    </w:p>
    <w:p>
      <w:pPr>
        <w:ind w:right="200" w:firstLine="648"/>
        <w:spacing w:after="0" w:line="269" w:lineRule="auto"/>
        <w:rPr>
          <w:sz w:val="20"/>
          <w:szCs w:val="20"/>
          <w:color w:val="auto"/>
        </w:rPr>
      </w:pPr>
      <w:r>
        <w:rPr>
          <w:rFonts w:ascii="Arial" w:cs="Arial" w:eastAsia="Arial" w:hAnsi="Arial"/>
          <w:sz w:val="19"/>
          <w:szCs w:val="19"/>
          <w:color w:val="auto"/>
        </w:rPr>
        <w:t>All Class B2 units will automatically convert into Class B units upon final vesting in 2024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pacing w:after="0" w:line="17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As of December 31, 2021, there were 2,566,566 Class B2 units outstanding. During the nine months ended December 31, 2021, none of the outstanding Class B2 units were forfeited. As of December 31, 2021, 1,497,163 Class B2 units were unvested and 1,069,403 Class B2 units were vested.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As of December 31, 2021, $37.0 million of unrecognized non-cash compensation expense in respect of RSUs and Class B2 units remained to be recognized over a weighted-average period of approximately 3.0 years.</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Income Taxes</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Prior to the Reorganization and IPO, the Company operated as a partnership for U.S. federal income tax purposes and therefore was not subject to U.S. federal and state income taxes. Subsequent to the Reorganization and IPO, all income attributable to SSG is subject to U.S. corporate income taxes.</w:t>
      </w:r>
    </w:p>
    <w:p>
      <w:pPr>
        <w:spacing w:after="0" w:line="18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In connection with the exchanges of Class B units and Class C units of the Partnership for Class A common stock by certain limited partners of the Partnership in November and December 2021 which increased the Company’s ownership in the Partnership, the Company recorded an increase to deferred tax assets of $66.9 million, and a net increase in the valuation allowance of $15.7 million that was recognized through equity, resulting in a net deferred tax asset position as of December 31, 2021. Additionally, in connection with the exchange transactions, the Company recorded a corresponding Tax Receivable Agreements liability of $58.5 million, representing 85% of the incremental net cash tax savings for the Company due to the exchanging limited partners. As of December 31, 2021, the Company’s total Tax Receivable Agreements liability was $201.3 million. See note 13 for more information.</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Company’s effective tax rate was 11.1% and 8.2% for the three months ended December 31, 2021 and 2020, respectively, and 4.0% and 6.6% for the nine months ended December 31, 2021 and 2020, respectively. The Company’s overall effective tax rate in each of the periods described above is less than the statutory rate primarily because a portion of income is allocated to non-controlling interests, as the tax liability on such income is borne by the holders of such non-controlling interests. For the three and nine months ended December 31, 2021, the increase in income tax expense was primarily related to U.S. federal and state income taxes recognized on the Company’s share of taxable income generated by the Partnership as a result of additional exchanges that have occurred since December 31, 2020, which increased the Company’s ownership in the Partnership. Additionally, the increase in income tax expense for the nine months ended December 31, 2021 was partially offset by the recognition of an income tax benefit of $25.3 million for the release of a valuation allowance during the current year as a result of the Greenspring acquisition. For the period prior to the Reorganization and IPO, the Company operated as a partnership for U.S. federal income tax purposes and was not subject to U.S. federal and state income taxes.</w:t>
      </w:r>
    </w:p>
    <w:p>
      <w:pPr>
        <w:spacing w:after="0" w:line="174"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77"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As of December 31, 2021, the Company has not recorded any unrecognized tax benefits and does not expect there to be any material changes to uncertain tax positions within the next 12 months.</w:t>
      </w:r>
    </w:p>
    <w:p>
      <w:pPr>
        <w:spacing w:after="0" w:line="177"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The Company files income tax returns as required by the tax laws of the jurisdictions in which it operates. In the normal course of business, the Company may be subject to examination by U.S. federal and certain state and local tax authorities. Although the outcome of tax audits is always uncertain, the Company does not believe the outcome of any future audit will have a material adverse effect on the Company’s condensed consolidated financial statements.</w:t>
      </w:r>
    </w:p>
    <w:p>
      <w:pPr>
        <w:spacing w:after="0" w:line="18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Earnings Per Share</w:t>
      </w:r>
    </w:p>
    <w:p>
      <w:pPr>
        <w:spacing w:after="0" w:line="222"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Basic and diluted earnings per share of Class A common stock are presented for the three and nine months ended December 31, 2021 and from September 16, 2020 through December 31, 2020, the period following the Reorganization and IPO. There were no shares of Class A common stock outstanding prior to September 16, 2020, therefore no earnings per share information has been presented for any period prior to that date.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The following table sets forth reconciliations of the numerators and denominators used to compute basic and diluted earnings per share of Class A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Three Months</w:t>
            </w: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Three Months</w:t>
            </w:r>
          </w:p>
        </w:tc>
        <w:tc>
          <w:tcPr>
            <w:tcW w:w="16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7"/>
              </w:rPr>
              <w:t>Nine Months Ended</w:t>
            </w:r>
          </w:p>
        </w:tc>
        <w:tc>
          <w:tcPr>
            <w:tcW w:w="120" w:type="dxa"/>
            <w:vAlign w:val="bottom"/>
          </w:tcPr>
          <w:p>
            <w:pPr>
              <w:spacing w:after="0"/>
              <w:rPr>
                <w:sz w:val="17"/>
                <w:szCs w:val="17"/>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Period from IPO</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1"/>
              </w:rPr>
              <w:t>Ended December</w:t>
            </w:r>
          </w:p>
        </w:tc>
        <w:tc>
          <w:tcPr>
            <w:tcW w:w="120" w:type="dxa"/>
            <w:vAlign w:val="bottom"/>
          </w:tcPr>
          <w:p>
            <w:pPr>
              <w:spacing w:after="0"/>
              <w:rPr>
                <w:sz w:val="15"/>
                <w:szCs w:val="15"/>
                <w:color w:val="auto"/>
              </w:rPr>
            </w:pPr>
          </w:p>
        </w:tc>
        <w:tc>
          <w:tcPr>
            <w:tcW w:w="154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1"/>
              </w:rPr>
              <w:t>Ended December</w:t>
            </w:r>
          </w:p>
        </w:tc>
        <w:tc>
          <w:tcPr>
            <w:tcW w:w="16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date to December</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31, 2021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31, 2020</w:t>
            </w:r>
          </w:p>
        </w:tc>
        <w:tc>
          <w:tcPr>
            <w:tcW w:w="80" w:type="dxa"/>
            <w:vAlign w:val="bottom"/>
          </w:tcPr>
          <w:p>
            <w:pPr>
              <w:spacing w:after="0"/>
              <w:rPr>
                <w:sz w:val="19"/>
                <w:szCs w:val="19"/>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2021</w:t>
            </w:r>
          </w:p>
        </w:tc>
        <w:tc>
          <w:tcPr>
            <w:tcW w:w="120" w:type="dxa"/>
            <w:vAlign w:val="bottom"/>
          </w:tcPr>
          <w:p>
            <w:pPr>
              <w:spacing w:after="0"/>
              <w:rPr>
                <w:sz w:val="19"/>
                <w:szCs w:val="19"/>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31, 2020</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Net income attributable to StepStone Group Inc.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24,788</w:t>
            </w:r>
          </w:p>
        </w:tc>
        <w:tc>
          <w:tcPr>
            <w:tcW w:w="0" w:type="dxa"/>
            <w:vAlign w:val="bottom"/>
          </w:tcPr>
          <w:p>
            <w:pPr>
              <w:spacing w:after="0"/>
              <w:rPr>
                <w:sz w:val="1"/>
                <w:szCs w:val="1"/>
                <w:color w:val="auto"/>
              </w:rPr>
            </w:pPr>
          </w:p>
        </w:tc>
      </w:tr>
      <w:tr>
        <w:trPr>
          <w:trHeight w:val="229"/>
        </w:trPr>
        <w:tc>
          <w:tcPr>
            <w:tcW w:w="4660" w:type="dxa"/>
            <w:vAlign w:val="bottom"/>
          </w:tcPr>
          <w:p>
            <w:pPr>
              <w:ind w:left="460"/>
              <w:spacing w:after="0"/>
              <w:rPr>
                <w:sz w:val="20"/>
                <w:szCs w:val="20"/>
                <w:color w:val="auto"/>
              </w:rPr>
            </w:pPr>
            <w:r>
              <w:rPr>
                <w:rFonts w:ascii="Arial" w:cs="Arial" w:eastAsia="Arial" w:hAnsi="Arial"/>
                <w:sz w:val="18"/>
                <w:szCs w:val="18"/>
                <w:color w:val="auto"/>
              </w:rPr>
              <w:t>Incremental income from assumed vesting of RSUs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1"/>
              </w:rPr>
              <w:t>Incremental income from assumed vesting and exchange</w:t>
            </w:r>
          </w:p>
        </w:tc>
        <w:tc>
          <w:tcPr>
            <w:tcW w:w="1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of Class B2 units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40"/>
              <w:spacing w:after="0"/>
              <w:rPr>
                <w:sz w:val="20"/>
                <w:szCs w:val="20"/>
                <w:color w:val="auto"/>
              </w:rPr>
            </w:pPr>
            <w:r>
              <w:rPr>
                <w:rFonts w:ascii="Arial" w:cs="Arial" w:eastAsia="Arial" w:hAnsi="Arial"/>
                <w:sz w:val="18"/>
                <w:szCs w:val="18"/>
                <w:color w:val="auto"/>
                <w:w w:val="95"/>
              </w:rPr>
              <w:t>Net income attributable to StepStone Group Inc. –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28,469</w:t>
            </w:r>
          </w:p>
        </w:tc>
        <w:tc>
          <w:tcPr>
            <w:tcW w:w="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161,580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27,556</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shares of Class A common stock</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 Basic</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57,875,758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29,237,500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46,247,353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29,237,500</w:t>
            </w:r>
          </w:p>
        </w:tc>
        <w:tc>
          <w:tcPr>
            <w:tcW w:w="0" w:type="dxa"/>
            <w:vAlign w:val="bottom"/>
          </w:tcPr>
          <w:p>
            <w:pPr>
              <w:spacing w:after="0"/>
              <w:rPr>
                <w:sz w:val="1"/>
                <w:szCs w:val="1"/>
                <w:color w:val="auto"/>
              </w:rPr>
            </w:pPr>
          </w:p>
        </w:tc>
      </w:tr>
      <w:tr>
        <w:trPr>
          <w:trHeight w:val="229"/>
        </w:trPr>
        <w:tc>
          <w:tcPr>
            <w:tcW w:w="4660" w:type="dxa"/>
            <w:vAlign w:val="bottom"/>
          </w:tcPr>
          <w:p>
            <w:pPr>
              <w:ind w:left="460"/>
              <w:spacing w:after="0"/>
              <w:rPr>
                <w:sz w:val="20"/>
                <w:szCs w:val="20"/>
                <w:color w:val="auto"/>
              </w:rPr>
            </w:pPr>
            <w:r>
              <w:rPr>
                <w:rFonts w:ascii="Arial" w:cs="Arial" w:eastAsia="Arial" w:hAnsi="Arial"/>
                <w:sz w:val="18"/>
                <w:szCs w:val="18"/>
                <w:color w:val="auto"/>
              </w:rPr>
              <w:t>Assumed vesting of RSUs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1,125,798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1,012,657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1,390,538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977,400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and exchange of Class B2 units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2,481,677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2,454,818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2,480,591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2,449,298</w:t>
            </w:r>
          </w:p>
        </w:tc>
        <w:tc>
          <w:tcPr>
            <w:tcW w:w="0" w:type="dxa"/>
            <w:vAlign w:val="bottom"/>
          </w:tcPr>
          <w:p>
            <w:pPr>
              <w:spacing w:after="0"/>
              <w:rPr>
                <w:sz w:val="1"/>
                <w:szCs w:val="1"/>
                <w:color w:val="auto"/>
              </w:rPr>
            </w:pPr>
          </w:p>
        </w:tc>
      </w:tr>
      <w:tr>
        <w:trPr>
          <w:trHeight w:val="195"/>
        </w:trPr>
        <w:tc>
          <w:tcPr>
            <w:tcW w:w="4660" w:type="dxa"/>
            <w:vAlign w:val="bottom"/>
          </w:tcPr>
          <w:p>
            <w:pPr>
              <w:ind w:left="240"/>
              <w:spacing w:after="0" w:line="195" w:lineRule="exact"/>
              <w:rPr>
                <w:sz w:val="20"/>
                <w:szCs w:val="20"/>
                <w:color w:val="auto"/>
              </w:rPr>
            </w:pPr>
            <w:r>
              <w:rPr>
                <w:rFonts w:ascii="Arial" w:cs="Arial" w:eastAsia="Arial" w:hAnsi="Arial"/>
                <w:sz w:val="18"/>
                <w:szCs w:val="18"/>
                <w:color w:val="auto"/>
              </w:rPr>
              <w:t>Weighted-average shares of Class A common stock</w:t>
            </w:r>
          </w:p>
        </w:tc>
        <w:tc>
          <w:tcPr>
            <w:tcW w:w="1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61,483,233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32,704,975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50,118,482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32,664,198</w:t>
            </w:r>
          </w:p>
        </w:tc>
        <w:tc>
          <w:tcPr>
            <w:tcW w:w="0" w:type="dxa"/>
            <w:vAlign w:val="bottom"/>
          </w:tcPr>
          <w:p>
            <w:pPr>
              <w:spacing w:after="0"/>
              <w:rPr>
                <w:sz w:val="1"/>
                <w:szCs w:val="1"/>
                <w:color w:val="auto"/>
              </w:rPr>
            </w:pPr>
          </w:p>
        </w:tc>
      </w:tr>
      <w:tr>
        <w:trPr>
          <w:trHeight w:val="217"/>
        </w:trPr>
        <w:tc>
          <w:tcPr>
            <w:tcW w:w="4660" w:type="dxa"/>
            <w:vAlign w:val="bottom"/>
          </w:tcPr>
          <w:p>
            <w:pPr>
              <w:ind w:left="460"/>
              <w:spacing w:after="0"/>
              <w:rPr>
                <w:sz w:val="20"/>
                <w:szCs w:val="20"/>
                <w:color w:val="auto"/>
              </w:rPr>
            </w:pPr>
            <w:r>
              <w:rPr>
                <w:rFonts w:ascii="Arial" w:cs="Arial" w:eastAsia="Arial" w:hAnsi="Arial"/>
                <w:sz w:val="18"/>
                <w:szCs w:val="18"/>
                <w:color w:val="auto"/>
              </w:rPr>
              <w:t>outstanding – Diluted</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Earnings per share of Class A common stock:</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0.83</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0.87</w:t>
            </w:r>
          </w:p>
        </w:tc>
        <w:tc>
          <w:tcPr>
            <w:tcW w:w="8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52"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6" w:lineRule="exact"/>
        <w:rPr>
          <w:sz w:val="20"/>
          <w:szCs w:val="20"/>
          <w:color w:val="auto"/>
        </w:rPr>
      </w:pPr>
    </w:p>
    <w:p>
      <w:pPr>
        <w:jc w:val="both"/>
        <w:ind w:right="520" w:firstLine="648"/>
        <w:spacing w:after="0" w:line="342" w:lineRule="auto"/>
        <w:rPr>
          <w:sz w:val="20"/>
          <w:szCs w:val="20"/>
          <w:color w:val="auto"/>
        </w:rPr>
      </w:pPr>
      <w:r>
        <w:rPr>
          <w:rFonts w:ascii="Arial" w:cs="Arial" w:eastAsia="Arial" w:hAnsi="Arial"/>
          <w:sz w:val="16"/>
          <w:szCs w:val="16"/>
          <w:color w:val="auto"/>
        </w:rPr>
        <w:t>The calculation of diluted earnings per share excludes 47,499,673 Class B units and 2,928,824 Class C units of the Partnership outstanding as of December 31, 2021, and 65,578,831 Class B units of the Partnership outstanding as of December 31, 2020, which are exchangeable into Class A common stock under the if-converted method, as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its senior executives, employees and equity method investments to be related parties. A substantial portion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management and advisory fees and carried interest allocations is earned from various StepStone Funds that are considered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equity method investments. The Company earned net management and advisory fees from the StepStone Funds of $69.2 million and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$41.3 million for the three months ended December 31, 2021 and 2020, respectively, and $165.7 million and $126.4 million for the nine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months ended December 31, 2021 and 2020, respectively. Carried interest allocation revenues earned from the StepStone Funds totaled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$199.1 million and $176.7 million for the three months ended December 31, 2021 and 2020, respectively, and $621.8 million and $214.3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nine months ended December 31, 2021 and 2020, respectively. Legacy Greenspring carried interest allocation revenues earned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certain legacy Greenspring funds for which the Company has no direct economic interests totaled $105.0 million for the three and nine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months ended December 31, 2021. The nine months ended December 31, 2021 also reflect the net effect of gross realized carried interest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allocations of $3.0 million and the reversal of such amounts in unrealized carried interest allocations for the period from September 20, 2021</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to September 30, 2021.</w:t>
      </w:r>
    </w:p>
    <w:p>
      <w:pPr>
        <w:spacing w:after="0" w:line="20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9"/>
          <w:szCs w:val="19"/>
          <w:color w:val="auto"/>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receivable from StepStone Funds</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receivable from employees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due from affiliates</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380" w:firstLine="648"/>
        <w:spacing w:after="0" w:line="250" w:lineRule="auto"/>
        <w:rPr>
          <w:sz w:val="20"/>
          <w:szCs w:val="20"/>
          <w:color w:val="auto"/>
        </w:rPr>
      </w:pPr>
      <w:r>
        <w:rPr>
          <w:rFonts w:ascii="Arial" w:cs="Arial" w:eastAsia="Arial" w:hAnsi="Arial"/>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107,216</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r>
      <w:tr>
        <w:trPr>
          <w:trHeight w:val="223"/>
        </w:trPr>
        <w:tc>
          <w:tcPr>
            <w:tcW w:w="814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203,971</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113,522</w:t>
            </w:r>
          </w:p>
        </w:tc>
      </w:tr>
      <w:tr>
        <w:trPr>
          <w:trHeight w:val="21"/>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760" w:firstLine="648"/>
        <w:spacing w:after="0" w:line="260" w:lineRule="auto"/>
        <w:rPr>
          <w:sz w:val="20"/>
          <w:szCs w:val="20"/>
          <w:color w:val="auto"/>
        </w:rPr>
      </w:pPr>
      <w:r>
        <w:rPr>
          <w:rFonts w:ascii="Arial" w:cs="Arial" w:eastAsia="Arial" w:hAnsi="Arial"/>
          <w:sz w:val="20"/>
          <w:szCs w:val="20"/>
          <w:color w:val="auto"/>
        </w:rPr>
        <w:t>The Company made payments of $0.1 million and $0.7 million during the three and nine months ended December 31, 2021, respectively, under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Stockholders’ Equity</w:t>
      </w:r>
    </w:p>
    <w:p>
      <w:pPr>
        <w:spacing w:after="0" w:line="22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61" w:lineRule="exact"/>
        <w:rPr>
          <w:sz w:val="20"/>
          <w:szCs w:val="20"/>
          <w:color w:val="auto"/>
        </w:rPr>
      </w:pPr>
    </w:p>
    <w:p>
      <w:pPr>
        <w:ind w:right="40" w:firstLine="648"/>
        <w:spacing w:after="0" w:line="313" w:lineRule="auto"/>
        <w:rPr>
          <w:sz w:val="20"/>
          <w:szCs w:val="20"/>
          <w:color w:val="auto"/>
        </w:rPr>
      </w:pPr>
      <w:r>
        <w:rPr>
          <w:rFonts w:ascii="Arial" w:cs="Arial" w:eastAsia="Arial" w:hAnsi="Arial"/>
          <w:sz w:val="16"/>
          <w:szCs w:val="16"/>
          <w:color w:val="auto"/>
        </w:rPr>
        <w:t>In connection with the Greenspring acquisition, the Company amended the limited partnership agreement of the Partnership to create new Class C limited partnership interests and to admit the new limited partners that received Class C units as consideration for the Greenspring acquisition. 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also entered into an agreement with the Class C limited partners of the Partnership to allow for the exchange of Class C units to shares of Class A common stock of the Company on a one for one basis, subject to certain restrictions. The Class C limited partners also became parties to the Exchanges Tax Receivable Agreement as a result of the transaction.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March 31,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38,437,500</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56,378,831</w:t>
            </w:r>
          </w:p>
        </w:tc>
      </w:tr>
      <w:tr>
        <w:trPr>
          <w:trHeight w:val="229"/>
        </w:trPr>
        <w:tc>
          <w:tcPr>
            <w:tcW w:w="6280" w:type="dxa"/>
            <w:vAlign w:val="bottom"/>
          </w:tcPr>
          <w:p>
            <w:pPr>
              <w:ind w:left="240"/>
              <w:spacing w:after="0"/>
              <w:rPr>
                <w:sz w:val="20"/>
                <w:szCs w:val="20"/>
                <w:color w:val="auto"/>
              </w:rPr>
            </w:pPr>
            <w:r>
              <w:rPr>
                <w:rFonts w:ascii="Arial" w:cs="Arial" w:eastAsia="Arial" w:hAnsi="Arial"/>
                <w:sz w:val="18"/>
                <w:szCs w:val="18"/>
                <w:color w:val="auto"/>
              </w:rPr>
              <w:t>Class A common stock issued for Greenspring acquisition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12,686,756</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issued in exchange for Class B partnership units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8,879,158</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(8,879,158)</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Class A common stock issued in exchange for Class C partnership units</w:t>
            </w:r>
          </w:p>
        </w:tc>
        <w:tc>
          <w:tcPr>
            <w:tcW w:w="2400" w:type="dxa"/>
            <w:vAlign w:val="bottom"/>
          </w:tcPr>
          <w:p>
            <w:pPr>
              <w:jc w:val="right"/>
              <w:spacing w:after="0"/>
              <w:rPr>
                <w:sz w:val="20"/>
                <w:szCs w:val="20"/>
                <w:color w:val="auto"/>
              </w:rPr>
            </w:pPr>
            <w:r>
              <w:rPr>
                <w:rFonts w:ascii="Arial" w:cs="Arial" w:eastAsia="Arial" w:hAnsi="Arial"/>
                <w:sz w:val="18"/>
                <w:szCs w:val="18"/>
                <w:color w:val="auto"/>
              </w:rPr>
              <w:t>142,695</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issued for vesting of RSUs</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636,581</w:t>
            </w:r>
          </w:p>
        </w:tc>
        <w:tc>
          <w:tcPr>
            <w:tcW w:w="14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60,782,690</w:t>
            </w:r>
          </w:p>
        </w:tc>
        <w:tc>
          <w:tcPr>
            <w:tcW w:w="14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47,499,673</w:t>
            </w:r>
          </w:p>
        </w:tc>
      </w:tr>
      <w:tr>
        <w:trPr>
          <w:trHeight w:val="20"/>
        </w:trPr>
        <w:tc>
          <w:tcPr>
            <w:tcW w:w="62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Company has 25,000,000 authorized shares of preferred stock, par value of $0.001 per share, and as of December 31, 2021, no shares of preferred stock were issued or outstanding.</w:t>
      </w:r>
    </w:p>
    <w:p>
      <w:pPr>
        <w:spacing w:after="0" w:line="177"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In December 2021, the Company issued 935,235 shares of Class A common stock to certain limited partners of the Partnership in exchange for 935,235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120" w:firstLine="648"/>
        <w:spacing w:after="0" w:line="242" w:lineRule="auto"/>
        <w:rPr>
          <w:sz w:val="20"/>
          <w:szCs w:val="20"/>
          <w:color w:val="auto"/>
        </w:rPr>
      </w:pPr>
      <w:r>
        <w:rPr>
          <w:rFonts w:ascii="Arial" w:cs="Arial" w:eastAsia="Arial" w:hAnsi="Arial"/>
          <w:sz w:val="20"/>
          <w:szCs w:val="20"/>
          <w:color w:val="auto"/>
        </w:rPr>
        <w:t>In November 2021, the Company conducted an underwritten public offering of 4,500,000 shares of Class A common stock (the “November 2021 Offering”) sold by selling stockholders at a public offering price of $51.83 per share. In connection with the offering, the Company issued 3,958,204 shares of Class A common stock to certain selling stockholders in exchange for 3,958,204 Class B units. A corresponding number of shares of Class B common stock were automatically redeemed at par value and canceled in connection with such exchange and a corresponding number of Class A units of the Partnership were issued to the Company. The Company also issued 142,695 shares of Class A common stock to certain selling stockholders in exchange for 142,695 Class C units and a corresponding number of Class A units of the Partnership were issued to the Company. The Company did not receive any proceeds from the sale of shares by the selling stockholders.</w:t>
      </w:r>
    </w:p>
    <w:p>
      <w:pPr>
        <w:spacing w:after="0" w:line="197"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September 2021, the Company issued 12,686,756 shares of Class A common stock and 3,071,519 Class C units of the Partnership as partial consideration for the Greenspring acquisition. See note 14 for more information.</w:t>
      </w:r>
    </w:p>
    <w:p>
      <w:pPr>
        <w:spacing w:after="0" w:line="17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In September 2021, the Company issued 2,087,281 shares of Class A common stock to certain limited partners of the Partnership in exchange for 2,087,281 Class B units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19"/>
          <w:szCs w:val="19"/>
          <w:color w:val="auto"/>
        </w:rPr>
        <w:t>In June 2021, the Company issued 1,898,438 shares of Class A common stock to certain limited partners of the Partnership in exchange for 1,898,438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spacing w:after="0" w:line="176"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In March 2021, the Company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the Company issued 9,200,000 shares of Class A common stock to the selling stockholders in exchange for 9,200,000 Class B units. A corresponding number of shares of Class B common stock were automatically redeemed at par value and canceled in connection with such exchange and a corresponding number of Class A units of the Partnership were issued to the Company. The Company did not receive any proceeds from the sale of shares by the selling stockholders.</w:t>
      </w:r>
    </w:p>
    <w:p>
      <w:pPr>
        <w:spacing w:after="0" w:line="165" w:lineRule="exact"/>
        <w:rPr>
          <w:sz w:val="20"/>
          <w:szCs w:val="20"/>
          <w:color w:val="auto"/>
        </w:rPr>
      </w:pPr>
    </w:p>
    <w:p>
      <w:pPr>
        <w:jc w:val="both"/>
        <w:ind w:right="460" w:firstLine="648"/>
        <w:spacing w:after="0" w:line="269" w:lineRule="auto"/>
        <w:rPr>
          <w:sz w:val="20"/>
          <w:szCs w:val="20"/>
          <w:color w:val="auto"/>
        </w:rPr>
      </w:pPr>
      <w:r>
        <w:rPr>
          <w:rFonts w:ascii="Arial" w:cs="Arial" w:eastAsia="Arial" w:hAnsi="Arial"/>
          <w:sz w:val="19"/>
          <w:szCs w:val="19"/>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0"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9"/>
          <w:szCs w:val="19"/>
          <w:color w:val="auto"/>
        </w:rPr>
        <w:t>In connection with the consummation of the IPO, the Partnership issued new partnership interests to certain StepStone professionals in SRA in exchange for their partnership interests in SRA, which increased the interest of the Partnership in SRA to approximately 49% and decreased the interest of the StepStone professionals in SRA to approximately 51%.</w:t>
      </w:r>
    </w:p>
    <w:p>
      <w:pPr>
        <w:spacing w:after="0" w:line="170" w:lineRule="exact"/>
        <w:rPr>
          <w:sz w:val="20"/>
          <w:szCs w:val="20"/>
          <w:color w:val="auto"/>
        </w:rPr>
      </w:pPr>
    </w:p>
    <w:p>
      <w:pPr>
        <w:ind w:right="280" w:firstLine="648"/>
        <w:spacing w:after="0" w:line="250" w:lineRule="auto"/>
        <w:rPr>
          <w:sz w:val="20"/>
          <w:szCs w:val="20"/>
          <w:color w:val="auto"/>
        </w:rPr>
      </w:pPr>
      <w:r>
        <w:rPr>
          <w:rFonts w:ascii="Arial" w:cs="Arial" w:eastAsia="Arial" w:hAnsi="Arial"/>
          <w:sz w:val="20"/>
          <w:szCs w:val="20"/>
          <w:color w:val="auto"/>
        </w:rPr>
        <w:t>In June 2020, SRA completed a transaction to repurchase partnership interests in SRA from a former partner for approximately $3.3 million, and subsequently sold an equal number of partnership interests to certain employees of SRA for approximately $3.3 million, resulting in no net proceeds to SRA.</w:t>
      </w:r>
    </w:p>
    <w:p>
      <w:pPr>
        <w:spacing w:after="0" w:line="18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720" w:firstLine="648"/>
        <w:spacing w:after="0" w:line="260" w:lineRule="auto"/>
        <w:rPr>
          <w:sz w:val="20"/>
          <w:szCs w:val="20"/>
          <w:color w:val="auto"/>
        </w:rPr>
      </w:pPr>
      <w:r>
        <w:rPr>
          <w:rFonts w:ascii="Arial" w:cs="Arial" w:eastAsia="Arial" w:hAnsi="Arial"/>
          <w:sz w:val="20"/>
          <w:szCs w:val="20"/>
          <w:color w:val="auto"/>
        </w:rPr>
        <w:t>On November 9, 2021, the Company announced a dividend of $0.15 per share of Class A common stock, which was paid on December 15, 2021 to holders of record at the close of business on November 30, 2021.</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Business Combinations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Greenspring Acquisition</w:t>
      </w:r>
    </w:p>
    <w:p>
      <w:pPr>
        <w:spacing w:after="0" w:line="222"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On September 20, 2021, the Company completed the acquisition of 100% of the equity of Greenspring Associates, Inc. and certain of its affiliates (collectively, “Greenspring”) in exchange for (i) cash consideration of approximately $185 million, net of an agreed upon adjustment based upon Greenspring’s net working capital balance at the closing date, (ii) 12,686,756 shares of Class A common stock and</w:t>
      </w:r>
    </w:p>
    <w:p>
      <w:pPr>
        <w:spacing w:after="0" w:line="1" w:lineRule="exact"/>
        <w:rPr>
          <w:sz w:val="20"/>
          <w:szCs w:val="20"/>
          <w:color w:val="auto"/>
        </w:rPr>
      </w:pPr>
    </w:p>
    <w:p>
      <w:pPr>
        <w:ind w:right="60" w:firstLine="8"/>
        <w:spacing w:after="0" w:line="299" w:lineRule="auto"/>
        <w:tabs>
          <w:tab w:leader="none" w:pos="3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3,071,519 newly issued Class C units of the Partnership (the “Greenspring acquisition”). The transaction agreement also included an earn-out of up to $75 million that is payable in 2025 subject to the achievement of certain management fee revenue targets for calendar year 2024. The results of Greenspring’s operations have been included in the condensed consolidated financial statements effective September 20,</w:t>
      </w:r>
    </w:p>
    <w:p>
      <w:pPr>
        <w:ind w:right="480"/>
        <w:spacing w:after="0" w:line="269" w:lineRule="auto"/>
        <w:rPr>
          <w:rFonts w:ascii="Arial" w:cs="Arial" w:eastAsia="Arial" w:hAnsi="Arial"/>
          <w:sz w:val="16"/>
          <w:szCs w:val="16"/>
          <w:color w:val="auto"/>
        </w:rPr>
      </w:pPr>
      <w:r>
        <w:rPr>
          <w:rFonts w:ascii="Arial" w:cs="Arial" w:eastAsia="Arial" w:hAnsi="Arial"/>
          <w:sz w:val="19"/>
          <w:szCs w:val="19"/>
          <w:color w:val="auto"/>
        </w:rPr>
        <w:t>2021. Greenspring is a leading venture capital and growth equity platform, and the acquisition of Greenspring is expected to expand the Company’s continued growth of its private markets capabilities across asset classes, geographies and sectors.</w:t>
      </w:r>
    </w:p>
    <w:p>
      <w:pPr>
        <w:spacing w:after="0" w:line="169"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The aggregate purchase price for the acquisition of Greenspring and the estimated fair values of the assets acquired and liabilities assumed at the acquisition date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Acquisition date fair value of consideration transferred:</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Cash consideration</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186,577</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common stock</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558,598</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Class C units of the Partnership</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135,239</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7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w:t>
            </w:r>
          </w:p>
        </w:tc>
      </w:tr>
      <w:tr>
        <w:trPr>
          <w:trHeight w:val="223"/>
        </w:trPr>
        <w:tc>
          <w:tcPr>
            <w:tcW w:w="9000" w:type="dxa"/>
            <w:vAlign w:val="bottom"/>
          </w:tcPr>
          <w:p>
            <w:pPr>
              <w:ind w:left="680"/>
              <w:spacing w:after="0"/>
              <w:rPr>
                <w:sz w:val="20"/>
                <w:szCs w:val="20"/>
                <w:color w:val="auto"/>
              </w:rPr>
            </w:pPr>
            <w:r>
              <w:rPr>
                <w:rFonts w:ascii="Arial" w:cs="Arial" w:eastAsia="Arial" w:hAnsi="Arial"/>
                <w:sz w:val="18"/>
                <w:szCs w:val="18"/>
                <w:color w:val="auto"/>
              </w:rPr>
              <w:t>Total purchase price</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898,183</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Estimated fair value of assets acquired and liabilities assumed:</w:t>
            </w: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receivables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r>
      <w:tr>
        <w:trPr>
          <w:trHeight w:val="230"/>
        </w:trPr>
        <w:tc>
          <w:tcPr>
            <w:tcW w:w="9000" w:type="dxa"/>
            <w:vAlign w:val="bottom"/>
          </w:tcPr>
          <w:p>
            <w:pPr>
              <w:ind w:left="360"/>
              <w:spacing w:after="0" w:line="230" w:lineRule="exact"/>
              <w:rPr>
                <w:sz w:val="20"/>
                <w:szCs w:val="20"/>
                <w:color w:val="auto"/>
              </w:rPr>
            </w:pPr>
            <w:r>
              <w:rPr>
                <w:rFonts w:ascii="Arial" w:cs="Arial" w:eastAsia="Arial" w:hAnsi="Arial"/>
                <w:sz w:val="18"/>
                <w:szCs w:val="18"/>
                <w:color w:val="auto"/>
              </w:rPr>
              <w:t>Legacy Greenspring investments in funds and accrued carried interest allocations</w:t>
            </w:r>
            <w:r>
              <w:rPr>
                <w:rFonts w:ascii="Arial" w:cs="Arial" w:eastAsia="Arial" w:hAnsi="Arial"/>
                <w:sz w:val="23"/>
                <w:szCs w:val="23"/>
                <w:color w:val="auto"/>
                <w:vertAlign w:val="superscript"/>
              </w:rPr>
              <w:t>(1)</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1,213,792</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right-of-use assets, net</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Other assets and receivables</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2,146</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assets—contractual rights: management contracts</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310,944</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Finite-lived intangible assets—client relationships</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96,650</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assets—contractual rights: service agreements</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576,404</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(98,538)</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(4,685)</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Legacy Greenspring accrued carried interest-related compensation</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(992,646)</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(2,585)</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Non-controlling interests in legacy Greenspring entities</w:t>
            </w:r>
            <w:r>
              <w:rPr>
                <w:rFonts w:ascii="Arial" w:cs="Arial" w:eastAsia="Arial" w:hAnsi="Arial"/>
                <w:sz w:val="23"/>
                <w:szCs w:val="23"/>
                <w:color w:val="auto"/>
                <w:vertAlign w:val="superscript"/>
              </w:rPr>
              <w:t>(1)</w:t>
            </w:r>
          </w:p>
        </w:tc>
        <w:tc>
          <w:tcPr>
            <w:tcW w:w="7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(221,146)</w:t>
            </w:r>
          </w:p>
        </w:tc>
      </w:tr>
      <w:tr>
        <w:trPr>
          <w:trHeight w:val="223"/>
        </w:trPr>
        <w:tc>
          <w:tcPr>
            <w:tcW w:w="9000" w:type="dxa"/>
            <w:vAlign w:val="bottom"/>
          </w:tcPr>
          <w:p>
            <w:pPr>
              <w:ind w:left="6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898,183</w:t>
            </w:r>
          </w:p>
        </w:tc>
      </w:tr>
      <w:tr>
        <w:trPr>
          <w:trHeight w:val="20"/>
        </w:trPr>
        <w:tc>
          <w:tcPr>
            <w:tcW w:w="9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9" w:lineRule="exact"/>
        <w:rPr>
          <w:sz w:val="20"/>
          <w:szCs w:val="20"/>
          <w:color w:val="auto"/>
        </w:rPr>
      </w:pPr>
    </w:p>
    <w:p>
      <w:pPr>
        <w:jc w:val="both"/>
        <w:ind w:left="660" w:right="400" w:hanging="652"/>
        <w:spacing w:after="0" w:line="286" w:lineRule="auto"/>
        <w:tabs>
          <w:tab w:leader="none" w:pos="6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investments in funds and carried interest allocations attributable to consolidated VIEs for which the Company did not acquire any direct economic interests. Such amounts are attributable to employees and therefore have been reflected as non-controlling interests in legacy Greenspring entities and legacy Greenspring accrued carried interest-related compensation, respectively.</w:t>
      </w:r>
    </w:p>
    <w:p>
      <w:pPr>
        <w:spacing w:after="0" w:line="163"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For the nine months ended December 31, 2021, the Company incurred $13.8 million of acquisition-related costs that were expensed as incurred and included in general, administrative and other expenses in the condensed consolidated statements of income.</w:t>
      </w:r>
    </w:p>
    <w:p>
      <w:pPr>
        <w:spacing w:after="0" w:line="130"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The Company allocated $320.5 million and $96.7 million of the purchase price to the fair value of contractual rights and client relationships, respectively, which will be amortized over a weighted-average amortization period of 10.0 years. The $576.4 million of goodwill primarily related to Greenspring’s assembled workforce and business synergies expected to be realized from the transaction. This goodwill is not expected to be deductible for tax purposes.</w:t>
      </w:r>
    </w:p>
    <w:p>
      <w:pPr>
        <w:spacing w:after="0" w:line="191"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The amount of revenues and net income of Greenspring (including amounts attributable to legacy Greenspring entities) since the acquisition date were approximately $127 million and $28 million,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supplemental unaudited pro forma information assumes the Greenspring acquisition, as well as the Reorganization and</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IPO, had been consummated as of April 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396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December 31,</w:t>
            </w:r>
          </w:p>
        </w:tc>
        <w:tc>
          <w:tcPr>
            <w:tcW w:w="340" w:type="dxa"/>
            <w:vAlign w:val="bottom"/>
          </w:tcPr>
          <w:p>
            <w:pPr>
              <w:spacing w:after="0"/>
              <w:rPr>
                <w:sz w:val="20"/>
                <w:szCs w:val="20"/>
                <w:color w:val="auto"/>
              </w:rPr>
            </w:pPr>
          </w:p>
        </w:tc>
        <w:tc>
          <w:tcPr>
            <w:tcW w:w="3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7"/>
              </w:rPr>
              <w:t>Nine Months Ended December 31,</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410,465</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366,137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1,505,300</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669,615</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w w:val="99"/>
              </w:rPr>
              <w:t>Net income attributable to StepStone Group</w:t>
            </w:r>
          </w:p>
        </w:tc>
        <w:tc>
          <w:tcPr>
            <w:tcW w:w="10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48,346</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30,330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134,181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34,594</w:t>
            </w: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Inc.</w:t>
            </w:r>
          </w:p>
        </w:tc>
        <w:tc>
          <w:tcPr>
            <w:tcW w:w="106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8"/>
          <w:szCs w:val="18"/>
          <w:color w:val="auto"/>
        </w:rPr>
        <w:t>The Company’s fiscal year ends on March 31, and prior to the transaction, Greenspring’s fiscal year ended on December 31. To comply with SEC rules and regulations for companies with different fiscal year ends, the pro forma condensed combined financial information has been prepared utilizing periods that differ by less than 93 days. The unaudited pro forma information for the three and nine months ended December 31, 2021 combines the Company’s historical unaudited condensed consolidated statements of income and Greenspring’s historical unaudited condensed combined statements of income for the three and nine months ended December 31, 2021. The unaudited pro forma information for the three and nine months ended December 31, 2020 combines the Company’s historical unaudited condensed consolidated statements of income for the three and nine months ended December 31, 2020, and Greenspring’s historical unaudited condensed combined statements of income for the three and nine months ended September 30, 2020.</w:t>
      </w:r>
    </w:p>
    <w:p>
      <w:pPr>
        <w:spacing w:after="0" w:line="168" w:lineRule="exact"/>
        <w:rPr>
          <w:sz w:val="20"/>
          <w:szCs w:val="20"/>
          <w:color w:val="auto"/>
        </w:rPr>
      </w:pPr>
    </w:p>
    <w:p>
      <w:pPr>
        <w:ind w:right="280" w:firstLine="648"/>
        <w:spacing w:after="0" w:line="278" w:lineRule="auto"/>
        <w:rPr>
          <w:sz w:val="20"/>
          <w:szCs w:val="20"/>
          <w:color w:val="auto"/>
        </w:rPr>
      </w:pPr>
      <w:r>
        <w:rPr>
          <w:rFonts w:ascii="Arial" w:cs="Arial" w:eastAsia="Arial" w:hAnsi="Arial"/>
          <w:sz w:val="18"/>
          <w:szCs w:val="18"/>
          <w:color w:val="auto"/>
        </w:rPr>
        <w:t>The supplemental unaudited pro forma information is based on estimates and assumptions believed reasonable and are not necessarily indicative of the Company’s consolidated results in future periods or the results that actually would have been realized had the Greenspring acquisition been a combined entity during the periods presented. The pro forma amounts have been calculated after reflecting the following adjustments that were directly attributable to the Reorganization, IPO, Greenspring acquisition and the related debt issuance used to fund a portion of the cash consideration, as if the transactions were consummated on April 1,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Reorganization and IPO</w:t>
      </w:r>
    </w:p>
    <w:p>
      <w:pPr>
        <w:spacing w:after="0" w:line="216"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adjustments to include compensation expense associated with the 2.5 million RSUs issued in connection with the IPO;</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40" w:hanging="308"/>
        <w:spacing w:after="0"/>
        <w:tabs>
          <w:tab w:leader="none" w:pos="6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adjustments on interest expense to reflect the repayment of outstanding debt using a portion of the IPO proceeds;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adjustments to include federal and state income taxes for the Company’s share of taxable income generated by the Partnership; and</w:t>
      </w:r>
    </w:p>
    <w:p>
      <w:pPr>
        <w:spacing w:after="0" w:line="238" w:lineRule="exact"/>
        <w:rPr>
          <w:rFonts w:ascii="Arial" w:cs="Arial" w:eastAsia="Arial" w:hAnsi="Arial"/>
          <w:sz w:val="18"/>
          <w:szCs w:val="18"/>
          <w:color w:val="auto"/>
        </w:rPr>
      </w:pPr>
    </w:p>
    <w:p>
      <w:pPr>
        <w:ind w:left="660" w:right="3920" w:hanging="328"/>
        <w:spacing w:after="0" w:line="464" w:lineRule="auto"/>
        <w:tabs>
          <w:tab w:leader="none" w:pos="648" w:val="left"/>
        </w:tabs>
        <w:numPr>
          <w:ilvl w:val="1"/>
          <w:numId w:val="20"/>
        </w:numPr>
        <w:rPr>
          <w:rFonts w:ascii="Arial" w:cs="Arial" w:eastAsia="Arial" w:hAnsi="Arial"/>
          <w:sz w:val="20"/>
          <w:szCs w:val="20"/>
          <w:color w:val="auto"/>
        </w:rPr>
      </w:pPr>
      <w:r>
        <w:rPr>
          <w:rFonts w:ascii="Arial" w:cs="Arial" w:eastAsia="Arial" w:hAnsi="Arial"/>
          <w:sz w:val="20"/>
          <w:szCs w:val="20"/>
          <w:color w:val="auto"/>
        </w:rPr>
        <w:t xml:space="preserve">adjustments to reflect the pro-rata economic ownership attributable to the Company. </w:t>
      </w:r>
      <w:r>
        <w:rPr>
          <w:rFonts w:ascii="Arial" w:cs="Arial" w:eastAsia="Arial" w:hAnsi="Arial"/>
          <w:sz w:val="20"/>
          <w:szCs w:val="20"/>
          <w:i w:val="1"/>
          <w:iCs w:val="1"/>
          <w:color w:val="auto"/>
        </w:rPr>
        <w:t>Debt Financing</w:t>
      </w:r>
    </w:p>
    <w:p>
      <w:pPr>
        <w:spacing w:after="0" w:line="1" w:lineRule="exact"/>
        <w:rPr>
          <w:rFonts w:ascii="Arial" w:cs="Arial" w:eastAsia="Arial" w:hAnsi="Arial"/>
          <w:sz w:val="20"/>
          <w:szCs w:val="20"/>
          <w:color w:val="auto"/>
        </w:rPr>
      </w:pPr>
    </w:p>
    <w:p>
      <w:pPr>
        <w:ind w:left="660" w:right="1760" w:hanging="328"/>
        <w:spacing w:after="0" w:line="464" w:lineRule="auto"/>
        <w:tabs>
          <w:tab w:leader="none" w:pos="648" w:val="left"/>
        </w:tabs>
        <w:numPr>
          <w:ilvl w:val="1"/>
          <w:numId w:val="20"/>
        </w:numPr>
        <w:rPr>
          <w:rFonts w:ascii="Arial" w:cs="Arial" w:eastAsia="Arial" w:hAnsi="Arial"/>
          <w:sz w:val="20"/>
          <w:szCs w:val="20"/>
          <w:color w:val="auto"/>
        </w:rPr>
      </w:pPr>
      <w:r>
        <w:rPr>
          <w:rFonts w:ascii="Arial" w:cs="Arial" w:eastAsia="Arial" w:hAnsi="Arial"/>
          <w:sz w:val="20"/>
          <w:szCs w:val="20"/>
          <w:color w:val="auto"/>
        </w:rPr>
        <w:t xml:space="preserve">adjustments to include interest expense related to the Revolver used to fund a portion of the cash consideration. </w:t>
      </w:r>
      <w:r>
        <w:rPr>
          <w:rFonts w:ascii="Arial" w:cs="Arial" w:eastAsia="Arial" w:hAnsi="Arial"/>
          <w:sz w:val="20"/>
          <w:szCs w:val="20"/>
          <w:i w:val="1"/>
          <w:iCs w:val="1"/>
          <w:color w:val="auto"/>
        </w:rPr>
        <w:t>Greenspring Acquisition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1"/>
          <w:numId w:val="20"/>
        </w:numPr>
        <w:rPr>
          <w:rFonts w:ascii="Arial" w:cs="Arial" w:eastAsia="Arial" w:hAnsi="Arial"/>
          <w:sz w:val="19"/>
          <w:szCs w:val="19"/>
          <w:color w:val="auto"/>
        </w:rPr>
      </w:pPr>
      <w:r>
        <w:rPr>
          <w:rFonts w:ascii="Arial" w:cs="Arial" w:eastAsia="Arial" w:hAnsi="Arial"/>
          <w:sz w:val="19"/>
          <w:szCs w:val="19"/>
          <w:color w:val="auto"/>
        </w:rPr>
        <w:t>adjustments to include the impact of additional amortization of acquired intangible assets that would have been charged;</w:t>
      </w:r>
    </w:p>
    <w:p>
      <w:pPr>
        <w:spacing w:after="0" w:line="227" w:lineRule="exact"/>
        <w:rPr>
          <w:rFonts w:ascii="Arial" w:cs="Arial" w:eastAsia="Arial" w:hAnsi="Arial"/>
          <w:sz w:val="19"/>
          <w:szCs w:val="19"/>
          <w:color w:val="auto"/>
        </w:rPr>
      </w:pPr>
    </w:p>
    <w:p>
      <w:pPr>
        <w:ind w:left="660" w:right="160" w:hanging="328"/>
        <w:spacing w:after="0" w:line="260" w:lineRule="auto"/>
        <w:tabs>
          <w:tab w:leader="none" w:pos="648" w:val="left"/>
        </w:tabs>
        <w:numPr>
          <w:ilvl w:val="1"/>
          <w:numId w:val="20"/>
        </w:numPr>
        <w:rPr>
          <w:rFonts w:ascii="Arial" w:cs="Arial" w:eastAsia="Arial" w:hAnsi="Arial"/>
          <w:sz w:val="20"/>
          <w:szCs w:val="20"/>
          <w:color w:val="auto"/>
        </w:rPr>
      </w:pPr>
      <w:r>
        <w:rPr>
          <w:rFonts w:ascii="Arial" w:cs="Arial" w:eastAsia="Arial" w:hAnsi="Arial"/>
          <w:sz w:val="20"/>
          <w:szCs w:val="20"/>
          <w:color w:val="auto"/>
        </w:rPr>
        <w:t>adjustments to include the issuance of Class A common stock of the Company and Class C units of the Partnership as consideration for the transaction;</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adjustments to reflect the pro-rata economic ownership attributable to the Company;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1"/>
          <w:numId w:val="20"/>
        </w:numPr>
        <w:rPr>
          <w:rFonts w:ascii="Arial" w:cs="Arial" w:eastAsia="Arial" w:hAnsi="Arial"/>
          <w:sz w:val="19"/>
          <w:szCs w:val="19"/>
          <w:color w:val="auto"/>
        </w:rPr>
      </w:pPr>
      <w:r>
        <w:rPr>
          <w:rFonts w:ascii="Arial" w:cs="Arial" w:eastAsia="Arial" w:hAnsi="Arial"/>
          <w:sz w:val="19"/>
          <w:szCs w:val="19"/>
          <w:color w:val="auto"/>
        </w:rPr>
        <w:t>adjustments to reflect the tax effects of the Greenspring acquisition and including Greenspring in the Company’s results; and</w:t>
      </w:r>
    </w:p>
    <w:p>
      <w:pPr>
        <w:spacing w:after="0" w:line="227" w:lineRule="exact"/>
        <w:rPr>
          <w:rFonts w:ascii="Arial" w:cs="Arial" w:eastAsia="Arial" w:hAnsi="Arial"/>
          <w:sz w:val="19"/>
          <w:szCs w:val="19"/>
          <w:color w:val="auto"/>
        </w:rPr>
      </w:pPr>
    </w:p>
    <w:p>
      <w:pPr>
        <w:ind w:left="640" w:hanging="308"/>
        <w:spacing w:after="0"/>
        <w:tabs>
          <w:tab w:leader="none" w:pos="6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adjustments to include acquisition-related transaction costs in earnings for the nine months ended December 31, 2020.</w:t>
      </w:r>
    </w:p>
    <w:p>
      <w:pPr>
        <w:spacing w:after="0" w:line="209" w:lineRule="exact"/>
        <w:rPr>
          <w:rFonts w:ascii="Arial" w:cs="Arial" w:eastAsia="Arial" w:hAnsi="Arial"/>
          <w:sz w:val="20"/>
          <w:szCs w:val="20"/>
          <w:color w:val="auto"/>
        </w:rPr>
      </w:pPr>
    </w:p>
    <w:p>
      <w:pPr>
        <w:ind w:left="460" w:hanging="452"/>
        <w:spacing w:after="0"/>
        <w:tabs>
          <w:tab w:leader="none" w:pos="4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Litigation</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December 31, 2021.</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The Company leases offices in 21 cities in the United States, Canada, South America, Europe, Asia and Australia, and certain equipment subject to operating lease agreements expiring through 2031, some of which may include options to extend or terminate the lease. As of December 31, 2021, there were no finance leases outstanding.</w:t>
      </w:r>
    </w:p>
    <w:p>
      <w:pPr>
        <w:spacing w:after="0" w:line="186"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In June 2021, the Company executed an agreement to lease additional office space for its La Jolla office. The lessor is currently undergoing the build out for the additional office space and the Company expects to gain access to the additional space in April 2022. At that time, the Company will establish a ROU asset and lease liability for the new lease. Upon lease commencement, total future lease payments are expected to be approximately $3.3 million over approximately 9 years.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components of lease expense included in general, administrative and other expenses in the condensed consolidated statements of income were as follows:</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Operating lease cost</w:t>
      </w:r>
      <w:r>
        <w:rPr>
          <w:rFonts w:ascii="Arial" w:cs="Arial" w:eastAsia="Arial" w:hAnsi="Arial"/>
          <w:sz w:val="19"/>
          <w:szCs w:val="19"/>
          <w:color w:val="auto"/>
          <w:vertAlign w:val="superscript"/>
        </w:rPr>
        <w:t>(1)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Three Months Ended</w:t>
            </w:r>
          </w:p>
        </w:tc>
      </w:tr>
      <w:tr>
        <w:trPr>
          <w:trHeight w:val="229"/>
        </w:trPr>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December 31, 2021</w:t>
            </w:r>
          </w:p>
        </w:tc>
      </w:tr>
      <w:tr>
        <w:trPr>
          <w:trHeight w:val="222"/>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2,855</w:t>
            </w:r>
          </w:p>
        </w:tc>
      </w:tr>
      <w:tr>
        <w:trPr>
          <w:trHeight w:val="229"/>
        </w:trPr>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-633730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-334010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Nine Months Ended</w:t>
            </w:r>
          </w:p>
        </w:tc>
      </w:tr>
      <w:tr>
        <w:trPr>
          <w:trHeight w:val="229"/>
        </w:trPr>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8"/>
              </w:rPr>
              <w:t>December 31, 2021</w:t>
            </w:r>
          </w:p>
        </w:tc>
      </w:tr>
      <w:tr>
        <w:trPr>
          <w:trHeight w:val="222"/>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8,215</w:t>
            </w:r>
          </w:p>
        </w:tc>
      </w:tr>
      <w:tr>
        <w:trPr>
          <w:trHeight w:val="229"/>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3">
            <w:col w:w="5800" w:space="720"/>
            <w:col w:w="2240" w:space="240"/>
            <w:col w:w="2240"/>
          </w:cols>
          <w:pgMar w:left="320" w:top="454"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lease cost includes an immaterial amount of short-term leases.</w:t>
      </w:r>
    </w:p>
    <w:p>
      <w:pPr>
        <w:spacing w:after="0" w:line="208"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Occupancy expense related to office facility operating leases totaled $2.3 million and $6.9 million for the three and nine months ended December 31,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Supplemental cash flow information related to leases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tcPr>
          <w:p>
            <w:pPr>
              <w:spacing w:after="0"/>
              <w:rPr>
                <w:sz w:val="17"/>
                <w:szCs w:val="17"/>
                <w:color w:val="auto"/>
              </w:rPr>
            </w:pPr>
          </w:p>
        </w:tc>
        <w:tc>
          <w:tcPr>
            <w:tcW w:w="23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886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December 31, 2021</w:t>
            </w:r>
          </w:p>
        </w:tc>
      </w:tr>
      <w:tr>
        <w:trPr>
          <w:trHeight w:val="20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860" w:type="dxa"/>
            <w:vAlign w:val="bottom"/>
          </w:tcPr>
          <w:p>
            <w:pPr>
              <w:ind w:left="240"/>
              <w:spacing w:after="0"/>
              <w:rPr>
                <w:sz w:val="20"/>
                <w:szCs w:val="20"/>
                <w:color w:val="auto"/>
              </w:rPr>
            </w:pPr>
            <w:r>
              <w:rPr>
                <w:rFonts w:ascii="Arial" w:cs="Arial" w:eastAsia="Arial" w:hAnsi="Arial"/>
                <w:sz w:val="18"/>
                <w:szCs w:val="18"/>
                <w:color w:val="auto"/>
              </w:rPr>
              <w:t>Operating cash flows used for operating leases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7,343</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 (in years)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Weighted-average discount rate for operating leases</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530"/>
        </w:trPr>
        <w:tc>
          <w:tcPr>
            <w:tcW w:w="8860" w:type="dxa"/>
            <w:vAlign w:val="bottom"/>
          </w:tcPr>
          <w:p>
            <w:pPr>
              <w:ind w:left="660"/>
              <w:spacing w:after="0"/>
              <w:rPr>
                <w:sz w:val="20"/>
                <w:szCs w:val="20"/>
                <w:color w:val="auto"/>
              </w:rPr>
            </w:pPr>
            <w:r>
              <w:rPr>
                <w:rFonts w:ascii="Arial" w:cs="Arial" w:eastAsia="Arial" w:hAnsi="Arial"/>
                <w:sz w:val="20"/>
                <w:szCs w:val="20"/>
                <w:color w:val="auto"/>
              </w:rPr>
              <w:t>As of December 31, 2021, maturities of operating lease liabilities were as follows: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96"/>
        </w:trPr>
        <w:tc>
          <w:tcPr>
            <w:tcW w:w="8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FY2022</w:t>
            </w:r>
          </w:p>
        </w:tc>
        <w:tc>
          <w:tcPr>
            <w:tcW w:w="1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FY2023</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10,673</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FY2024</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FY2025</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10,219</w:t>
            </w: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FY2026</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r>
      <w:tr>
        <w:trPr>
          <w:trHeight w:val="230"/>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36,701</w:t>
            </w:r>
          </w:p>
        </w:tc>
      </w:tr>
      <w:tr>
        <w:trPr>
          <w:trHeight w:val="223"/>
        </w:trPr>
        <w:tc>
          <w:tcPr>
            <w:tcW w:w="8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81,758</w:t>
            </w:r>
          </w:p>
        </w:tc>
      </w:tr>
      <w:tr>
        <w:trPr>
          <w:trHeight w:val="230"/>
        </w:trPr>
        <w:tc>
          <w:tcPr>
            <w:tcW w:w="8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Imputed interest</w:t>
            </w:r>
          </w:p>
        </w:tc>
        <w:tc>
          <w:tcPr>
            <w:tcW w:w="9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73,437</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22"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As of December 31, 2021 and March 31, 2021, the Company, generally in its capacity as general partner or managing member of the StepStone Funds, had unfunded commitments totaling $73.2 million and $60.5 million, respectively. The $73.2 million of unfunded commitments as of December 31, 2021 excludes $42.1 million related to commitments held by the legacy Greenspring general partner entities in legacy Greenspring funds for which the Company does not hold an economic interest.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2021 and March 31, 2021, no material amounts for potential clawback obligations had been accrued. This contingent obligation is normally reduced by income taxes that the Company has paid related to the carried interest allocations. As of December 31, 2021, the maximum amount of carried interest allocations (excluding legacy Greenspring carried interest allocations) attributable to the Company subject to contingent repayment was an estimated $189.1 million, net of tax, assuming the fair value of all investments was zero, a possibility that the Company views as remote.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December 31, 2021 and March 31, 2021. Based on past experience, management believes that the risk of loss related to these indemnities is remote.</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6"/>
          <w:szCs w:val="16"/>
          <w:b w:val="1"/>
          <w:bCs w:val="1"/>
          <w:color w:val="auto"/>
        </w:rPr>
        <w:t>Subsequent Events</w:t>
      </w:r>
    </w:p>
    <w:p>
      <w:pPr>
        <w:spacing w:after="0" w:line="222"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On February 8, 2022, the Company announced a quarterly cash dividend of $0.15 per share of Class A common stock, payable on March 15, 2022 to holders of record as of the close of business on February 28,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44" w:name="page45"/>
    <w:bookmarkEnd w:id="44"/>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2021 filed with the SEC. This quarterly report reflects the historical results of operations and financial position of StepStone Group LP, our predecessor for accounting purposes, prior to the Reorganization and IPO. In this quarterly report, references to “we,” “us,” “our,” “StepStone” and similar terms refer to SSG and its consolidated subsidiaries, including the Partnership, following the Reorganization and IPO and to the Partnership and its consolidated subsidiaries prior to the Reorganization and IPO.</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9"/>
          <w:szCs w:val="19"/>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December 31, 2021, we oversaw approximately $548 billion of private markets allocations, including $127 billion of AUM and $421 billion of AUA.</w:t>
      </w:r>
    </w:p>
    <w:p>
      <w:pPr>
        <w:spacing w:after="0" w:line="184"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21 cities across 12 countries on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December 31, 2021, we had 758 total employees, including 265 investment professionals and over 490 employees across our operating team and implementation teams dedicated to sourcing, executing, analyzing and monitoring private markets opportunities. Approximately 130 of our employees joined us as part of the Greenspring acquisition.</w:t>
      </w:r>
    </w:p>
    <w:p>
      <w:pPr>
        <w:spacing w:after="0" w:line="184"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60" w:hanging="328"/>
        <w:spacing w:after="0" w:line="246"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00000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$75 billion of our AUM as of December 31, 2021</w:t>
      </w:r>
      <w:r>
        <w:rPr>
          <w:rFonts w:ascii="Arial" w:cs="Arial" w:eastAsia="Arial" w:hAnsi="Arial"/>
          <w:sz w:val="20"/>
          <w:szCs w:val="20"/>
          <w:color w:val="231F20"/>
        </w:rPr>
        <w:t>.</w:t>
      </w:r>
    </w:p>
    <w:p>
      <w:pPr>
        <w:spacing w:after="0" w:line="191" w:lineRule="exact"/>
        <w:rPr>
          <w:rFonts w:ascii="Arial" w:cs="Arial" w:eastAsia="Arial" w:hAnsi="Arial"/>
          <w:sz w:val="20"/>
          <w:szCs w:val="20"/>
          <w:color w:val="auto"/>
        </w:rPr>
      </w:pPr>
    </w:p>
    <w:p>
      <w:pPr>
        <w:ind w:left="660" w:right="180" w:hanging="328"/>
        <w:spacing w:after="0" w:line="31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231F20"/>
        </w:rPr>
        <w:t xml:space="preserve">Focused commingled funds. </w:t>
      </w:r>
      <w:r>
        <w:rPr>
          <w:rFonts w:ascii="Arial" w:cs="Arial" w:eastAsia="Arial" w:hAnsi="Arial"/>
          <w:sz w:val="18"/>
          <w:szCs w:val="18"/>
          <w:color w:val="231F20"/>
        </w:rPr>
        <w:t>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defined investment strategies. Focused commingled funds comprised $42 billion of our AUM as of </w:t>
      </w:r>
      <w:r>
        <w:rPr>
          <w:rFonts w:ascii="Arial" w:cs="Arial" w:eastAsia="Arial" w:hAnsi="Arial"/>
          <w:sz w:val="18"/>
          <w:szCs w:val="18"/>
          <w:color w:val="000000"/>
        </w:rPr>
        <w:t>December 31, 2021</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41" w:lineRule="exact"/>
        <w:rPr>
          <w:sz w:val="20"/>
          <w:szCs w:val="20"/>
          <w:color w:val="auto"/>
        </w:rPr>
      </w:pPr>
    </w:p>
    <w:p>
      <w:pPr>
        <w:ind w:left="660" w:right="40" w:hanging="328"/>
        <w:spacing w:after="0" w:line="274"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231F20"/>
        </w:rPr>
        <w:t xml:space="preserve">Advisory, data and administrative services. </w:t>
      </w:r>
      <w:r>
        <w:rPr>
          <w:rFonts w:ascii="Arial" w:cs="Arial" w:eastAsia="Arial" w:hAnsi="Arial"/>
          <w:sz w:val="18"/>
          <w:szCs w:val="18"/>
          <w:color w:val="231F20"/>
        </w:rPr>
        <w:t>These services include one or more of the following for our clients: (i) recurring support</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StepStone Private Markets Intelligence (“SPI”) and our other proprietary tools, and (vi) administrative services to unaffiliated investment advisors. Advisory relationships comprised </w:t>
      </w:r>
      <w:r>
        <w:rPr>
          <w:rFonts w:ascii="Arial" w:cs="Arial" w:eastAsia="Arial" w:hAnsi="Arial"/>
          <w:sz w:val="18"/>
          <w:szCs w:val="18"/>
          <w:color w:val="000000"/>
        </w:rPr>
        <w:t>$421 billion</w:t>
      </w:r>
      <w:r>
        <w:rPr>
          <w:rFonts w:ascii="Arial" w:cs="Arial" w:eastAsia="Arial" w:hAnsi="Arial"/>
          <w:sz w:val="18"/>
          <w:szCs w:val="18"/>
          <w:color w:val="231F20"/>
        </w:rPr>
        <w:t xml:space="preserve"> of our AUA and $10 billion of our AUM as of </w:t>
      </w:r>
      <w:r>
        <w:rPr>
          <w:rFonts w:ascii="Arial" w:cs="Arial" w:eastAsia="Arial" w:hAnsi="Arial"/>
          <w:sz w:val="18"/>
          <w:szCs w:val="18"/>
          <w:color w:val="000000"/>
        </w:rPr>
        <w:t>December 31, 2021</w:t>
      </w:r>
      <w:r>
        <w:rPr>
          <w:rFonts w:ascii="Arial" w:cs="Arial" w:eastAsia="Arial" w:hAnsi="Arial"/>
          <w:sz w:val="18"/>
          <w:szCs w:val="18"/>
          <w:color w:val="231F20"/>
        </w:rPr>
        <w:t>.</w:t>
      </w:r>
    </w:p>
    <w:p>
      <w:pPr>
        <w:spacing w:after="0" w:line="168" w:lineRule="exact"/>
        <w:rPr>
          <w:rFonts w:ascii="Arial" w:cs="Arial" w:eastAsia="Arial" w:hAnsi="Arial"/>
          <w:sz w:val="18"/>
          <w:szCs w:val="18"/>
          <w:color w:val="auto"/>
        </w:rPr>
      </w:pPr>
    </w:p>
    <w:p>
      <w:pPr>
        <w:ind w:left="660" w:hanging="328"/>
        <w:spacing w:after="0" w:line="244"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231F20"/>
        </w:rPr>
        <w:t xml:space="preserve">Portfolio analytics and reporting. </w:t>
      </w:r>
      <w:r>
        <w:rPr>
          <w:rFonts w:ascii="Arial" w:cs="Arial" w:eastAsia="Arial" w:hAnsi="Arial"/>
          <w:sz w:val="20"/>
          <w:szCs w:val="20"/>
          <w:color w:val="231F20"/>
        </w:rPr>
        <w:t>We provide clients with tailored reporting packages, including customized performance</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benchmarks as well as associated compliance, administrative and tax capabilities. Mandates for portfolio analytics and reporting services typically include licensed access to our proprietary performance monitoring software, Omni. Omni tracked detailed information on over $780 billion of client commitments as of </w:t>
      </w:r>
      <w:r>
        <w:rPr>
          <w:rFonts w:ascii="Arial" w:cs="Arial" w:eastAsia="Arial" w:hAnsi="Arial"/>
          <w:sz w:val="20"/>
          <w:szCs w:val="20"/>
          <w:color w:val="000000"/>
        </w:rPr>
        <w:t>December 31, 2021</w:t>
      </w:r>
      <w:r>
        <w:rPr>
          <w:rFonts w:ascii="Arial" w:cs="Arial" w:eastAsia="Arial" w:hAnsi="Arial"/>
          <w:sz w:val="20"/>
          <w:szCs w:val="20"/>
          <w:color w:val="231F20"/>
        </w:rPr>
        <w:t>, inclusive of our combined AUM/AUA, previously exited investments and investments of former clients.</w:t>
      </w:r>
    </w:p>
    <w:p>
      <w:pPr>
        <w:spacing w:after="0" w:line="19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231F20"/>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factors:</w:t>
      </w:r>
    </w:p>
    <w:p>
      <w:pPr>
        <w:spacing w:after="0" w:line="200" w:lineRule="exact"/>
        <w:rPr>
          <w:sz w:val="20"/>
          <w:szCs w:val="20"/>
          <w:color w:val="auto"/>
        </w:rPr>
      </w:pPr>
    </w:p>
    <w:p>
      <w:pPr>
        <w:ind w:left="660" w:hanging="328"/>
        <w:spacing w:after="0" w:line="243"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231F20"/>
        </w:rPr>
        <w:t xml:space="preserve">The extent to which clients favor private markets investments. </w:t>
      </w:r>
      <w:r>
        <w:rPr>
          <w:rFonts w:ascii="Arial" w:cs="Arial" w:eastAsia="Arial" w:hAnsi="Arial"/>
          <w:sz w:val="20"/>
          <w:szCs w:val="20"/>
          <w:color w:val="231F20"/>
        </w:rPr>
        <w:t>Our ability to attract new capital is partially dependent on clients’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95"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generate strong, stable returns. </w:t>
      </w:r>
      <w:r>
        <w:rPr>
          <w:rFonts w:ascii="Arial" w:cs="Arial" w:eastAsia="Arial" w:hAnsi="Arial"/>
          <w:sz w:val="18"/>
          <w:szCs w:val="18"/>
          <w:color w:val="231F20"/>
        </w:rPr>
        <w:t>Our ability to raise and retain capital is partially dependent on the investment returns</w:t>
      </w:r>
      <w:r>
        <w:rPr>
          <w:rFonts w:ascii="Arial" w:cs="Arial" w:eastAsia="Arial" w:hAnsi="Arial"/>
          <w:sz w:val="18"/>
          <w:szCs w:val="18"/>
          <w:i w:val="1"/>
          <w:iCs w:val="1"/>
          <w:color w:val="231F20"/>
        </w:rPr>
        <w:t xml:space="preserve"> </w:t>
      </w:r>
      <w:r>
        <w:rPr>
          <w:rFonts w:ascii="Arial" w:cs="Arial" w:eastAsia="Arial" w:hAnsi="Arial"/>
          <w:sz w:val="18"/>
          <w:szCs w:val="18"/>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1" w:lineRule="exact"/>
        <w:rPr>
          <w:sz w:val="20"/>
          <w:szCs w:val="20"/>
          <w:color w:val="auto"/>
        </w:rPr>
      </w:pPr>
    </w:p>
    <w:p>
      <w:pPr>
        <w:ind w:left="660" w:right="80" w:hanging="328"/>
        <w:spacing w:after="0" w:line="27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maintain our data advantage relative to competitors. </w:t>
      </w:r>
      <w:r>
        <w:rPr>
          <w:rFonts w:ascii="Arial" w:cs="Arial" w:eastAsia="Arial" w:hAnsi="Arial"/>
          <w:sz w:val="18"/>
          <w:szCs w:val="18"/>
          <w:color w:val="231F20"/>
        </w:rPr>
        <w:t>Our proprietary data and technology platforms, analytical tools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64" w:lineRule="exact"/>
        <w:rPr>
          <w:rFonts w:ascii="Arial" w:cs="Arial" w:eastAsia="Arial" w:hAnsi="Arial"/>
          <w:sz w:val="18"/>
          <w:szCs w:val="18"/>
          <w:color w:val="auto"/>
        </w:rPr>
      </w:pPr>
    </w:p>
    <w:p>
      <w:pPr>
        <w:ind w:left="660" w:right="40" w:hanging="328"/>
        <w:spacing w:after="0" w:line="243"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231F20"/>
        </w:rPr>
        <w:t xml:space="preserve">Our ability to source investments with attractive risk-adjusted returns. </w:t>
      </w:r>
      <w:r>
        <w:rPr>
          <w:rFonts w:ascii="Arial" w:cs="Arial" w:eastAsia="Arial" w:hAnsi="Arial"/>
          <w:sz w:val="20"/>
          <w:szCs w:val="20"/>
          <w:color w:val="231F20"/>
        </w:rPr>
        <w:t>The continued growth in our revenues is dependent on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adversely affect our ability to source investments with attractive risk-adjusted returns.</w:t>
      </w:r>
    </w:p>
    <w:p>
      <w:pPr>
        <w:spacing w:after="0" w:line="192" w:lineRule="exact"/>
        <w:rPr>
          <w:rFonts w:ascii="Arial" w:cs="Arial" w:eastAsia="Arial" w:hAnsi="Arial"/>
          <w:sz w:val="20"/>
          <w:szCs w:val="20"/>
          <w:color w:val="auto"/>
        </w:rPr>
      </w:pPr>
    </w:p>
    <w:p>
      <w:pPr>
        <w:ind w:left="660" w:right="60" w:hanging="328"/>
        <w:spacing w:after="0" w:line="244"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231F20"/>
        </w:rPr>
        <w:t xml:space="preserve">Increased competition and clients’ desire to work with fewer managers. </w:t>
      </w:r>
      <w:r>
        <w:rPr>
          <w:rFonts w:ascii="Arial" w:cs="Arial" w:eastAsia="Arial" w:hAnsi="Arial"/>
          <w:sz w:val="20"/>
          <w:szCs w:val="20"/>
          <w:color w:val="231F20"/>
        </w:rPr>
        <w:t>There has been an increasing desire on the part of larger</w:t>
      </w:r>
      <w:r>
        <w:rPr>
          <w:rFonts w:ascii="Arial" w:cs="Arial" w:eastAsia="Arial" w:hAnsi="Arial"/>
          <w:sz w:val="20"/>
          <w:szCs w:val="20"/>
          <w:i w:val="1"/>
          <w:iCs w:val="1"/>
          <w:color w:val="231F20"/>
        </w:rPr>
        <w:t xml:space="preserve"> </w:t>
      </w:r>
      <w:r>
        <w:rPr>
          <w:rFonts w:ascii="Arial" w:cs="Arial" w:eastAsia="Arial" w:hAnsi="Arial"/>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Continuing Impact of COVID-19</w:t>
      </w:r>
    </w:p>
    <w:p>
      <w:pPr>
        <w:spacing w:after="0" w:line="222"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The COVID-19 pandemic has continued to impact the global economy and financial markets. With the spread of the Omicron variant, restrictions have been and may continue to be reimposed to mitigate risks to public health in jurisdictions where additional outbreaks have been detected. Moreover, even where restrictions are and remain lifted, and as vaccinations have become available and more accessible, certain groups of people may continue to self-isolate and not participate in the economy at pre-pandemic levels for a prolonged period of time, potentially further delaying global economic recovery.</w:t>
      </w:r>
    </w:p>
    <w:p>
      <w:pPr>
        <w:spacing w:after="0" w:line="194"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231F20"/>
        </w:rPr>
        <w:t xml:space="preserve">We are continuing to closely monitor developments related to COVID-19 and assessing any negative impacts to our business. The COVID-19 pandemic has affected, and may further affect, our business in various ways. In particular, it is possible that our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w:t>
      </w:r>
      <w:r>
        <w:rPr>
          <w:rFonts w:ascii="Arial" w:cs="Arial" w:eastAsia="Arial" w:hAnsi="Arial"/>
          <w:sz w:val="19"/>
          <w:szCs w:val="19"/>
          <w:color w:val="000000"/>
        </w:rPr>
        <w:t>As the global response and ongoing nature of COVID-19 evolves, it is currently not possible</w:t>
      </w:r>
      <w:r>
        <w:rPr>
          <w:rFonts w:ascii="Arial" w:cs="Arial" w:eastAsia="Arial" w:hAnsi="Arial"/>
          <w:sz w:val="19"/>
          <w:szCs w:val="19"/>
          <w:color w:val="231F20"/>
        </w:rPr>
        <w:t xml:space="preserve"> </w:t>
      </w:r>
      <w:r>
        <w:rPr>
          <w:rFonts w:ascii="Arial" w:cs="Arial" w:eastAsia="Arial" w:hAnsi="Arial"/>
          <w:sz w:val="19"/>
          <w:szCs w:val="19"/>
          <w:color w:val="000000"/>
        </w:rPr>
        <w:t>to predict the potential scale and scope of the outbreak and its ultimate effects on the financial markets, overall economy and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Recent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 and Initial Public Offering</w:t>
      </w:r>
    </w:p>
    <w:p>
      <w:pPr>
        <w:spacing w:after="0" w:line="222"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On September 18, 2020, we completed an IPO pursuant to which we issued 20,125,000 shares of Class A common stock at a price of $18.00 per share. We received net proceeds from the offering of $337.8 million, net of underwriting discounts of $24.5 million and before offering costs of $9.7 million that were incurred by the Partnership. We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In connection with the IPO, we completed certain transactions as part of the Reorganization to, among other things, provide for Class A common stock and Class B common stock; appoint SSG as the sole managing member of StepStone Group Holdings LLC, the General Partner; complete a series of merger transactions such that certain blocker entities in which certain pre-IPO institutional investors held their interests in the Partnership merged with and into SSG, with SSG surviving, resulting in the pre-IPO institutional investors acquiring 9,112,500 shares of newly issued Class A common stock of SSG; and classify the Partnership’s interests acquired by SSG as Class A units and reclassify the Partnership’s interests held by the continuing partners as Class B units.</w:t>
      </w:r>
    </w:p>
    <w:p>
      <w:pPr>
        <w:spacing w:after="0" w:line="165"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231F20"/>
        </w:rPr>
        <w:t>See note 1 to our condensed consolidated financial statements included elsewhere in this quarterly report for more information about the Reorganization and IPO.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Greenspring Acquisition</w:t>
      </w:r>
    </w:p>
    <w:p>
      <w:pPr>
        <w:spacing w:after="0" w:line="222"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On September 20, 2021, we completed the acquisition of 100% of Greenspring Associates, Inc. and certain of its affiliates (collectively, “Greenspring”) in exchange for (i) cash consideration of approximately $185 million, net of an agreed upon adjustment based upon Greenspring’s net working capital balance at the closing date, (ii) 12,686,756 shares of Class A common stock and (iii) 3,071,519 newly issued Class C units of the Partnership. The transaction agreement also included an earn-out of up to $75 million that is payable in 2025 subject to the achievement of certain management fee revenue targets for calendar year 2024. The acquisition of Greenspring, a leading venture and growth equity platform, is expected to expand our continued growth of our private markets capabilities across asset classes, geographies and sectors. The results of Greenspring’s operations have been included in the condensed consolidated financial statements effective September 20, 2021.</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22"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In September 2021, we entered into a credit agreement with various lenders (the “Credit Agreement”) in connection with the Greenspring acquisition. The Credit Agreement was arranged by JPMorgan Chase Bank, N.A., as administrative agent, and provides for a $225.0 million multicurrency revolving credit facility (the “Revolver”) with a five year maturity. As of December 31, 2021, there was $62.8 million outstanding on the Revolver, net of debt issuance costs.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and a corresponding number of Class A units of the Partnership were issued to us. We did not receive any proceeds from the sale of shares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1" w:lineRule="exact"/>
        <w:rPr>
          <w:sz w:val="20"/>
          <w:szCs w:val="20"/>
          <w:color w:val="auto"/>
        </w:rPr>
      </w:pPr>
    </w:p>
    <w:p>
      <w:pPr>
        <w:ind w:right="140" w:firstLine="648"/>
        <w:spacing w:after="0" w:line="243" w:lineRule="auto"/>
        <w:rPr>
          <w:sz w:val="20"/>
          <w:szCs w:val="20"/>
          <w:color w:val="auto"/>
        </w:rPr>
      </w:pPr>
      <w:r>
        <w:rPr>
          <w:rFonts w:ascii="Arial" w:cs="Arial" w:eastAsia="Arial" w:hAnsi="Arial"/>
          <w:sz w:val="20"/>
          <w:szCs w:val="20"/>
          <w:color w:val="auto"/>
        </w:rPr>
        <w:t>In June 2021, we issued 1,898,438 shares of Class A common stock to certain limited partners of the Partnership in exchange for 1,898,438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us.</w:t>
      </w:r>
    </w:p>
    <w:p>
      <w:pPr>
        <w:spacing w:after="0" w:line="196"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8"/>
          <w:szCs w:val="18"/>
          <w:color w:val="auto"/>
        </w:rPr>
        <w:t>In September 2021, we issued 12,686,756 shares of Class A common stock and 3,071,519 Class C units of the Partnership as partial consideration for the Greenspring acquisition. In connection with the transaction, we amended the limited partnership agreement to create a new Class C limited partnership interest and admit the new limited partners that received Class C units as consideration for the Greenspring acquisition. We also entered into an agreement with the Class C limited partners (the “Class C Exchange Agreement”) to allow for exchange of Class C units of the Partnership to shares of Class A common stock of the Company on a one for one basis, subject to certain restrictions. The Class C limited partners became parties to the Exchanges Tax Receivable Agreement as a result of the transaction.</w:t>
      </w:r>
    </w:p>
    <w:p>
      <w:pPr>
        <w:spacing w:after="0" w:line="16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9"/>
          <w:szCs w:val="19"/>
          <w:color w:val="auto"/>
        </w:rPr>
        <w:t>In September 2021, we issued 2,087,281 shares of Class A common stock to certain limited partners of the Partnership in exchange for 2,087,281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7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9"/>
          <w:szCs w:val="19"/>
          <w:color w:val="auto"/>
        </w:rPr>
        <w:t>In November 2021, we conducted an underwritten public offering of 4,500,000 shares of Class A common stock sold by selling stockholders at a public offering price of $51.83 per share. In connection with the offering, we issued 3,958,204 shares of Class A common stock to certain selling stockholders in exchange for 3,958,204 Class B units. A corresponding number of shares of Class B common stock were automatically redeemed at par value and canceled in connection with such exchange and a corresponding number of Class A units of the Partnership were issued to us. We also issued 142,695 shares of Class A common stock to certain selling stockholders in exchange for 142,695 Class C units and a corresponding number of Class A units of the Partnership were issued to us. We did not receive any proceeds from the sale of shares by the selling stockholders.</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19"/>
          <w:szCs w:val="19"/>
          <w:color w:val="auto"/>
        </w:rPr>
        <w:t>In December 2021, we issued 935,235 shares of Class A common stock to certain limited partners of the Partnership in exchange for 935,235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Organizational Structure</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In connection with the Reorganization and IPO, SSG became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related to the Class B units and Class C units held by partners of the Partnership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9" w:name="page50"/>
    <w:bookmarkEnd w:id="49"/>
    <w:p>
      <w:pPr>
        <w:spacing w:after="0" w:line="141"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diagram below illustrates our organizational structure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147320</wp:posOffset>
            </wp:positionV>
            <wp:extent cx="5863590" cy="31286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359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sum to total due to rounding.</w:t>
      </w:r>
    </w:p>
    <w:p>
      <w:pPr>
        <w:spacing w:after="0" w:line="225"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partners of the Partnership other than StepStone Group Inc. are: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General Partner, which holds a 100% general partner interest and no economic interests;</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2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certain members of management, employee owners and outside investors, all of whom own Class B units and an equivalent number of shares of Class B common stock; and</w:t>
      </w:r>
    </w:p>
    <w:p>
      <w:pPr>
        <w:ind w:left="1300" w:hanging="64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certain members of management and employees who own Class B2 units;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certain employee owners who own Class C units.</w:t>
      </w:r>
    </w:p>
    <w:p>
      <w:pPr>
        <w:spacing w:after="0" w:line="9" w:lineRule="exact"/>
        <w:rPr>
          <w:rFonts w:ascii="Arial" w:cs="Arial" w:eastAsia="Arial" w:hAnsi="Arial"/>
          <w:sz w:val="18"/>
          <w:szCs w:val="18"/>
          <w:color w:val="auto"/>
        </w:rPr>
      </w:pPr>
    </w:p>
    <w:p>
      <w:pPr>
        <w:ind w:left="660" w:right="40" w:hanging="652"/>
        <w:spacing w:after="0" w:line="250"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40" w:hanging="652"/>
        <w:spacing w:after="0" w:line="255"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0" w:name="page51"/>
    <w:bookmarkEnd w:id="50"/>
    <w:p>
      <w:pPr>
        <w:spacing w:after="0" w:line="141"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December 31, 2021 the Sunset Holders collectively maintained direct or indirect beneficial ownership of approximately 31.3% of the Class A common stock (determined assuming all outstanding Class B units have been exchanged for Class A common stock) and approximately 55.6% of the aggregate voting power of our outstanding Class A common stock and Class B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Key Financial Measures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231F20"/>
        </w:rPr>
        <w:t>Management and advisory fees, net, consist of fees received from managing SMAs and focused commingled funds, advisory and data services, and portfolio analytics and reporting.</w:t>
      </w:r>
    </w:p>
    <w:p>
      <w:pPr>
        <w:spacing w:after="0" w:line="177" w:lineRule="exact"/>
        <w:rPr>
          <w:sz w:val="20"/>
          <w:szCs w:val="20"/>
          <w:color w:val="auto"/>
        </w:rPr>
      </w:pPr>
    </w:p>
    <w:p>
      <w:pPr>
        <w:ind w:left="660" w:right="320" w:hanging="328"/>
        <w:spacing w:after="0" w:line="244"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231F20"/>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0.38% and 0.41% of average FEAUM for the twelve months ended December 31, 2020 and 2021, respectively.</w:t>
      </w:r>
    </w:p>
    <w:p>
      <w:pPr>
        <w:spacing w:after="0" w:line="194"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0.93% and 0.84% of average FEAUM for the twelve months ended December 31, 2020 and 2021, respectively, and primarily reflected the timing of new funds, and shifts in asset class mix.</w:t>
      </w:r>
    </w:p>
    <w:p>
      <w:pPr>
        <w:spacing w:after="0" w:line="195"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231F20"/>
        </w:rPr>
        <w:t>The weighted-average management fee rate across SMAs and focused commingled funds was approximately 0.52% and 0.52% of average FEAUM for the twelve months ended December 31, 2020 and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1" w:lineRule="exact"/>
        <w:rPr>
          <w:sz w:val="20"/>
          <w:szCs w:val="20"/>
          <w:color w:val="auto"/>
        </w:rPr>
      </w:pPr>
    </w:p>
    <w:p>
      <w:pPr>
        <w:ind w:left="660" w:right="20" w:hanging="328"/>
        <w:spacing w:after="0" w:line="278" w:lineRule="auto"/>
        <w:tabs>
          <w:tab w:leader="none" w:pos="648"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Fee revenues from advisory, StepStone Portfolio Analytics &amp; Reporting (“SPAR”), SPI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64" w:lineRule="exact"/>
        <w:rPr>
          <w:rFonts w:ascii="Arial" w:cs="Arial" w:eastAsia="Arial" w:hAnsi="Arial"/>
          <w:sz w:val="18"/>
          <w:szCs w:val="18"/>
          <w:color w:val="231F20"/>
        </w:rPr>
      </w:pPr>
    </w:p>
    <w:p>
      <w:pPr>
        <w:ind w:left="660" w:hanging="328"/>
        <w:spacing w:after="0" w:line="246"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9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right="120" w:firstLine="648"/>
        <w:spacing w:after="0" w:line="256" w:lineRule="auto"/>
        <w:rPr>
          <w:sz w:val="20"/>
          <w:szCs w:val="20"/>
          <w:color w:val="auto"/>
        </w:rPr>
      </w:pPr>
      <w:r>
        <w:rPr>
          <w:rFonts w:ascii="Arial" w:cs="Arial" w:eastAsia="Arial" w:hAnsi="Arial"/>
          <w:sz w:val="19"/>
          <w:szCs w:val="19"/>
          <w:color w:val="auto"/>
        </w:rPr>
        <w:t xml:space="preserve">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In connection with the Greenspring acquisition, we did not acquire any direct economic interests in the carried interest allocations of certain legacy Greenspring funds. As a result, carried interest allocations in respect of such legacy Greenspring funds have been reflected as </w:t>
      </w:r>
      <w:r>
        <w:rPr>
          <w:rFonts w:ascii="Arial" w:cs="Arial" w:eastAsia="Arial" w:hAnsi="Arial"/>
          <w:sz w:val="19"/>
          <w:szCs w:val="19"/>
          <w:color w:val="231F20"/>
        </w:rPr>
        <w:t>legacy Greenspring carried interest allocations in the condensed consolidated statements of income, with a</w:t>
      </w:r>
      <w:r>
        <w:rPr>
          <w:rFonts w:ascii="Arial" w:cs="Arial" w:eastAsia="Arial" w:hAnsi="Arial"/>
          <w:sz w:val="19"/>
          <w:szCs w:val="19"/>
          <w:color w:val="auto"/>
        </w:rPr>
        <w:t xml:space="preserve"> </w:t>
      </w:r>
      <w:r>
        <w:rPr>
          <w:rFonts w:ascii="Arial" w:cs="Arial" w:eastAsia="Arial" w:hAnsi="Arial"/>
          <w:sz w:val="19"/>
          <w:szCs w:val="19"/>
          <w:color w:val="231F20"/>
        </w:rPr>
        <w:t>corresponding amount reflected as legacy Greenspring performance fee-related compensation as these amounts are payable to certain employees</w:t>
      </w:r>
      <w:r>
        <w:rPr>
          <w:rFonts w:ascii="Arial" w:cs="Arial" w:eastAsia="Arial" w:hAnsi="Arial"/>
          <w:sz w:val="19"/>
          <w:szCs w:val="19"/>
          <w:color w:val="000000"/>
        </w:rPr>
        <w:t>. As of December 31, 2021, we had over $51 billion of performance fee-eligible capital (excluding certain legacy Greenspring</w:t>
      </w:r>
      <w:r>
        <w:rPr>
          <w:rFonts w:ascii="Arial" w:cs="Arial" w:eastAsia="Arial" w:hAnsi="Arial"/>
          <w:sz w:val="19"/>
          <w:szCs w:val="19"/>
          <w:color w:val="231F20"/>
        </w:rPr>
        <w:t xml:space="preserve"> </w:t>
      </w:r>
      <w:r>
        <w:rPr>
          <w:rFonts w:ascii="Arial" w:cs="Arial" w:eastAsia="Arial" w:hAnsi="Arial"/>
          <w:sz w:val="19"/>
          <w:szCs w:val="19"/>
          <w:color w:val="000000"/>
        </w:rPr>
        <w:t>funds) across approximately 150 programs.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i w:val="1"/>
          <w:iCs w:val="1"/>
          <w:color w:val="231F20"/>
        </w:rPr>
        <w:t xml:space="preserve">Incentive fees </w:t>
      </w:r>
      <w:r>
        <w:rPr>
          <w:rFonts w:ascii="Arial" w:cs="Arial" w:eastAsia="Arial" w:hAnsi="Arial"/>
          <w:sz w:val="19"/>
          <w:szCs w:val="19"/>
          <w:color w:val="231F20"/>
        </w:rPr>
        <w:t>are generally calculated as a percentage of the profits (up to 10%) earned in respect of certain accounts for which we</w:t>
      </w:r>
      <w:r>
        <w:rPr>
          <w:rFonts w:ascii="Arial" w:cs="Arial" w:eastAsia="Arial" w:hAnsi="Arial"/>
          <w:sz w:val="19"/>
          <w:szCs w:val="19"/>
          <w:i w:val="1"/>
          <w:iCs w:val="1"/>
          <w:color w:val="231F20"/>
        </w:rPr>
        <w:t xml:space="preserve"> </w:t>
      </w:r>
      <w:r>
        <w:rPr>
          <w:rFonts w:ascii="Arial" w:cs="Arial" w:eastAsia="Arial" w:hAnsi="Arial"/>
          <w:sz w:val="19"/>
          <w:szCs w:val="19"/>
          <w:color w:val="231F20"/>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ind w:right="20" w:firstLine="648"/>
        <w:spacing w:after="0" w:line="316" w:lineRule="auto"/>
        <w:rPr>
          <w:sz w:val="20"/>
          <w:szCs w:val="20"/>
          <w:color w:val="auto"/>
        </w:rPr>
      </w:pPr>
      <w:r>
        <w:rPr>
          <w:rFonts w:ascii="Arial" w:cs="Arial" w:eastAsia="Arial" w:hAnsi="Arial"/>
          <w:sz w:val="16"/>
          <w:szCs w:val="16"/>
          <w:color w:val="231F20"/>
        </w:rPr>
        <w:t>We recognize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1"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231F20"/>
        </w:rPr>
        <w:t xml:space="preserve">Carried interest allocations </w:t>
      </w:r>
      <w:r>
        <w:rPr>
          <w:rFonts w:ascii="Arial" w:cs="Arial" w:eastAsia="Arial" w:hAnsi="Arial"/>
          <w:sz w:val="20"/>
          <w:szCs w:val="20"/>
          <w:color w:val="231F20"/>
        </w:rPr>
        <w:t>include the allocation of performance-based fees to us from limited partners in the StepStone Funds in</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20"/>
          <w:szCs w:val="20"/>
          <w:i w:val="1"/>
          <w:iCs w:val="1"/>
          <w:color w:val="231F20"/>
        </w:rPr>
        <w:t>Revenue from Contracts</w:t>
      </w:r>
      <w:r>
        <w:rPr>
          <w:rFonts w:ascii="Arial" w:cs="Arial" w:eastAsia="Arial" w:hAnsi="Arial"/>
          <w:sz w:val="20"/>
          <w:szCs w:val="20"/>
          <w:color w:val="231F20"/>
        </w:rPr>
        <w:t xml:space="preserve"> </w:t>
      </w:r>
      <w:r>
        <w:rPr>
          <w:rFonts w:ascii="Arial" w:cs="Arial" w:eastAsia="Arial" w:hAnsi="Arial"/>
          <w:sz w:val="20"/>
          <w:szCs w:val="20"/>
          <w:i w:val="1"/>
          <w:iCs w:val="1"/>
          <w:color w:val="231F20"/>
        </w:rPr>
        <w:t>with Customers</w:t>
      </w:r>
      <w:r>
        <w:rPr>
          <w:rFonts w:ascii="Arial" w:cs="Arial" w:eastAsia="Arial" w:hAnsi="Arial"/>
          <w:sz w:val="20"/>
          <w:szCs w:val="20"/>
          <w:color w:val="231F20"/>
        </w:rPr>
        <w:t>.</w:t>
      </w:r>
    </w:p>
    <w:p>
      <w:pPr>
        <w:spacing w:after="0" w:line="19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8"/>
          <w:szCs w:val="18"/>
          <w:i w:val="1"/>
          <w:iCs w:val="1"/>
          <w:color w:val="231F20"/>
        </w:rPr>
        <w:t xml:space="preserve">Legacy Greenspring carried interest allocations </w:t>
      </w:r>
      <w:r>
        <w:rPr>
          <w:rFonts w:ascii="Arial" w:cs="Arial" w:eastAsia="Arial" w:hAnsi="Arial"/>
          <w:sz w:val="18"/>
          <w:szCs w:val="18"/>
          <w:color w:val="231F20"/>
        </w:rPr>
        <w:t>reflects the allocation of carried interest to legacy Greenspring general partner</w:t>
      </w:r>
      <w:r>
        <w:rPr>
          <w:rFonts w:ascii="Arial" w:cs="Arial" w:eastAsia="Arial" w:hAnsi="Arial"/>
          <w:sz w:val="18"/>
          <w:szCs w:val="18"/>
          <w:i w:val="1"/>
          <w:iCs w:val="1"/>
          <w:color w:val="231F20"/>
        </w:rPr>
        <w:t xml:space="preserve"> </w:t>
      </w:r>
      <w:r>
        <w:rPr>
          <w:rFonts w:ascii="Arial" w:cs="Arial" w:eastAsia="Arial" w:hAnsi="Arial"/>
          <w:sz w:val="18"/>
          <w:szCs w:val="18"/>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investments and carried interest allocations under the equity method of accounting. We do not have any direct economic interests in the legacy Greenspring general partner entities and thus are not entitled to any carried interest allocation from certain legacy Greenspring funds. All of the carried interest allocations in respect of such legacy Greenspring funds are payable to employees who are considered affiliates of the Company and are therefore reflected as legacy Greenspring performance fee-related compensation in the condensed consolidated statements of income. Accordingly, legacy Greenspring carried interest allocations are not deemed to be within the scope of ASC 606.</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December 31, 2021 and March 31, 2021, no material amounts for potential clawback obligations had been accrued.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1"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awarded to employees as a form of long-term incentive compensation. Performance fee-related compensation is generally tied to the investment performance of the StepStone Funds. </w:t>
      </w:r>
      <w:r>
        <w:rPr>
          <w:rFonts w:ascii="Arial" w:cs="Arial" w:eastAsia="Arial" w:hAnsi="Arial"/>
          <w:sz w:val="18"/>
          <w:szCs w:val="18"/>
          <w:color w:val="231F20"/>
        </w:rPr>
        <w:t>Approximately 50% of carried interest allocation revenue is awarded to employees as part</w:t>
      </w:r>
      <w:r>
        <w:rPr>
          <w:rFonts w:ascii="Arial" w:cs="Arial" w:eastAsia="Arial" w:hAnsi="Arial"/>
          <w:sz w:val="18"/>
          <w:szCs w:val="18"/>
          <w:color w:val="auto"/>
        </w:rPr>
        <w:t xml:space="preserve"> </w:t>
      </w:r>
      <w:r>
        <w:rPr>
          <w:rFonts w:ascii="Arial" w:cs="Arial" w:eastAsia="Arial" w:hAnsi="Arial"/>
          <w:sz w:val="18"/>
          <w:szCs w:val="18"/>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i w:val="1"/>
          <w:iCs w:val="1"/>
          <w:color w:val="auto"/>
        </w:rPr>
        <w:t xml:space="preserve">Legacy Greenspring performance fee-related compensation </w:t>
      </w:r>
      <w:r>
        <w:rPr>
          <w:rFonts w:ascii="Arial" w:cs="Arial" w:eastAsia="Arial" w:hAnsi="Arial"/>
          <w:sz w:val="18"/>
          <w:szCs w:val="18"/>
          <w:color w:val="auto"/>
        </w:rPr>
        <w:t>represents the legacy Greenspring carried interest allocations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entirely payable to certain employees. Legacy Greenspring </w:t>
      </w:r>
      <w:r>
        <w:rPr>
          <w:rFonts w:ascii="Arial" w:cs="Arial" w:eastAsia="Arial" w:hAnsi="Arial"/>
          <w:sz w:val="18"/>
          <w:szCs w:val="18"/>
          <w:color w:val="231F20"/>
        </w:rPr>
        <w:t>carried interest-related compensation is accounted for as compensation expense in</w:t>
      </w:r>
      <w:r>
        <w:rPr>
          <w:rFonts w:ascii="Arial" w:cs="Arial" w:eastAsia="Arial" w:hAnsi="Arial"/>
          <w:sz w:val="18"/>
          <w:szCs w:val="18"/>
          <w:color w:val="auto"/>
        </w:rPr>
        <w:t xml:space="preserve"> </w:t>
      </w:r>
      <w:r>
        <w:rPr>
          <w:rFonts w:ascii="Arial" w:cs="Arial" w:eastAsia="Arial" w:hAnsi="Arial"/>
          <w:sz w:val="18"/>
          <w:szCs w:val="18"/>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65" w:lineRule="exact"/>
        <w:rPr>
          <w:sz w:val="20"/>
          <w:szCs w:val="20"/>
          <w:color w:val="auto"/>
        </w:rPr>
      </w:pPr>
    </w:p>
    <w:p>
      <w:pPr>
        <w:jc w:val="both"/>
        <w:ind w:right="780" w:firstLine="648"/>
        <w:spacing w:after="0" w:line="385"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includes occupancy, travel and related costs, insurance, legal and other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of intangible assets, system-related costs, and other general costs associated with operating our business.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i w:val="1"/>
          <w:iCs w:val="1"/>
          <w:color w:val="231F20"/>
        </w:rPr>
        <w:t xml:space="preserve">Investment income </w:t>
      </w:r>
      <w:r>
        <w:rPr>
          <w:rFonts w:ascii="Arial" w:cs="Arial" w:eastAsia="Arial" w:hAnsi="Arial"/>
          <w:sz w:val="20"/>
          <w:szCs w:val="20"/>
          <w:color w:val="231F20"/>
        </w:rPr>
        <w:t>primarily represents our share of earnings from the investments we make in our SMAs and focused commingled</w:t>
      </w:r>
      <w:r>
        <w:rPr>
          <w:rFonts w:ascii="Arial" w:cs="Arial" w:eastAsia="Arial" w:hAnsi="Arial"/>
          <w:sz w:val="20"/>
          <w:szCs w:val="20"/>
          <w:i w:val="1"/>
          <w:iCs w:val="1"/>
          <w:color w:val="231F20"/>
        </w:rPr>
        <w:t xml:space="preserve"> </w:t>
      </w:r>
      <w:r>
        <w:rPr>
          <w:rFonts w:ascii="Arial" w:cs="Arial" w:eastAsia="Arial" w:hAnsi="Arial"/>
          <w:sz w:val="20"/>
          <w:szCs w:val="20"/>
          <w:color w:val="231F20"/>
        </w:rPr>
        <w:t>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7"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1"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i w:val="1"/>
          <w:iCs w:val="1"/>
          <w:color w:val="231F20"/>
        </w:rPr>
        <w:t xml:space="preserve">Legacy Greenspring investment income </w:t>
      </w:r>
      <w:r>
        <w:rPr>
          <w:rFonts w:ascii="Arial" w:cs="Arial" w:eastAsia="Arial" w:hAnsi="Arial"/>
          <w:sz w:val="19"/>
          <w:szCs w:val="19"/>
          <w:color w:val="231F20"/>
        </w:rPr>
        <w:t>represents our share of earnings from the investments we make in certain legacy Greenspring</w:t>
      </w:r>
      <w:r>
        <w:rPr>
          <w:rFonts w:ascii="Arial" w:cs="Arial" w:eastAsia="Arial" w:hAnsi="Arial"/>
          <w:sz w:val="19"/>
          <w:szCs w:val="19"/>
          <w:i w:val="1"/>
          <w:iCs w:val="1"/>
          <w:color w:val="231F20"/>
        </w:rPr>
        <w:t xml:space="preserve"> </w:t>
      </w:r>
      <w:r>
        <w:rPr>
          <w:rFonts w:ascii="Arial" w:cs="Arial" w:eastAsia="Arial" w:hAnsi="Arial"/>
          <w:sz w:val="19"/>
          <w:szCs w:val="19"/>
          <w:color w:val="231F20"/>
        </w:rPr>
        <w:t>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and cash equivalents, restricted cash and certificates of deposit.</w:t>
      </w:r>
    </w:p>
    <w:p>
      <w:pPr>
        <w:spacing w:after="0" w:line="21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9"/>
          <w:szCs w:val="19"/>
          <w:i w:val="1"/>
          <w:iCs w:val="1"/>
          <w:color w:val="auto"/>
        </w:rPr>
        <w:t xml:space="preserve">Interest expense </w:t>
      </w:r>
      <w:r>
        <w:rPr>
          <w:rFonts w:ascii="Arial" w:cs="Arial" w:eastAsia="Arial" w:hAnsi="Arial"/>
          <w:sz w:val="19"/>
          <w:szCs w:val="19"/>
          <w:color w:val="auto"/>
        </w:rPr>
        <w:t>primarily consists of the interest expense on the Revolver and our previously outstanding term loan, as well as the</w:t>
      </w:r>
      <w:r>
        <w:rPr>
          <w:rFonts w:ascii="Arial" w:cs="Arial" w:eastAsia="Arial" w:hAnsi="Arial"/>
          <w:sz w:val="19"/>
          <w:szCs w:val="19"/>
          <w:i w:val="1"/>
          <w:iCs w:val="1"/>
          <w:color w:val="auto"/>
        </w:rPr>
        <w:t xml:space="preserve"> </w:t>
      </w:r>
      <w:r>
        <w:rPr>
          <w:rFonts w:ascii="Arial" w:cs="Arial" w:eastAsia="Arial" w:hAnsi="Arial"/>
          <w:sz w:val="19"/>
          <w:szCs w:val="19"/>
          <w:color w:val="auto"/>
        </w:rPr>
        <w:t>related amortization of deferred financing costs and amortization of original issue discount. The nine months ended December 31, 2020 includes a $3.5 million charge related to the write-off of unamortized debt issuance costs and discount in connection with the full repayment of our previously outstanding term loan in connection with the IPO in September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transaction gains and losses and non-operating activities.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231F20"/>
        </w:rPr>
        <w:t>We are a corporation for U.S. federal income tax purposes and therefore are subject to U.S. federal and state income taxes on our share of taxable income generated by the Partnership. Prior to the Reorganization and IPO, we operated as a partnership for U.S. federal income tax purposes and therefore were generally not subject to U.S. federal and state income taxes.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65"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91" w:lineRule="exact"/>
        <w:rPr>
          <w:sz w:val="20"/>
          <w:szCs w:val="20"/>
          <w:color w:val="auto"/>
        </w:rPr>
      </w:pPr>
    </w:p>
    <w:p>
      <w:pPr>
        <w:ind w:right="8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legacy Greenspring entities </w:t>
      </w:r>
      <w:r>
        <w:rPr>
          <w:rFonts w:ascii="Arial" w:cs="Arial" w:eastAsia="Arial" w:hAnsi="Arial"/>
          <w:sz w:val="18"/>
          <w:szCs w:val="18"/>
          <w:color w:val="auto"/>
        </w:rPr>
        <w:t>represent the economic interests in the legacy Greenspring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We did not acquire any direct economic interests in the legacy Greenspring general partner entities. As a result, all of the net income related to the legacy Greenspring general partner entities is allocated to non-controlling interests in legacy Greenspring entities.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1"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and Class C</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Key Operating Metrics</w:t>
      </w:r>
    </w:p>
    <w:p>
      <w:pPr>
        <w:spacing w:after="0" w:line="22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91"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December 31, 2021 reflects final data for the prior period (September 30, 2021), adjusted for net new client account activity through December 31, 2021. NAV data for underlying investments is as of September 30, 2021, as reported by underlying managers up to 100 days following September 30, 2021. When NAV data is not available by 100 days following September 30, 2021, such NAVs are adjusted for cash activity following the last available reported NAV.</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Our AUA is calculated as the sum of (i) the NAV of client portfolio assets for which we do not have full discretion and (ii)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31F20"/>
        </w:rPr>
        <w:t>unfunded commitments of clients to the underlying investments. Our AUA reflects the investment valuations in respect of the underlying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investments of our client accounts on a three-month lag, adjusted for new client account activity through the period end. Our AUA does not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231F20"/>
        </w:rPr>
        <w:t>include post-period investment valuation or cash activity. AUA as of December 31, 2021 reflects final data for the prior period</w:t>
      </w:r>
    </w:p>
    <w:p>
      <w:pPr>
        <w:spacing w:after="0"/>
        <w:rPr>
          <w:sz w:val="20"/>
          <w:szCs w:val="20"/>
          <w:color w:val="auto"/>
        </w:rPr>
      </w:pPr>
      <w:r>
        <w:rPr>
          <w:rFonts w:ascii="Arial" w:cs="Arial" w:eastAsia="Arial" w:hAnsi="Arial"/>
          <w:sz w:val="18"/>
          <w:szCs w:val="18"/>
          <w:color w:val="231F20"/>
        </w:rPr>
        <w:t>(September 30, 2021), adjusted for net new client account activity through December 31, 2021. NAV data for underlying investments is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September 30, 2021, as reported by underlying managers up to 100 days following September 30, 2021. When NAV data is not available by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231F20"/>
        </w:rPr>
        <w:t>100 days following September 30, 2021, such NAVs are adjusted for cash activity following the last available reported NAV.</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4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Beginning in the quarter ended March 31, 2021, we modified our AUA computation to include, with respect to our advisory clients, the portion of their portfolio assets for which we do not directly provide recommendations, monitoring and/or reporting services. Prior period amounts have not been recast for this change because comparable historical data does not exist. The change resulted in an increase to AUA of approximately $70 billion for the quarter ended March 31, 2021.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65"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231F20"/>
        </w:rPr>
        <w:t>Our calculation of FEAUM may differ from the calculations of other asset managers and, as a result, may not be comparable to similar measures presented by other asset managers.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but will generate management fee revenue once this capital is invested or activated.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Key Non-GAAP Financial Measures</w:t>
      </w:r>
    </w:p>
    <w:p>
      <w:pPr>
        <w:spacing w:after="0" w:line="222" w:lineRule="exact"/>
        <w:rPr>
          <w:sz w:val="20"/>
          <w:szCs w:val="20"/>
          <w:color w:val="auto"/>
        </w:rPr>
      </w:pPr>
    </w:p>
    <w:p>
      <w:pPr>
        <w:ind w:right="180" w:firstLine="648"/>
        <w:spacing w:after="0" w:line="316"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231F20"/>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(d) amortization of intangibles and (e) certain other items that we believe are not indicative of our core operating performance, including charges associated with acquisitions and corporate transactions, contract terminations and employee severance. ANI does not reflect legacy Greenspring carried interest allocation revenues, legacy Greenspring carried interest-related compensation and legacy Greenspring investment income as none of the economics are attributable to us. ANI is income before taxes fully taxed at our blended statutory rate. We believe ANI and adjusted revenues are useful to investors because they enable investors to evaluate the performance of our business across reporting periods.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231F20"/>
        </w:rPr>
        <w:t>Fee-related earnings (“FRE”)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for awards granted prior to and in connection with our IPO,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ANI per share measures our per-share earnings assuming all Class B units and Class C units in the Partnership are exchanged for Class A common stock in SSG, including the dilutive impact of outstanding equity-based awards. ANI per share is calculated as ANI divided by adjusted shares outstanding. We believe ANI per share is useful to investors because it enables them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2" w:lineRule="exact"/>
        <w:rPr>
          <w:sz w:val="20"/>
          <w:szCs w:val="20"/>
          <w:color w:val="auto"/>
        </w:rPr>
      </w:pPr>
    </w:p>
    <w:p>
      <w:pPr>
        <w:ind w:right="580" w:firstLine="648"/>
        <w:spacing w:after="0" w:line="316" w:lineRule="auto"/>
        <w:rPr>
          <w:sz w:val="20"/>
          <w:szCs w:val="20"/>
          <w:color w:val="auto"/>
        </w:rPr>
      </w:pPr>
      <w:r>
        <w:rPr>
          <w:rFonts w:ascii="Arial" w:cs="Arial" w:eastAsia="Arial" w:hAnsi="Arial"/>
          <w:sz w:val="18"/>
          <w:szCs w:val="18"/>
          <w:color w:val="auto"/>
        </w:rPr>
        <w:t>The following is a discussion of our unaudited consolidated results of operations for the periods presented. This information is derived from our accompanying condensed consolidated financial statements prepared in accordance with GAAP.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220" w:type="dxa"/>
            <w:vAlign w:val="bottom"/>
          </w:tcPr>
          <w:p>
            <w:pPr>
              <w:spacing w:after="0"/>
              <w:rPr>
                <w:sz w:val="16"/>
                <w:szCs w:val="16"/>
                <w:color w:val="auto"/>
              </w:rPr>
            </w:pPr>
          </w:p>
        </w:tc>
        <w:tc>
          <w:tcPr>
            <w:tcW w:w="25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w w:val="97"/>
              </w:rPr>
              <w:t>Nine Months Ended December 31,</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106,384</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70,093</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268,028</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209,245</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360"/>
              <w:spacing w:after="0"/>
              <w:rPr>
                <w:sz w:val="20"/>
                <w:szCs w:val="20"/>
                <w:color w:val="auto"/>
              </w:rPr>
            </w:pPr>
            <w:r>
              <w:rPr>
                <w:rFonts w:ascii="Arial" w:cs="Arial" w:eastAsia="Arial" w:hAnsi="Arial"/>
                <w:sz w:val="14"/>
                <w:szCs w:val="14"/>
                <w:color w:val="auto"/>
              </w:rPr>
              <w:t>Incentive fees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5,098</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Carried interest allocations: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720"/>
              <w:spacing w:after="0"/>
              <w:rPr>
                <w:sz w:val="20"/>
                <w:szCs w:val="20"/>
                <w:color w:val="auto"/>
              </w:rPr>
            </w:pPr>
            <w:r>
              <w:rPr>
                <w:rFonts w:ascii="Arial" w:cs="Arial" w:eastAsia="Arial" w:hAnsi="Arial"/>
                <w:sz w:val="14"/>
                <w:szCs w:val="14"/>
                <w:color w:val="auto"/>
              </w:rPr>
              <w:t>Realized</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66,559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26,063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169,053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38,257</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132,535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150,681</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452,789</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176,050</w:t>
            </w:r>
          </w:p>
        </w:tc>
        <w:tc>
          <w:tcPr>
            <w:tcW w:w="0" w:type="dxa"/>
            <w:vAlign w:val="bottom"/>
          </w:tcPr>
          <w:p>
            <w:pPr>
              <w:spacing w:after="0"/>
              <w:rPr>
                <w:sz w:val="1"/>
                <w:szCs w:val="1"/>
                <w:color w:val="auto"/>
              </w:rPr>
            </w:pPr>
          </w:p>
        </w:tc>
      </w:tr>
      <w:tr>
        <w:trPr>
          <w:trHeight w:val="179"/>
        </w:trPr>
        <w:tc>
          <w:tcPr>
            <w:tcW w:w="5380" w:type="dxa"/>
            <w:vAlign w:val="bottom"/>
          </w:tcPr>
          <w:p>
            <w:pPr>
              <w:ind w:left="360"/>
              <w:spacing w:after="0"/>
              <w:rPr>
                <w:sz w:val="20"/>
                <w:szCs w:val="20"/>
                <w:color w:val="auto"/>
              </w:rPr>
            </w:pPr>
            <w:r>
              <w:rPr>
                <w:rFonts w:ascii="Arial" w:cs="Arial" w:eastAsia="Arial" w:hAnsi="Arial"/>
                <w:sz w:val="14"/>
                <w:szCs w:val="14"/>
                <w:color w:val="auto"/>
              </w:rPr>
              <w:t>Total carried interest allocations</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199,094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176,744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621,842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214,307</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104,960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revenues</w:t>
            </w: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410,465</w:t>
            </w:r>
          </w:p>
        </w:tc>
        <w:tc>
          <w:tcPr>
            <w:tcW w:w="2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247,150</w:t>
            </w: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1,000,835</w:t>
            </w:r>
          </w:p>
        </w:tc>
        <w:tc>
          <w:tcPr>
            <w:tcW w:w="2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428,650</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Cash-based compensation</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51,665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36,732</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138,217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113,858</w:t>
            </w:r>
          </w:p>
        </w:tc>
        <w:tc>
          <w:tcPr>
            <w:tcW w:w="0" w:type="dxa"/>
            <w:vAlign w:val="bottom"/>
          </w:tcPr>
          <w:p>
            <w:pPr>
              <w:spacing w:after="0"/>
              <w:rPr>
                <w:sz w:val="1"/>
                <w:szCs w:val="1"/>
                <w:color w:val="auto"/>
              </w:rPr>
            </w:pPr>
          </w:p>
        </w:tc>
      </w:tr>
      <w:tr>
        <w:trPr>
          <w:trHeight w:val="186"/>
        </w:trPr>
        <w:tc>
          <w:tcPr>
            <w:tcW w:w="5380" w:type="dxa"/>
            <w:vAlign w:val="bottom"/>
          </w:tcPr>
          <w:p>
            <w:pPr>
              <w:ind w:left="400"/>
              <w:spacing w:after="0"/>
              <w:rPr>
                <w:sz w:val="20"/>
                <w:szCs w:val="20"/>
                <w:color w:val="auto"/>
              </w:rPr>
            </w:pPr>
            <w:r>
              <w:rPr>
                <w:rFonts w:ascii="Arial" w:cs="Arial" w:eastAsia="Arial" w:hAnsi="Arial"/>
                <w:sz w:val="14"/>
                <w:szCs w:val="14"/>
                <w:color w:val="auto"/>
              </w:rPr>
              <w:t>Equity-based compensation</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3,407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3,206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10,363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4,641</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Performance fee-related compensation:</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780"/>
              <w:spacing w:after="0"/>
              <w:rPr>
                <w:sz w:val="20"/>
                <w:szCs w:val="20"/>
                <w:color w:val="auto"/>
              </w:rPr>
            </w:pPr>
            <w:r>
              <w:rPr>
                <w:rFonts w:ascii="Arial" w:cs="Arial" w:eastAsia="Arial" w:hAnsi="Arial"/>
                <w:sz w:val="14"/>
                <w:szCs w:val="14"/>
                <w:color w:val="auto"/>
              </w:rPr>
              <w:t>Realized</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34,033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10,241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86,122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17,952</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Unrealized</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68,368</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73,629</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228,146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83,487</w:t>
            </w:r>
          </w:p>
        </w:tc>
        <w:tc>
          <w:tcPr>
            <w:tcW w:w="0" w:type="dxa"/>
            <w:vAlign w:val="bottom"/>
          </w:tcPr>
          <w:p>
            <w:pPr>
              <w:spacing w:after="0"/>
              <w:rPr>
                <w:sz w:val="1"/>
                <w:szCs w:val="1"/>
                <w:color w:val="auto"/>
              </w:rPr>
            </w:pPr>
          </w:p>
        </w:tc>
      </w:tr>
      <w:tr>
        <w:trPr>
          <w:trHeight w:val="179"/>
        </w:trPr>
        <w:tc>
          <w:tcPr>
            <w:tcW w:w="5380" w:type="dxa"/>
            <w:vAlign w:val="bottom"/>
          </w:tcPr>
          <w:p>
            <w:pPr>
              <w:ind w:left="400"/>
              <w:spacing w:after="0"/>
              <w:rPr>
                <w:sz w:val="20"/>
                <w:szCs w:val="20"/>
                <w:color w:val="auto"/>
              </w:rPr>
            </w:pPr>
            <w:r>
              <w:rPr>
                <w:rFonts w:ascii="Arial" w:cs="Arial" w:eastAsia="Arial" w:hAnsi="Arial"/>
                <w:sz w:val="14"/>
                <w:szCs w:val="14"/>
                <w:color w:val="auto"/>
              </w:rPr>
              <w:t>Total performance fee-related compensation</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102,401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83,870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314,268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101,439</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400"/>
              <w:spacing w:after="0" w:line="193"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104,960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380" w:type="dxa"/>
            <w:vAlign w:val="bottom"/>
          </w:tcPr>
          <w:p>
            <w:pPr>
              <w:ind w:left="20"/>
              <w:spacing w:after="0"/>
              <w:rPr>
                <w:sz w:val="20"/>
                <w:szCs w:val="20"/>
                <w:color w:val="auto"/>
              </w:rPr>
            </w:pPr>
            <w:r>
              <w:rPr>
                <w:rFonts w:ascii="Arial" w:cs="Arial" w:eastAsia="Arial" w:hAnsi="Arial"/>
                <w:sz w:val="14"/>
                <w:szCs w:val="14"/>
                <w:color w:val="auto"/>
              </w:rPr>
              <w:t>Total compensation and benefits</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262,433</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123,808</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567,808</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219,938</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30,299</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12,624</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72,049</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34,487</w:t>
            </w:r>
          </w:p>
        </w:tc>
        <w:tc>
          <w:tcPr>
            <w:tcW w:w="0" w:type="dxa"/>
            <w:vAlign w:val="bottom"/>
          </w:tcPr>
          <w:p>
            <w:pPr>
              <w:spacing w:after="0"/>
              <w:rPr>
                <w:sz w:val="1"/>
                <w:szCs w:val="1"/>
                <w:color w:val="auto"/>
              </w:rPr>
            </w:pPr>
          </w:p>
        </w:tc>
      </w:tr>
      <w:tr>
        <w:trPr>
          <w:trHeight w:val="179"/>
        </w:trPr>
        <w:tc>
          <w:tcPr>
            <w:tcW w:w="53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292,732</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136,432</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639,857</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254,425</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7,230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5,361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20,841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6,508</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Legacy Greenspring investment income</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17,890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3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(7,353)</w:t>
            </w:r>
          </w:p>
        </w:tc>
        <w:tc>
          <w:tcPr>
            <w:tcW w:w="0" w:type="dxa"/>
            <w:vAlign w:val="bottom"/>
          </w:tcPr>
          <w:p>
            <w:pPr>
              <w:spacing w:after="0"/>
              <w:rPr>
                <w:sz w:val="1"/>
                <w:szCs w:val="1"/>
                <w:color w:val="auto"/>
              </w:rPr>
            </w:pPr>
          </w:p>
        </w:tc>
      </w:tr>
      <w:tr>
        <w:trPr>
          <w:trHeight w:val="186"/>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(loss)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86"/>
        </w:trPr>
        <w:tc>
          <w:tcPr>
            <w:tcW w:w="5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other income</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24,347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6,217</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35,761</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79"/>
        </w:trPr>
        <w:tc>
          <w:tcPr>
            <w:tcW w:w="5380" w:type="dxa"/>
            <w:vAlign w:val="bottom"/>
          </w:tcPr>
          <w:p>
            <w:pPr>
              <w:ind w:left="20"/>
              <w:spacing w:after="0"/>
              <w:rPr>
                <w:sz w:val="20"/>
                <w:szCs w:val="20"/>
                <w:color w:val="auto"/>
              </w:rPr>
            </w:pPr>
            <w:r>
              <w:rPr>
                <w:rFonts w:ascii="Arial" w:cs="Arial" w:eastAsia="Arial" w:hAnsi="Arial"/>
                <w:sz w:val="14"/>
                <w:szCs w:val="14"/>
                <w:color w:val="auto"/>
              </w:rPr>
              <w:t>Income before income tax</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142,080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116,935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396,739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174,983</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15,787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9,546</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11,585</w:t>
            </w:r>
          </w:p>
        </w:tc>
        <w:tc>
          <w:tcPr>
            <w:tcW w:w="0" w:type="dxa"/>
            <w:vAlign w:val="bottom"/>
          </w:tcPr>
          <w:p>
            <w:pPr>
              <w:spacing w:after="0"/>
              <w:rPr>
                <w:sz w:val="1"/>
                <w:szCs w:val="1"/>
                <w:color w:val="auto"/>
              </w:rPr>
            </w:pPr>
          </w:p>
        </w:tc>
      </w:tr>
      <w:tr>
        <w:trPr>
          <w:trHeight w:val="179"/>
        </w:trPr>
        <w:tc>
          <w:tcPr>
            <w:tcW w:w="5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126,293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107,389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380,674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163,398</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7,091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18,634</w:t>
            </w:r>
          </w:p>
        </w:tc>
        <w:tc>
          <w:tcPr>
            <w:tcW w:w="0" w:type="dxa"/>
            <w:vAlign w:val="bottom"/>
          </w:tcPr>
          <w:p>
            <w:pPr>
              <w:spacing w:after="0"/>
              <w:rPr>
                <w:sz w:val="1"/>
                <w:szCs w:val="1"/>
                <w:color w:val="auto"/>
              </w:rPr>
            </w:pPr>
          </w:p>
        </w:tc>
      </w:tr>
      <w:tr>
        <w:trPr>
          <w:trHeight w:val="135"/>
        </w:trPr>
        <w:tc>
          <w:tcPr>
            <w:tcW w:w="5380" w:type="dxa"/>
            <w:vAlign w:val="bottom"/>
          </w:tcPr>
          <w:p>
            <w:pPr>
              <w:ind w:left="400"/>
              <w:spacing w:after="0" w:line="135" w:lineRule="exact"/>
              <w:rPr>
                <w:sz w:val="20"/>
                <w:szCs w:val="20"/>
                <w:color w:val="auto"/>
              </w:rPr>
            </w:pPr>
            <w:r>
              <w:rPr>
                <w:rFonts w:ascii="Arial" w:cs="Arial" w:eastAsia="Arial" w:hAnsi="Arial"/>
                <w:sz w:val="14"/>
                <w:szCs w:val="14"/>
                <w:color w:val="auto"/>
              </w:rPr>
              <w:t>Less: Net income attributable to non-controlling interests in legacy Greenspring</w:t>
            </w:r>
          </w:p>
        </w:tc>
        <w:tc>
          <w:tcPr>
            <w:tcW w:w="220" w:type="dxa"/>
            <w:vAlign w:val="bottom"/>
          </w:tcPr>
          <w:p>
            <w:pPr>
              <w:spacing w:after="0"/>
              <w:rPr>
                <w:sz w:val="11"/>
                <w:szCs w:val="11"/>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17,890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17,890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380" w:type="dxa"/>
            <w:vAlign w:val="bottom"/>
          </w:tcPr>
          <w:p>
            <w:pPr>
              <w:ind w:left="780"/>
              <w:spacing w:after="0" w:line="189" w:lineRule="exact"/>
              <w:rPr>
                <w:sz w:val="20"/>
                <w:szCs w:val="20"/>
                <w:color w:val="auto"/>
              </w:rPr>
            </w:pPr>
            <w:r>
              <w:rPr>
                <w:rFonts w:ascii="Arial" w:cs="Arial" w:eastAsia="Arial" w:hAnsi="Arial"/>
                <w:sz w:val="14"/>
                <w:szCs w:val="14"/>
                <w:color w:val="auto"/>
              </w:rPr>
              <w:t>entities</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the Partnership</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52,966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76,315</w:t>
            </w: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191,977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119,976</w:t>
            </w:r>
          </w:p>
        </w:tc>
        <w:tc>
          <w:tcPr>
            <w:tcW w:w="0" w:type="dxa"/>
            <w:vAlign w:val="bottom"/>
          </w:tcPr>
          <w:p>
            <w:pPr>
              <w:spacing w:after="0"/>
              <w:rPr>
                <w:sz w:val="1"/>
                <w:szCs w:val="1"/>
                <w:color w:val="auto"/>
              </w:rPr>
            </w:pPr>
          </w:p>
        </w:tc>
      </w:tr>
      <w:tr>
        <w:trPr>
          <w:trHeight w:val="186"/>
        </w:trPr>
        <w:tc>
          <w:tcPr>
            <w:tcW w:w="5380" w:type="dxa"/>
            <w:vAlign w:val="bottom"/>
          </w:tcPr>
          <w:p>
            <w:pPr>
              <w:ind w:left="20"/>
              <w:spacing w:after="0"/>
              <w:rPr>
                <w:sz w:val="20"/>
                <w:szCs w:val="20"/>
                <w:color w:val="auto"/>
              </w:rPr>
            </w:pPr>
            <w:r>
              <w:rPr>
                <w:rFonts w:ascii="Arial" w:cs="Arial" w:eastAsia="Arial" w:hAnsi="Arial"/>
                <w:sz w:val="14"/>
                <w:szCs w:val="14"/>
                <w:color w:val="auto"/>
              </w:rPr>
              <w:t>Net income attributable to StepStone Group Inc.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48,346</w:t>
            </w:r>
          </w:p>
        </w:tc>
        <w:tc>
          <w:tcPr>
            <w:tcW w:w="2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25,578</w:t>
            </w:r>
          </w:p>
        </w:tc>
        <w:tc>
          <w:tcPr>
            <w:tcW w:w="2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152,070</w:t>
            </w:r>
          </w:p>
        </w:tc>
        <w:tc>
          <w:tcPr>
            <w:tcW w:w="24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24,788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1" w:lineRule="exact"/>
        <w:rPr>
          <w:sz w:val="20"/>
          <w:szCs w:val="20"/>
          <w:color w:val="auto"/>
        </w:rPr>
      </w:pPr>
    </w:p>
    <w:p>
      <w:pPr>
        <w:ind w:left="660" w:right="640" w:hanging="652"/>
        <w:spacing w:after="0" w:line="255" w:lineRule="auto"/>
        <w:tabs>
          <w:tab w:leader="none" w:pos="652"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we did not acquire any direct economic interests. See notes 3, 5 and 14 to our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2021 Compared to Three Months Ended December 31, 2020</w:t>
      </w:r>
    </w:p>
    <w:p>
      <w:pPr>
        <w:spacing w:after="0" w:line="216"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Total revenues increased $163.3 million, or 66%, to $410.5 million for the three months ended December 31, 2021 as compared to the three months ended December 31, 2020, due to the inclusion of legacy Greenspring carried interest allocations in the current year as well as higher carried interest allocations and net management and advisory fees.</w:t>
      </w:r>
    </w:p>
    <w:p>
      <w:pPr>
        <w:spacing w:after="0" w:line="186" w:lineRule="exact"/>
        <w:rPr>
          <w:sz w:val="20"/>
          <w:szCs w:val="20"/>
          <w:color w:val="auto"/>
        </w:rPr>
      </w:pPr>
    </w:p>
    <w:p>
      <w:pPr>
        <w:ind w:right="80" w:firstLine="648"/>
        <w:spacing w:after="0" w:line="260" w:lineRule="auto"/>
        <w:rPr>
          <w:sz w:val="20"/>
          <w:szCs w:val="20"/>
          <w:color w:val="auto"/>
        </w:rPr>
      </w:pPr>
      <w:r>
        <w:rPr>
          <w:rFonts w:ascii="Arial" w:cs="Arial" w:eastAsia="Arial" w:hAnsi="Arial"/>
          <w:sz w:val="19"/>
          <w:szCs w:val="19"/>
          <w:color w:val="auto"/>
        </w:rPr>
        <w:t>Net management and advisory fees increased $36.3 million, or 52%, to $106.4 million for the three months ended December 31, 2021 as compared to the three months ended December 31, 2020. The increase was driven by new client activity and a 52% growth in average FEAUM (or 27% excluding the impact of Greenspring) across the platform, as well as retroactive fees of $1.2 million from the final closing for StepStone Tactical Growth Fund III (“STGF III”) and additional closings of StepStone’s private equity co-investment fund. For new investors, fees relating to periods prior to the closing date are considered retroactive.</w:t>
      </w:r>
    </w:p>
    <w:p>
      <w:pPr>
        <w:spacing w:after="0" w:line="180"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Incentive fees decreased $0.3 million, or 91%, to $27 thousand for the three months ended December 31, 2021 as compared to the three months ended December 31, 2020.</w:t>
      </w:r>
    </w:p>
    <w:p>
      <w:pPr>
        <w:spacing w:after="0" w:line="177"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Realized carried interest allocation revenues increased $40.5 million, or 155%, to $66.6 million for the three months ended December 31, 2021 as compared to the three months ended December 31, 2020, reflecting higher realization activity within our private equity funds. Unrealized carried interest allocation revenues include the reversal of realized carried interest allocation revenues. Excluding the reversal, unrealized carried interest allocation revenues increased $22.4 million, or 13%, to $199.1 million for the three months ended December 31, 2021 as compared to the three months ended December 31, 2020. The increase in unrealized carried interest allocations for the three months ended December 31, 2021 primarily reflected a larger increase in the cumulative allocation of gains associated with the underlying portfolios within our private equity funds.</w:t>
      </w:r>
    </w:p>
    <w:p>
      <w:pPr>
        <w:spacing w:after="0" w:line="193" w:lineRule="exact"/>
        <w:rPr>
          <w:sz w:val="20"/>
          <w:szCs w:val="20"/>
          <w:color w:val="auto"/>
        </w:rPr>
      </w:pPr>
    </w:p>
    <w:p>
      <w:pPr>
        <w:jc w:val="both"/>
        <w:ind w:right="300" w:firstLine="648"/>
        <w:spacing w:after="0" w:line="250" w:lineRule="auto"/>
        <w:rPr>
          <w:sz w:val="20"/>
          <w:szCs w:val="20"/>
          <w:color w:val="auto"/>
        </w:rPr>
      </w:pPr>
      <w:r>
        <w:rPr>
          <w:rFonts w:ascii="Arial" w:cs="Arial" w:eastAsia="Arial" w:hAnsi="Arial"/>
          <w:sz w:val="20"/>
          <w:szCs w:val="20"/>
          <w:color w:val="auto"/>
        </w:rPr>
        <w:t>Legacy Greenspring carried interest allocation revenues of $105.0 million for the three months ended December 31, 2021 reflect gross realized carried interest allocations of $24.6 million and unrealized carried interest allocations, net of the reversal of realized carried interest allocations, of $80.4 million.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2021 Compared to Nine Months Ended December 31, 2020</w:t>
      </w:r>
    </w:p>
    <w:p>
      <w:pPr>
        <w:spacing w:after="0" w:line="216"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Total revenues increased $572.2 million, or 133%, to $1,000.8 million for the nine months ended December 31, 2021 as compared to the nine months ended December 31, 2020, due to higher carried interest allocations, net management and advisory fees and incentive fees and the inclusion of legacy Greenspring carried interest allocations in the current year.</w:t>
      </w:r>
    </w:p>
    <w:p>
      <w:pPr>
        <w:spacing w:after="0" w:line="186"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Net management and advisory fees increased $58.8 million, or 28%, to $268.0 million for the nine months ended December 31, 2021 as compared to the nine months ended December 31, 2020. The increase was driven by new client activity and a 34% growth in average FEAUM (or 27% excluding the impact of Greenspring) across the platform, as well as retroactive fees of $4.3 million from the final closing for STGF III and additional closings of StepStone’s private equity co-investment fund. The prior year period included $9.0 million of retroactive fees from the final closing of StepStone Real Estate Partners IV. For new investors, fees relating to periods prior to the closing date are considered retroactive.</w:t>
      </w:r>
    </w:p>
    <w:p>
      <w:pPr>
        <w:spacing w:after="0" w:line="196"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Incentive fees increased $0.9 million, or 18%, to $6.0 million for the nine months ended December 31, 2021 as compared to the nine months ended December 31,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41"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Realized carried interest allocation revenues increased $130.8 million, or 342%, to $169.1 million for the nine months ended December 31, 2021 as compared to the nine months ended December 31, 2020, reflecting higher realization activity within our private equity funds. Unrealized carried interest allocation revenues include the reversal of realized carried interest allocation revenues. Excluding the reversal, unrealized carried interest allocation revenues increased $407.5 million, or 190%, to $621.8 million for the nine months ended December 31, 2021 as compared to the nine months ended December 31, 2020. The increase in unrealized carried interest allocations for the nine months ended December 31, 2021 primarily reflected a larger increase in the cumulative allocation of gains associated with the underlying portfolios within our private equity funds.</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For fiscal 2021, our investments in StepStone Funds and accrued carried interest allocations initially experienced a decline during the first three months, primarily reflecting the unrealized depreciation in the fair value of certain underlying fund investments driven by the impact of COVID-19, and have subsequently seen a significant increase, reflecting the unrealized appreciation in the fair value of certain underlying fund investments primarily driven by the continued recovery in global financial markets.</w:t>
      </w:r>
    </w:p>
    <w:p>
      <w:pPr>
        <w:spacing w:after="0" w:line="176" w:lineRule="exact"/>
        <w:rPr>
          <w:sz w:val="20"/>
          <w:szCs w:val="20"/>
          <w:color w:val="auto"/>
        </w:rPr>
      </w:pPr>
    </w:p>
    <w:p>
      <w:pPr>
        <w:ind w:right="300" w:firstLine="648"/>
        <w:spacing w:after="0" w:line="269" w:lineRule="auto"/>
        <w:rPr>
          <w:sz w:val="20"/>
          <w:szCs w:val="20"/>
          <w:color w:val="auto"/>
        </w:rPr>
      </w:pPr>
      <w:r>
        <w:rPr>
          <w:rFonts w:ascii="Arial" w:cs="Arial" w:eastAsia="Arial" w:hAnsi="Arial"/>
          <w:sz w:val="19"/>
          <w:szCs w:val="19"/>
          <w:color w:val="auto"/>
        </w:rPr>
        <w:t>Legacy Greenspring carried interest allocation revenues of $105.0 million for the nine months ended December 31, 2021 reflect gross realized carried interest allocations of $27.6 million and unrealized carried interest allocations, net of the reversal of realized carried interest allocations, of $77.3 million for the period from September 20, 2021 to December 31, 2021.</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2021 Compared to Three Months Ended December 31, 2020</w:t>
      </w:r>
    </w:p>
    <w:p>
      <w:pPr>
        <w:spacing w:after="0" w:line="216"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20"/>
          <w:szCs w:val="20"/>
          <w:color w:val="auto"/>
        </w:rPr>
        <w:t>Total expenses increased $156.3 million, or 115%, to $292.7 million for the three months ended December 31, 2021 as compared to the three months ended December 31, 2020, due to the inclusion of legacy Greenspring performance fee-related compensation in the current year as well as increases in performance fee-related compensation, general, administrative and other expenses, cash-based compensation and equity-based compensation.</w:t>
      </w:r>
    </w:p>
    <w:p>
      <w:pPr>
        <w:spacing w:after="0" w:line="191" w:lineRule="exact"/>
        <w:rPr>
          <w:sz w:val="20"/>
          <w:szCs w:val="20"/>
          <w:color w:val="auto"/>
        </w:rPr>
      </w:pPr>
    </w:p>
    <w:p>
      <w:pPr>
        <w:ind w:right="20" w:firstLine="648"/>
        <w:spacing w:after="0" w:line="291" w:lineRule="auto"/>
        <w:rPr>
          <w:sz w:val="20"/>
          <w:szCs w:val="20"/>
          <w:color w:val="auto"/>
        </w:rPr>
      </w:pPr>
      <w:r>
        <w:rPr>
          <w:rFonts w:ascii="Arial" w:cs="Arial" w:eastAsia="Arial" w:hAnsi="Arial"/>
          <w:sz w:val="18"/>
          <w:szCs w:val="18"/>
          <w:color w:val="auto"/>
        </w:rPr>
        <w:t>Cash-based compensation increased $14.9 million, or 41%, to $51.7 million for the three months ended December 31, 2021 as compared to the three months ended December 31, 2020, due to increased staffing and compensation levels. Our average full-time headcount increased 33% (or 10% excluding the impact of Greenspring) in the current year period as compared to the prior year period.</w:t>
      </w:r>
    </w:p>
    <w:p>
      <w:pPr>
        <w:spacing w:after="0" w:line="15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Equity-based compensation increased $0.2 million, or 6%, to $3.4 million for the three months ended December 31, 2021 as compared to the three months ended December 31, 2020. The increase was attributable to additional grants of restricted stock units (“RSUs”) made to certain employees and directors since our IPO in September 2020.</w:t>
      </w:r>
    </w:p>
    <w:p>
      <w:pPr>
        <w:spacing w:after="0" w:line="18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Performance fee-related compensation expense increased $18.5 million, or 22%, to $102.4 million for the three months ended December 31, 2021 as compared to the three months ended December 31, 2020, primarily reflecting the increase in carried interest allocation revenue. Realized performance fee-related compensation increased $23.8 million, or 232%, to $34.0 million for the three months ended December 31, 2021 as compared to the three months ended December 31, 2020, primarily reflecting higher realization activity.</w:t>
      </w:r>
    </w:p>
    <w:p>
      <w:pPr>
        <w:spacing w:after="0" w:line="161" w:lineRule="exact"/>
        <w:rPr>
          <w:sz w:val="20"/>
          <w:szCs w:val="20"/>
          <w:color w:val="auto"/>
        </w:rPr>
      </w:pPr>
    </w:p>
    <w:p>
      <w:pPr>
        <w:ind w:right="420" w:firstLine="648"/>
        <w:spacing w:after="0" w:line="291" w:lineRule="auto"/>
        <w:rPr>
          <w:sz w:val="20"/>
          <w:szCs w:val="20"/>
          <w:color w:val="auto"/>
        </w:rPr>
      </w:pPr>
      <w:r>
        <w:rPr>
          <w:rFonts w:ascii="Arial" w:cs="Arial" w:eastAsia="Arial" w:hAnsi="Arial"/>
          <w:sz w:val="18"/>
          <w:szCs w:val="18"/>
          <w:color w:val="auto"/>
        </w:rPr>
        <w:t>Legacy Greenspring performance fee-related compensation expense of $105.0 million for the three months ended December 31, 2021 reflects gross realized performance fee-related compensation expense of $24.6 million and unrealized performance fee-related compensation expense, net of the reversal of realized performance fee-related compensation expense, of $80.4 million.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41"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General, administrative and other expenses increased $17.7 million, or 140%, to $30.3 million for the three months ended December 31, 2021 as compared to the three months ended December 31, 2020. The increase primarily reflected $10.1 million in amortization expense for intangibles, $1.6 million of travel and associated costs for investment evaluation and client service, $1.2 million in information and technology expenses, $1.2 million in loss on change in fair value for contingent consideration obligation, $0.8 million in professional fees, $0.7 million in occupancy costs and other general operating expenses. We anticipate travel and other expenses will continue to increase up to pre-pandemic levels as the COVID-19 situation improves, and that costs associated with being a public company will continue to be reflected in our expenses going forward.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2021 Compared to Nine Months Ended December 31, 2020</w:t>
      </w:r>
    </w:p>
    <w:p>
      <w:pPr>
        <w:spacing w:after="0" w:line="216"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Total expenses increased $385.4 million, or 151%, to $639.9 million for the nine months ended December 31, 2021 as compared to the nine months ended December 31, 2020, reflecting increases in performance fee-related compensation, equity-based compensation, cash-based compensation, general, administrative and other expenses and the inclusion of legacy Greenspring performance fee-related compensation in the current year.</w:t>
      </w:r>
    </w:p>
    <w:p>
      <w:pPr>
        <w:spacing w:after="0" w:line="19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8"/>
          <w:szCs w:val="18"/>
          <w:color w:val="auto"/>
        </w:rPr>
        <w:t>Cash-based compensation increased $24.4 million, or 21%, to $138.2 million for the nine months ended December 31, 2021 as compared to the nine months ended December 31, 2020, due to increased staffing and compensation levels. Our average full-time headcount increased 18% (or 11% excluding the impact of Greenspring) in the current year period as compared to the prior year period.</w:t>
      </w:r>
    </w:p>
    <w:p>
      <w:pPr>
        <w:spacing w:after="0" w:line="152"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Equity-based compensation increased $5.7 million, or 123%, to $10.4 million for the nine months ended December 31, 2021 as compared to the nine months ended December 31, 2020. The increase was attributable to the grant of RSUs made to certain employees and directors in connection with our IPO in September 2020. As such grants were not outstanding for the period prior to the IPO, this resulted in lower expense in the prior year period.</w:t>
      </w:r>
    </w:p>
    <w:p>
      <w:pPr>
        <w:spacing w:after="0" w:line="19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Performance fee-related compensation expense increased $212.8 million, or 210%, to $314.3 million for the nine months ended December 31, 2021 as compared to the nine months ended December 31, 2020, primarily reflecting the increase in carried interest allocation revenue. Realized performance fee-related compensation increased $68.2 million, or 380%, to $86.1 million for the nine months ended December 31, 2021 as compared to the nine months ended December 31, 2020, primarily reflecting higher realization activity.</w:t>
      </w:r>
    </w:p>
    <w:p>
      <w:pPr>
        <w:spacing w:after="0" w:line="161"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Legacy Greenspring performance fee-related compensation expense of $105.0 million for the nine months ended December 31, 2021 reflects gross realized performance fee-related compensation expense of $27.6 million and unrealized performance fee-related compensation expense, net of the reversal of realized performance fee-related compensation expense, of $77.3 million for the period from September 20, 2021 to December 31, 2021.</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administrative and other expenses increased $37.6 million, or 109%, to $72.0 million for the nine months ended December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31, 2021 as compared to the nine months ended December 31, 2020. The increase primarily reflected $13.5 million in transaction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$10.9 million in amortization expense for intangibles, $3.1 million in professional fees, $2.5 million in insurance costs, $2.0 million of travel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associated costs for investment evaluation and client service, $1.4 million in occupancy costs, $1.2 million in information and technology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expenses, $1.2 million in loss on change in fair value for contingent consideration obligation and other general operating expenses. 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anticipate travel and other expenses will continue to increase to pre-pandemic levels as the COVID-19 situation improves, and that costs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associated with being a public company will continue to be reflected in our expenses going forward.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2021 Compared to Three Months Ended December 31, 2020</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Investment income increased $1.9 million, or 35%, to $7.2 million for the three months ended December 31, 2021 as compared to the three months ended December 31, 2020, primarily reflecting overall changes in the valuations of the underlying investments in the StepStone Funds.</w:t>
      </w:r>
    </w:p>
    <w:p>
      <w:pPr>
        <w:spacing w:after="0" w:line="186" w:lineRule="exact"/>
        <w:rPr>
          <w:sz w:val="20"/>
          <w:szCs w:val="20"/>
          <w:color w:val="auto"/>
        </w:rPr>
      </w:pPr>
    </w:p>
    <w:p>
      <w:pPr>
        <w:ind w:right="360" w:firstLine="648"/>
        <w:spacing w:after="0" w:line="316" w:lineRule="auto"/>
        <w:rPr>
          <w:sz w:val="20"/>
          <w:szCs w:val="20"/>
          <w:color w:val="auto"/>
        </w:rPr>
      </w:pPr>
      <w:r>
        <w:rPr>
          <w:rFonts w:ascii="Arial" w:cs="Arial" w:eastAsia="Arial" w:hAnsi="Arial"/>
          <w:sz w:val="18"/>
          <w:szCs w:val="18"/>
          <w:color w:val="auto"/>
        </w:rPr>
        <w:t>Legacy Greenspring investment income of $17.9 million for the three months ended December 31, 2021 reflects gross realized investment income of $3.6 million and unrealized investment income, net of the reversal of realized investment income, of $14.3 million.</w:t>
      </w:r>
    </w:p>
    <w:p>
      <w:pPr>
        <w:spacing w:after="0" w:line="13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Interest income decreased $40 thousand, or 48%, to $43 thousand for the three months ended December 31, 2021 as compared to the three months ended December 31, 2020.</w:t>
      </w:r>
    </w:p>
    <w:p>
      <w:pPr>
        <w:spacing w:after="0" w:line="177"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Interest expense increased $0.5 million to $0.5 million for the three months ended December 31, 2021 as compared to the three months ended December 31, 2020. The increase was primarily due to interest on the average outstanding balances under the Revolver during the current period. There was no debt outstanding in the prior year period as a result of the full repayment of our previously outstanding senior secured term loan in connection with the IPO in September 2020.</w:t>
      </w:r>
    </w:p>
    <w:p>
      <w:pPr>
        <w:spacing w:after="0" w:line="191"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Other income (loss) decreased $1.1 million to a loss of $0.3 million for the three months ended December 31, 2021 from income of $0.8 million for the three months ended December 31, 2020, primarily reflecting net foreign currency transaction losses.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2021 Compared to Nine Months Ended December 31, 2020</w:t>
      </w:r>
    </w:p>
    <w:p>
      <w:pPr>
        <w:spacing w:after="0" w:line="216"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Investment income increased $14.3 million, or 220%, to $20.8 million for the nine months ended December 31, 2021 as compared to the nine months ended December 31, 2020, primarily reflecting overall changes in the valuations of the underlying investments in the StepStone Funds.</w:t>
      </w:r>
    </w:p>
    <w:p>
      <w:pPr>
        <w:spacing w:after="0" w:line="18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Legacy Greenspring investment income of $17.9 million for the nine months ended December 31, 2021 reflects gross realized investment income of $4.9 million and unrealized investment income, net of the reversal of realized investment income, of $13.0 million for the period from September 20, 2021 to December 31, 2021.</w:t>
      </w:r>
    </w:p>
    <w:p>
      <w:pPr>
        <w:spacing w:after="0" w:line="186"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Interest income decreased $13 thousand, or 4%, to $0.3 million for the nine months ended December 31, 2021 as compared to the nine months ended December 31, 2020.</w:t>
      </w:r>
    </w:p>
    <w:p>
      <w:pPr>
        <w:spacing w:after="0" w:line="177"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Interest expense decreased $6.7 million, or 91%, to $0.6 million for the nine months ended December 31, 2021 as compared to the nine months ended December 31, 2020. The decrease was primarily due to the full repayment of our previously outstanding senior secured term loan in connection with the IPO in September 2020, partially offset by interest on average outstanding balances under the Revolver during the current period.</w:t>
      </w:r>
    </w:p>
    <w:p>
      <w:pPr>
        <w:spacing w:after="0" w:line="191"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8"/>
          <w:szCs w:val="18"/>
          <w:color w:val="auto"/>
        </w:rPr>
        <w:t>Other income (loss) decreased $3.9 million to a loss of $2.7 million for the nine months ended December 31, 2021 from income of $1.3 million for the nine months ended December 31, 2020, primarily reflecting net foreign currency transaction losses, losses related to the write-off of certain property and equipment, and losses related to adjustments in connection with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Income tax expense primarily reflects U.S. federal and state income taxes on our share of taxable income generated by the Partnership, as well as local and foreign income taxes of certain of the Partnership’s subsidiaries. Prior to the Reorganization and IPO, income tax expense consisted of local income taxes and foreign income taxes for subsidiaries that have operations outside of the United States, as the Partnership is treated as a flow-through entity and is not subject to U.S. federal and state income taxes.</w:t>
      </w:r>
    </w:p>
    <w:p>
      <w:pPr>
        <w:spacing w:after="0" w:line="161"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Our effective income tax rate was 11.1% and 8.2% for the three months ended December 31, 2021 and 2020, respectively, and 4.0% and 6.6% for the nine months ended December 31, 2021 and 2020, respectively. Our overall effective tax rate in each of the periods described above is less than the statutory rate primarily because a portion of income is allocated to non-controlling interests, as the tax liability on such income is borne by the holders of such non-controlling interests.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2021 Compared to Three Months Ended December 31, 2020</w:t>
      </w:r>
    </w:p>
    <w:p>
      <w:pPr>
        <w:spacing w:after="0" w:line="216"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Income tax expense increased $6.2 million, or 65%, to $15.8 million for the three months ended December 31, 2021 as compared to the three months ended December 31, 2020. The increase was primarily related to U.S. federal and state income taxes recognized on our share of taxable income generated by the Partnership as a result of additional exchanges that occurred since December 31, 2020, which increased our ownership in the Partnership as of December 31, 2021.</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2021 Compared to Nine Months Ended December 31, 2020</w:t>
      </w:r>
    </w:p>
    <w:p>
      <w:pPr>
        <w:spacing w:after="0" w:line="216"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Income tax expense increased $4.5 million, or 39%, to $16.1 million for the nine months ended December 31, 2021 as compared to the nine months ended December 31, 2020. The increase was primarily related U.S. federal and state income taxes recognized on our share of taxable income generated by the Partnership as a result of additional exchanges that occurred since December 31, 2020, which increased our ownership in the Partnership as of December 31, 2021, partially offset by the recognition of an income tax benefit of $25.3 million for the release of a valuation allowance during the current year as a result of the Greenspring acquisition. Additionally, for the period prior to the Reorganization and IPO, we operated as a partnership for U.S. federal income tax purposes and were not subject to U.S. federal and state income taxes.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$1.6 million, or 29%, to $7.1 million for the three months ended December 31, 2021 as compared to the three months ended December 31, 2020. The increase was primarily attributable to an increase in income generated by our consolidated subsidiaries not wholly-owned by us.</w:t>
      </w:r>
    </w:p>
    <w:p>
      <w:pPr>
        <w:spacing w:after="0" w:line="186"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$0.1 million, or 1%, to $18.7 million for the nine months ended December 31, 2021 as compared to the nine months ended December 31, 2020. The increase was primarily attributable to an increase in income generated by our consolidated subsidiaries not wholly-owned by us.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Legacy Greenspring Entities</w:t>
      </w:r>
    </w:p>
    <w:p>
      <w:pPr>
        <w:spacing w:after="0" w:line="222" w:lineRule="exact"/>
        <w:rPr>
          <w:sz w:val="20"/>
          <w:szCs w:val="20"/>
          <w:color w:val="auto"/>
        </w:rPr>
      </w:pPr>
    </w:p>
    <w:p>
      <w:pPr>
        <w:ind w:right="80" w:firstLine="648"/>
        <w:spacing w:after="0" w:line="260" w:lineRule="auto"/>
        <w:rPr>
          <w:sz w:val="20"/>
          <w:szCs w:val="20"/>
          <w:color w:val="auto"/>
        </w:rPr>
      </w:pPr>
      <w:r>
        <w:rPr>
          <w:rFonts w:ascii="Arial" w:cs="Arial" w:eastAsia="Arial" w:hAnsi="Arial"/>
          <w:sz w:val="19"/>
          <w:szCs w:val="19"/>
          <w:color w:val="auto"/>
        </w:rPr>
        <w:t>Net income attributable to non-controlling interests in legacy Greenspring entities represent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attributable to non-controlling interests in legacy Greenspring entities was $17.9 million for the three and nine months ended December 31, 2021.</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the Partnership</w:t>
      </w:r>
    </w:p>
    <w:p>
      <w:pPr>
        <w:spacing w:after="0" w:line="222" w:lineRule="exact"/>
        <w:rPr>
          <w:sz w:val="20"/>
          <w:szCs w:val="20"/>
          <w:color w:val="auto"/>
        </w:rPr>
      </w:pPr>
    </w:p>
    <w:p>
      <w:pPr>
        <w:ind w:right="160" w:firstLine="648"/>
        <w:spacing w:after="0" w:line="278" w:lineRule="auto"/>
        <w:rPr>
          <w:sz w:val="20"/>
          <w:szCs w:val="20"/>
          <w:color w:val="auto"/>
        </w:rPr>
      </w:pPr>
      <w:r>
        <w:rPr>
          <w:rFonts w:ascii="Arial" w:cs="Arial" w:eastAsia="Arial" w:hAnsi="Arial"/>
          <w:sz w:val="18"/>
          <w:szCs w:val="18"/>
          <w:color w:val="auto"/>
        </w:rPr>
        <w:t>Net income attributable to non-controlling interests in the Partnership represents the portion of net income or loss attributable to the interests held by the Class B and Class C unitholders of the Partnership. Net income attributable to non-controlling interests in the Partnership was $53.0 million and $76.3 million for the three months ended December 31, 2021 and 2020, respectively, and $192.0 million and $120.0 million for the nine months ended December 31, 2021 and 2020, respectively. Prior to the Reorganization and IPO, all of our income or loss relates to the Partnership and has been presented as non-controlling interests in the Partnership.</w:t>
      </w:r>
    </w:p>
    <w:p>
      <w:pPr>
        <w:spacing w:after="0" w:line="159"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Operating Metrics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AUM was $80 billion as of December 31, 2020, $121 billion as of September 30, 2021 and $127 billion as of December 31, 2021.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 xml:space="preserve">Assets related to our advisory accounts were $253 billion as of December 31, 2020, $397 billion as of September 30, 2021 and $421 billion as of December 31, 2021. As described under “Key Operating Metrics—Assets Under Advisement,” we modified our calculation of AUA beginning in the quarter ended March 31, 2021 to include, with respect to our advisory clients, the portion of their portfolio assets for which we do not directly provide recommendations, monitoring and/or reporting services. This change increased AUA by approximately $70 billion </w:t>
      </w:r>
      <w:r>
        <w:rPr>
          <w:rFonts w:ascii="Arial" w:cs="Arial" w:eastAsia="Arial" w:hAnsi="Arial"/>
          <w:sz w:val="20"/>
          <w:szCs w:val="20"/>
          <w:color w:val="231F20"/>
        </w:rPr>
        <w:t>for the quarter ended</w:t>
      </w:r>
      <w:r>
        <w:rPr>
          <w:rFonts w:ascii="Arial" w:cs="Arial" w:eastAsia="Arial" w:hAnsi="Arial"/>
          <w:sz w:val="20"/>
          <w:szCs w:val="20"/>
          <w:color w:val="auto"/>
        </w:rPr>
        <w:t xml:space="preserve"> March 31, 2021</w:t>
      </w:r>
      <w:r>
        <w:rPr>
          <w:rFonts w:ascii="Arial" w:cs="Arial" w:eastAsia="Arial" w:hAnsi="Arial"/>
          <w:sz w:val="20"/>
          <w:szCs w:val="20"/>
          <w:color w:val="231F20"/>
        </w:rPr>
        <w:t>.</w:t>
      </w:r>
      <w:r>
        <w:rPr>
          <w:rFonts w:ascii="Arial" w:cs="Arial" w:eastAsia="Arial" w:hAnsi="Arial"/>
          <w:sz w:val="20"/>
          <w:szCs w:val="20"/>
          <w:color w:val="auto"/>
        </w:rPr>
        <w:t xml:space="preserve"> Prior period amounts have not been recast for this change because such historical data does not exist.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FEAUM increased $5 billion, or 7%, to $71 billion as of December 31, 2021 as compared to $67 billion as of September 30, 2021.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increase was primarily attributable to a $2 billion increase in focused commingled funds and $3 billion from SMAs.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2021</w:t>
      </w:r>
    </w:p>
    <w:p>
      <w:pPr>
        <w:spacing w:after="0" w:line="21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FEAUM increased $19 billion, or 37%, to $71 billion as of December 31, 2021 as compared to $52 billion as of March 31, 2021. The increase was primarily attributable to a $14 billion increase in focused commingled funds due to the Greenspring acquisition, which added approximately $11 billion of FEAUM, and $5 billion from SMAs.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0"/>
              </w:rPr>
              <w:t>Three Months Ended December 31, 2021</w:t>
            </w:r>
          </w:p>
        </w:tc>
        <w:tc>
          <w:tcPr>
            <w:tcW w:w="260" w:type="dxa"/>
            <w:vAlign w:val="bottom"/>
          </w:tcPr>
          <w:p>
            <w:pPr>
              <w:spacing w:after="0"/>
              <w:rPr>
                <w:sz w:val="20"/>
                <w:szCs w:val="20"/>
                <w:color w:val="auto"/>
              </w:rPr>
            </w:pPr>
          </w:p>
        </w:tc>
        <w:tc>
          <w:tcPr>
            <w:tcW w:w="39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Nine Months Ended December 31, 2021</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5"/>
                <w:szCs w:val="15"/>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66,680</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52,008</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line="230" w:lineRule="exact"/>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11,407</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94"/>
              </w:rPr>
              <w:t>Market value, FX and other</w:t>
            </w:r>
            <w:r>
              <w:rPr>
                <w:rFonts w:ascii="Arial" w:cs="Arial" w:eastAsia="Arial" w:hAnsi="Arial"/>
                <w:sz w:val="23"/>
                <w:szCs w:val="23"/>
                <w:color w:val="auto"/>
                <w:w w:val="94"/>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300" w:hanging="652"/>
        <w:spacing w:after="0" w:line="250"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81" w:lineRule="auto"/>
        <w:tabs>
          <w:tab w:leader="none" w:pos="654"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spacing w:after="0" w:line="1" w:lineRule="exact"/>
        <w:rPr>
          <w:rFonts w:ascii="Arial" w:cs="Arial" w:eastAsia="Arial" w:hAnsi="Arial"/>
          <w:sz w:val="16"/>
          <w:szCs w:val="16"/>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approximately $11.4 billion of focused commingled funds added as a result of the Greenspring acquisition.</w:t>
      </w:r>
    </w:p>
    <w:p>
      <w:pPr>
        <w:spacing w:after="0" w:line="9" w:lineRule="exact"/>
        <w:rPr>
          <w:rFonts w:ascii="Arial" w:cs="Arial" w:eastAsia="Arial" w:hAnsi="Arial"/>
          <w:sz w:val="18"/>
          <w:szCs w:val="18"/>
          <w:color w:val="auto"/>
        </w:rPr>
      </w:pPr>
    </w:p>
    <w:p>
      <w:pPr>
        <w:ind w:left="660" w:right="200" w:hanging="652"/>
        <w:spacing w:after="0" w:line="260"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8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c>
          <w:tcPr>
            <w:tcW w:w="1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ind w:left="680"/>
              <w:spacing w:after="0"/>
              <w:rPr>
                <w:sz w:val="20"/>
                <w:szCs w:val="20"/>
                <w:color w:val="auto"/>
              </w:rPr>
            </w:pPr>
            <w:r>
              <w:rPr>
                <w:rFonts w:ascii="Arial" w:cs="Arial" w:eastAsia="Arial" w:hAnsi="Arial"/>
                <w:sz w:val="18"/>
                <w:szCs w:val="18"/>
                <w:i w:val="1"/>
                <w:iCs w:val="1"/>
                <w:color w:val="auto"/>
              </w:rPr>
              <w:t>(in millions)</w:t>
            </w:r>
          </w:p>
        </w:tc>
        <w:tc>
          <w:tcPr>
            <w:tcW w:w="2280" w:type="dxa"/>
            <w:vAlign w:val="bottom"/>
            <w:gridSpan w:val="3"/>
          </w:tcPr>
          <w:p>
            <w:pPr>
              <w:ind w:left="680"/>
              <w:spacing w:after="0"/>
              <w:rPr>
                <w:sz w:val="20"/>
                <w:szCs w:val="20"/>
                <w:color w:val="auto"/>
              </w:rPr>
            </w:pPr>
            <w:r>
              <w:rPr>
                <w:rFonts w:ascii="Arial" w:cs="Arial" w:eastAsia="Arial" w:hAnsi="Arial"/>
                <w:sz w:val="18"/>
                <w:szCs w:val="18"/>
                <w:b w:val="1"/>
                <w:bCs w:val="1"/>
                <w:color w:val="auto"/>
                <w:w w:val="97"/>
              </w:rPr>
              <w:t>December 31, 2021</w:t>
            </w:r>
          </w:p>
        </w:tc>
        <w:tc>
          <w:tcPr>
            <w:tcW w:w="78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2021</w:t>
            </w: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44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FEAUM</w:t>
            </w:r>
          </w:p>
        </w:tc>
        <w:tc>
          <w:tcPr>
            <w:tcW w:w="1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4460" w:type="dxa"/>
            <w:vAlign w:val="bottom"/>
          </w:tcPr>
          <w:p>
            <w:pPr>
              <w:ind w:left="68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(1)</w:t>
            </w:r>
          </w:p>
        </w:tc>
        <w:tc>
          <w:tcPr>
            <w:tcW w:w="1180" w:type="dxa"/>
            <w:vAlign w:val="bottom"/>
          </w:tcPr>
          <w:p>
            <w:pPr>
              <w:ind w:left="6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40,044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24,533</w:t>
            </w:r>
          </w:p>
        </w:tc>
        <w:tc>
          <w:tcPr>
            <w:tcW w:w="10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20,960</w:t>
            </w:r>
          </w:p>
        </w:tc>
      </w:tr>
      <w:tr>
        <w:trPr>
          <w:trHeight w:val="230"/>
        </w:trPr>
        <w:tc>
          <w:tcPr>
            <w:tcW w:w="4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Infrastructure</w:t>
            </w: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Private debt</w:t>
            </w:r>
          </w:p>
        </w:tc>
        <w:tc>
          <w:tcPr>
            <w:tcW w:w="1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11,586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9,052</w:t>
            </w:r>
          </w:p>
        </w:tc>
      </w:tr>
      <w:tr>
        <w:trPr>
          <w:trHeight w:val="230"/>
        </w:trPr>
        <w:tc>
          <w:tcPr>
            <w:tcW w:w="4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Real estate</w:t>
            </w:r>
          </w:p>
        </w:tc>
        <w:tc>
          <w:tcPr>
            <w:tcW w:w="1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r>
      <w:tr>
        <w:trPr>
          <w:trHeight w:val="223"/>
        </w:trPr>
        <w:tc>
          <w:tcPr>
            <w:tcW w:w="4460" w:type="dxa"/>
            <w:vAlign w:val="bottom"/>
          </w:tcPr>
          <w:p>
            <w:pPr>
              <w:ind w:left="110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71,232</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52,008</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46,630</w:t>
            </w:r>
          </w:p>
        </w:tc>
      </w:tr>
      <w:tr>
        <w:trPr>
          <w:trHeight w:val="21"/>
        </w:trPr>
        <w:tc>
          <w:tcPr>
            <w:tcW w:w="4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660" w:hanging="652"/>
        <w:spacing w:after="0" w:line="26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Balance as of December 31, 2021 includes approximately $11.4 billion of focused commingled funds added as a result of the Greenspring acquisition.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2021</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March 31, 2021</w:t>
            </w: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 2020</w:t>
            </w:r>
          </w:p>
        </w:tc>
      </w:tr>
      <w:tr>
        <w:trPr>
          <w:trHeight w:val="210"/>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0.63 %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0.62 %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0.64 %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Real estate, infrastructure and private debt asset classes</w:t>
            </w:r>
            <w:r>
              <w:rPr>
                <w:rFonts w:ascii="Arial" w:cs="Arial" w:eastAsia="Arial" w:hAnsi="Arial"/>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r>
      <w:tr>
        <w:trPr>
          <w:trHeight w:val="223"/>
        </w:trPr>
        <w:tc>
          <w:tcPr>
            <w:tcW w:w="5820" w:type="dxa"/>
            <w:vAlign w:val="bottom"/>
          </w:tcPr>
          <w:p>
            <w:pPr>
              <w:ind w:left="4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80" w:hanging="652"/>
        <w:spacing w:after="0" w:line="250"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 and is inclusive of any retroactive fees for such period.</w:t>
      </w: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shifts in asset class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As of December 31, 2021, we had $17.3 billion of undeployed fee-earning capital, which will generate management fee revenue once this capital is invested or activated.</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FRE and ANI:</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December 31,</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advisory fees,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209,245</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Cash-based compensation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113,858</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34,487</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Fee-related earnings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68,442</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carried interest allocations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38,257</w:t>
            </w: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Realized investment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75"/>
        </w:trPr>
        <w:tc>
          <w:tcPr>
            <w:tcW w:w="3980" w:type="dxa"/>
            <w:vAlign w:val="bottom"/>
          </w:tcPr>
          <w:p>
            <w:pPr>
              <w:ind w:left="400"/>
              <w:spacing w:after="0" w:line="176" w:lineRule="exact"/>
              <w:rPr>
                <w:sz w:val="20"/>
                <w:szCs w:val="20"/>
                <w:color w:val="auto"/>
              </w:rPr>
            </w:pPr>
            <w:r>
              <w:rPr>
                <w:rFonts w:ascii="Arial" w:cs="Arial" w:eastAsia="Arial" w:hAnsi="Arial"/>
                <w:sz w:val="18"/>
                <w:szCs w:val="18"/>
                <w:color w:val="auto"/>
              </w:rPr>
              <w:t>Write-off of unamortized deferred financing</w:t>
            </w:r>
          </w:p>
        </w:tc>
        <w:tc>
          <w:tcPr>
            <w:tcW w:w="260" w:type="dxa"/>
            <w:vAlign w:val="bottom"/>
          </w:tcPr>
          <w:p>
            <w:pPr>
              <w:spacing w:after="0"/>
              <w:rPr>
                <w:sz w:val="15"/>
                <w:szCs w:val="15"/>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30"/>
        </w:trPr>
        <w:tc>
          <w:tcPr>
            <w:tcW w:w="3980" w:type="dxa"/>
            <w:vAlign w:val="bottom"/>
          </w:tcPr>
          <w:p>
            <w:pPr>
              <w:ind w:left="600"/>
              <w:spacing w:after="0"/>
              <w:rPr>
                <w:sz w:val="20"/>
                <w:szCs w:val="20"/>
                <w:color w:val="auto"/>
              </w:rPr>
            </w:pPr>
            <w:r>
              <w:rPr>
                <w:rFonts w:ascii="Arial" w:cs="Arial" w:eastAsia="Arial" w:hAnsi="Arial"/>
                <w:sz w:val="18"/>
                <w:szCs w:val="18"/>
                <w:color w:val="auto"/>
              </w:rPr>
              <w:t>costs</w:t>
            </w:r>
          </w:p>
        </w:tc>
        <w:tc>
          <w:tcPr>
            <w:tcW w:w="2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Realized performance fee-related compensation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6"/>
              </w:rPr>
              <w:t>Income attributable to non-controlling interests</w:t>
            </w:r>
          </w:p>
        </w:tc>
        <w:tc>
          <w:tcPr>
            <w:tcW w:w="2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600"/>
              <w:spacing w:after="0" w:line="230" w:lineRule="exact"/>
              <w:rPr>
                <w:sz w:val="20"/>
                <w:szCs w:val="20"/>
                <w:color w:val="auto"/>
              </w:rPr>
            </w:pPr>
            <w:r>
              <w:rPr>
                <w:rFonts w:ascii="Arial" w:cs="Arial" w:eastAsia="Arial" w:hAnsi="Arial"/>
                <w:sz w:val="18"/>
                <w:szCs w:val="18"/>
                <w:color w:val="auto"/>
              </w:rPr>
              <w:t>in subsidiaries</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Pre-tax adjusted net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166,855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81,036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Less: Income taxes</w:t>
            </w:r>
            <w:r>
              <w:rPr>
                <w:rFonts w:ascii="Arial" w:cs="Arial" w:eastAsia="Arial" w:hAnsi="Arial"/>
                <w:sz w:val="23"/>
                <w:szCs w:val="23"/>
                <w:color w:val="auto"/>
                <w:vertAlign w:val="superscript"/>
              </w:rPr>
              <w:t>(5)</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subsequent to the IPO.</w:t>
      </w:r>
    </w:p>
    <w:p>
      <w:pPr>
        <w:spacing w:after="0" w:line="9" w:lineRule="exact"/>
        <w:rPr>
          <w:rFonts w:ascii="Arial" w:cs="Arial" w:eastAsia="Arial" w:hAnsi="Arial"/>
          <w:sz w:val="18"/>
          <w:szCs w:val="18"/>
          <w:color w:val="auto"/>
        </w:rPr>
      </w:pPr>
    </w:p>
    <w:p>
      <w:pPr>
        <w:ind w:left="660" w:right="160" w:hanging="652"/>
        <w:spacing w:after="0" w:line="250"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transaction costs ($0.3 million for the three months ended December 31, 2020, and $13.8 million and $0.3 million for the nine months ended December 31, 2021 and 2020, respectively), severance costs ($0.1 million and $4.1 million for the nine months ended December 31, 2021 and 2020, respectively), loss on change in fair value for contingent consideration obligation ($1.6 million for the three and nine months ended December 31, 2021, and $0.4 million for the three and nine months ended December 31, 2020), and other non-core operating income and expenses.</w:t>
      </w:r>
    </w:p>
    <w:p>
      <w:pPr>
        <w:spacing w:after="0" w:line="1" w:lineRule="exact"/>
        <w:rPr>
          <w:rFonts w:ascii="Arial" w:cs="Arial" w:eastAsia="Arial" w:hAnsi="Arial"/>
          <w:sz w:val="18"/>
          <w:szCs w:val="18"/>
          <w:color w:val="auto"/>
        </w:rPr>
      </w:pPr>
    </w:p>
    <w:p>
      <w:pPr>
        <w:ind w:left="660" w:right="140" w:hanging="652"/>
        <w:spacing w:after="0" w:line="250"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other income (loss) net of amounts for Tax Receivable Agreements adjustments recognized as other income (loss) ($(1.4) million for the nine months ended December 31, 2021).</w:t>
      </w: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portion of pre-tax adjusted net income of our subsidiaries attributable to non-controlling interests.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left="660" w:hanging="652"/>
        <w:spacing w:after="0" w:line="296" w:lineRule="auto"/>
        <w:tabs>
          <w:tab w:leader="none" w:pos="6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22.6% applied to pre-tax adjusted net income for the three and nine months ended December 31, 2021, and a blended statutory rate of 25.0% applied to pre-tax adjusted net income for the three and nine months ended December 31, 2020. The 22.6% rate for the three and nine months ended December 31, 2021 is based on a federal statutory rate of 21.0% and a combined state, local and foreign rate net of federal benefits of 1.6%, and the 25.0% rate for the three and nine months ended December 31, 2020 is based on a federal statutory rate of 21.0% and a combined state, local and foreign rate net of federal benefits of 4.0%.</w:t>
      </w:r>
    </w:p>
    <w:p>
      <w:pPr>
        <w:spacing w:after="0" w:line="15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b w:val="1"/>
          <w:bCs w:val="1"/>
          <w:color w:val="auto"/>
        </w:rPr>
        <w:t>Adjusted Revenues and Adjusted Net Income</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i w:val="1"/>
          <w:iCs w:val="1"/>
          <w:color w:val="auto"/>
        </w:rPr>
        <w:t>Three Months Ended December 31, 2021 Compared to Three Months Ended December 31, 2020</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Adjusted revenues increased $76.5 million, or 79%, to $173.0 million for the three months ended December 31, 2021 as compared to the three months ended December 31, 2020, primarily reflecting increases in net management and advisory fees and realized carried interest allocation revenues.</w:t>
      </w:r>
    </w:p>
    <w:p>
      <w:pPr>
        <w:spacing w:after="0" w:line="186"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ANI increased $21.5 million, or 80%, to $48.6 million for the three months ended December 31, 2021 as compared to the three months ended December 31, 2020, primarily due to higher net realized performance fee-related earnings (incentive fees, including the deferred portion, plus realized carried interest allocation revenues, less realized performance fee-related compensation) and the increase in FRE as discussed below.</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2021 Compared to Nine Months Ended December 31, 2020</w:t>
      </w:r>
    </w:p>
    <w:p>
      <w:pPr>
        <w:spacing w:after="0" w:line="216"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0"/>
          <w:szCs w:val="20"/>
          <w:color w:val="auto"/>
        </w:rPr>
        <w:t>Adjusted revenues increased $191.6 million, or 74%, to $448.9 million for the nine months ended December 31, 2021 as compared to the nine months ended December 31, 2020, primarily reflecting increases in net management and advisory fees, realized carried interest allocation revenues and incentive fees.</w:t>
      </w:r>
    </w:p>
    <w:p>
      <w:pPr>
        <w:spacing w:after="0" w:line="186" w:lineRule="exact"/>
        <w:rPr>
          <w:sz w:val="20"/>
          <w:szCs w:val="20"/>
          <w:color w:val="auto"/>
        </w:rPr>
      </w:pPr>
    </w:p>
    <w:p>
      <w:pPr>
        <w:jc w:val="both"/>
        <w:ind w:right="420" w:firstLine="648"/>
        <w:spacing w:after="0" w:line="250" w:lineRule="auto"/>
        <w:rPr>
          <w:sz w:val="20"/>
          <w:szCs w:val="20"/>
          <w:color w:val="auto"/>
        </w:rPr>
      </w:pPr>
      <w:r>
        <w:rPr>
          <w:rFonts w:ascii="Arial" w:cs="Arial" w:eastAsia="Arial" w:hAnsi="Arial"/>
          <w:sz w:val="20"/>
          <w:szCs w:val="20"/>
          <w:color w:val="auto"/>
        </w:rPr>
        <w:t>ANI increased $68.5 million, or 113%, to $129.2 million for the nine months ended December 31, 2021 as compared to the nine months ended December 31, 2020, primarily due to higher net realized performance fee-related earnings, lower interest expense and the increase in FRE as discussed below.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400" w:firstLine="648"/>
        <w:spacing w:after="0" w:line="316" w:lineRule="auto"/>
        <w:rPr>
          <w:sz w:val="20"/>
          <w:szCs w:val="20"/>
          <w:color w:val="auto"/>
        </w:rPr>
      </w:pPr>
      <w:r>
        <w:rPr>
          <w:rFonts w:ascii="Arial" w:cs="Arial" w:eastAsia="Arial" w:hAnsi="Arial"/>
          <w:sz w:val="18"/>
          <w:szCs w:val="18"/>
          <w:color w:val="auto"/>
        </w:rPr>
        <w:t>The following table shows a reconciliation of diluted weighted-average shares of Class A common stock outstanding to adjusted shares outstanding used in the computation of ANI per share for the three and nine months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December 31,</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60,776</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Arial" w:cs="Arial" w:eastAsia="Arial" w:hAnsi="Arial"/>
                <w:sz w:val="18"/>
                <w:szCs w:val="18"/>
                <w:color w:val="auto"/>
                <w:w w:val="94"/>
              </w:rPr>
              <w:t>Weighted-average shares of Class A common stock</w:t>
            </w:r>
          </w:p>
        </w:tc>
        <w:tc>
          <w:tcPr>
            <w:tcW w:w="2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57,875,758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46,247,353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Arial" w:cs="Arial" w:eastAsia="Arial" w:hAnsi="Arial"/>
                <w:sz w:val="18"/>
                <w:szCs w:val="18"/>
                <w:color w:val="auto"/>
              </w:rPr>
              <w:t>outstanding – Basic</w:t>
            </w:r>
          </w:p>
        </w:tc>
        <w:tc>
          <w:tcPr>
            <w:tcW w:w="2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of RSUs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977,400</w:t>
            </w:r>
          </w:p>
        </w:tc>
        <w:tc>
          <w:tcPr>
            <w:tcW w:w="0" w:type="dxa"/>
            <w:vAlign w:val="bottom"/>
          </w:tcPr>
          <w:p>
            <w:pPr>
              <w:spacing w:after="0"/>
              <w:rPr>
                <w:sz w:val="1"/>
                <w:szCs w:val="1"/>
                <w:color w:val="auto"/>
              </w:rPr>
            </w:pPr>
          </w:p>
        </w:tc>
      </w:tr>
      <w:tr>
        <w:trPr>
          <w:trHeight w:val="176"/>
        </w:trPr>
        <w:tc>
          <w:tcPr>
            <w:tcW w:w="3960" w:type="dxa"/>
            <w:vAlign w:val="bottom"/>
          </w:tcPr>
          <w:p>
            <w:pPr>
              <w:ind w:left="460"/>
              <w:spacing w:after="0" w:line="176" w:lineRule="exact"/>
              <w:rPr>
                <w:sz w:val="20"/>
                <w:szCs w:val="20"/>
                <w:color w:val="auto"/>
              </w:rPr>
            </w:pPr>
            <w:r>
              <w:rPr>
                <w:rFonts w:ascii="Arial" w:cs="Arial" w:eastAsia="Arial" w:hAnsi="Arial"/>
                <w:sz w:val="18"/>
                <w:szCs w:val="18"/>
                <w:color w:val="auto"/>
                <w:w w:val="98"/>
              </w:rPr>
              <w:t>Assumed vesting and exchange of Class B2</w:t>
            </w:r>
          </w:p>
        </w:tc>
        <w:tc>
          <w:tcPr>
            <w:tcW w:w="2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2,481,677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2,454,818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2,480,591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2,449,298</w:t>
            </w:r>
          </w:p>
        </w:tc>
        <w:tc>
          <w:tcPr>
            <w:tcW w:w="0" w:type="dxa"/>
            <w:vAlign w:val="bottom"/>
          </w:tcPr>
          <w:p>
            <w:pPr>
              <w:spacing w:after="0"/>
              <w:rPr>
                <w:sz w:val="1"/>
                <w:szCs w:val="1"/>
                <w:color w:val="auto"/>
              </w:rPr>
            </w:pPr>
          </w:p>
        </w:tc>
      </w:tr>
      <w:tr>
        <w:trPr>
          <w:trHeight w:val="229"/>
        </w:trPr>
        <w:tc>
          <w:tcPr>
            <w:tcW w:w="3960" w:type="dxa"/>
            <w:vAlign w:val="bottom"/>
          </w:tcPr>
          <w:p>
            <w:pPr>
              <w:ind w:left="680"/>
              <w:spacing w:after="0"/>
              <w:rPr>
                <w:sz w:val="20"/>
                <w:szCs w:val="20"/>
                <w:color w:val="auto"/>
              </w:rPr>
            </w:pPr>
            <w:r>
              <w:rPr>
                <w:rFonts w:ascii="Arial" w:cs="Arial" w:eastAsia="Arial" w:hAnsi="Arial"/>
                <w:sz w:val="18"/>
                <w:szCs w:val="18"/>
                <w:color w:val="auto"/>
              </w:rPr>
              <w:t>units</w:t>
            </w:r>
          </w:p>
        </w:tc>
        <w:tc>
          <w:tcPr>
            <w:tcW w:w="2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92"/>
              </w:rPr>
              <w:t>Exchange of Class B units in the Partnership</w:t>
            </w:r>
            <w:r>
              <w:rPr>
                <w:rFonts w:ascii="Arial" w:cs="Arial" w:eastAsia="Arial" w:hAnsi="Arial"/>
                <w:sz w:val="23"/>
                <w:szCs w:val="23"/>
                <w:color w:val="auto"/>
                <w:w w:val="92"/>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50,327,243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53,511,397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0" w:type="dxa"/>
            <w:vAlign w:val="bottom"/>
          </w:tcPr>
          <w:p>
            <w:pPr>
              <w:spacing w:after="0"/>
              <w:rPr>
                <w:sz w:val="1"/>
                <w:szCs w:val="1"/>
                <w:color w:val="auto"/>
              </w:rPr>
            </w:pPr>
          </w:p>
        </w:tc>
      </w:tr>
      <w:tr>
        <w:trPr>
          <w:trHeight w:val="229"/>
        </w:trPr>
        <w:tc>
          <w:tcPr>
            <w:tcW w:w="3960" w:type="dxa"/>
            <w:vAlign w:val="bottom"/>
          </w:tcPr>
          <w:p>
            <w:pPr>
              <w:ind w:left="460"/>
              <w:spacing w:after="0" w:line="230" w:lineRule="exact"/>
              <w:rPr>
                <w:sz w:val="20"/>
                <w:szCs w:val="20"/>
                <w:color w:val="auto"/>
              </w:rPr>
            </w:pPr>
            <w:r>
              <w:rPr>
                <w:rFonts w:ascii="Arial" w:cs="Arial" w:eastAsia="Arial" w:hAnsi="Arial"/>
                <w:sz w:val="18"/>
                <w:szCs w:val="18"/>
                <w:color w:val="auto"/>
                <w:w w:val="92"/>
              </w:rPr>
              <w:t>Exchange of Class C units in the Partnership</w:t>
            </w:r>
            <w:r>
              <w:rPr>
                <w:rFonts w:ascii="Arial" w:cs="Arial" w:eastAsia="Arial" w:hAnsi="Arial"/>
                <w:sz w:val="23"/>
                <w:szCs w:val="23"/>
                <w:color w:val="auto"/>
                <w:w w:val="92"/>
                <w:vertAlign w:val="superscript"/>
              </w:rPr>
              <w:t>(2)</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3,003,274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1,116,423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shares</w:t>
            </w:r>
            <w:r>
              <w:rPr>
                <w:rFonts w:ascii="Arial" w:cs="Arial" w:eastAsia="Arial" w:hAnsi="Arial"/>
                <w:sz w:val="23"/>
                <w:szCs w:val="23"/>
                <w:color w:val="auto"/>
                <w:vertAlign w:val="superscript"/>
              </w:rPr>
              <w:t>(3)</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114,813,750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98,283,806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104,746,302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98,243,029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Assumes the full exchange of Class B units in the Partnership for Class A common stock of SSG pursuant to the Class B Exchange Agreement.</w:t>
      </w:r>
    </w:p>
    <w:p>
      <w:pPr>
        <w:spacing w:after="0" w:line="32" w:lineRule="exact"/>
        <w:rPr>
          <w:rFonts w:ascii="Arial" w:cs="Arial" w:eastAsia="Arial" w:hAnsi="Arial"/>
          <w:sz w:val="16"/>
          <w:szCs w:val="16"/>
          <w:color w:val="auto"/>
        </w:rPr>
      </w:pPr>
    </w:p>
    <w:p>
      <w:pPr>
        <w:ind w:left="640" w:hanging="632"/>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Assumes the full exchange of Class C units in the Partnership for Class A common stock of SSG pursuant to the Class C Exchange Agreement.</w:t>
      </w:r>
    </w:p>
    <w:p>
      <w:pPr>
        <w:spacing w:after="0" w:line="32" w:lineRule="exact"/>
        <w:rPr>
          <w:rFonts w:ascii="Arial" w:cs="Arial" w:eastAsia="Arial" w:hAnsi="Arial"/>
          <w:sz w:val="16"/>
          <w:szCs w:val="16"/>
          <w:color w:val="auto"/>
        </w:rPr>
      </w:pPr>
    </w:p>
    <w:p>
      <w:pPr>
        <w:ind w:left="660" w:right="60" w:hanging="652"/>
        <w:spacing w:after="0" w:line="255"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Class A common stock did not exist prior to the Reorganization and IPO in September 2020. As a result, the computation of ANI per share for the period prior to the Reorganization and IPO assumes the same number of adjusted shares outstanding as reported for the period after the IPO through September 30, 2020.</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Fee-Related Earnings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i w:val="1"/>
          <w:iCs w:val="1"/>
          <w:color w:val="auto"/>
        </w:rPr>
        <w:t>Three Months Ended December 31, 2021 Compared to Three Months Ended December 31, 2020</w:t>
      </w:r>
    </w:p>
    <w:p>
      <w:pPr>
        <w:spacing w:after="0" w:line="216" w:lineRule="exact"/>
        <w:rPr>
          <w:sz w:val="20"/>
          <w:szCs w:val="20"/>
          <w:color w:val="auto"/>
        </w:rPr>
      </w:pPr>
    </w:p>
    <w:p>
      <w:pPr>
        <w:jc w:val="both"/>
        <w:ind w:right="500" w:firstLine="648"/>
        <w:spacing w:after="0" w:line="250" w:lineRule="auto"/>
        <w:rPr>
          <w:sz w:val="20"/>
          <w:szCs w:val="20"/>
          <w:color w:val="auto"/>
        </w:rPr>
      </w:pPr>
      <w:r>
        <w:rPr>
          <w:rFonts w:ascii="Arial" w:cs="Arial" w:eastAsia="Arial" w:hAnsi="Arial"/>
          <w:sz w:val="20"/>
          <w:szCs w:val="20"/>
          <w:color w:val="auto"/>
        </w:rPr>
        <w:t>FRE increased $14.5 million, or 65%, to $36.8 million for the three months ended December 31, 2021 as compared to the three months ended December 31, 2020, primarily reflecting higher net management and advisory fees, partially offset by higher cash-based compensation and general, administrative and other expenses.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2021 Compared to Nine Months Ended December 31, 2020</w:t>
      </w:r>
    </w:p>
    <w:p>
      <w:pPr>
        <w:spacing w:after="0" w:line="216" w:lineRule="exact"/>
        <w:rPr>
          <w:sz w:val="20"/>
          <w:szCs w:val="20"/>
          <w:color w:val="auto"/>
        </w:rPr>
      </w:pPr>
    </w:p>
    <w:p>
      <w:pPr>
        <w:jc w:val="both"/>
        <w:ind w:right="560" w:firstLine="648"/>
        <w:spacing w:after="0" w:line="269" w:lineRule="auto"/>
        <w:rPr>
          <w:sz w:val="20"/>
          <w:szCs w:val="20"/>
          <w:color w:val="auto"/>
        </w:rPr>
      </w:pPr>
      <w:r>
        <w:rPr>
          <w:rFonts w:ascii="Arial" w:cs="Arial" w:eastAsia="Arial" w:hAnsi="Arial"/>
          <w:sz w:val="19"/>
          <w:szCs w:val="19"/>
          <w:color w:val="auto"/>
        </w:rPr>
        <w:t>FRE increased $17.9 million, or 26%, to $86.4 million for the nine months ended December 31, 2021 as compared to the nine months ended December 31, 2020, primarily reflecting higher net management and advisory fees, partially offset by higher cash-based compensation, general, administrative and other expenses and equity-based compensation.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Reconciliation of GAAP to 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revenues to adjusted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428,650</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(132,535)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(150,681)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(452,789)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(176,050)</w:t>
            </w: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w w:val="96"/>
              </w:rPr>
              <w:t>Legacy Greenspring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(104,960)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(104,960)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257,300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before income tax to ANI and FRE.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 December 31,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174,983</w:t>
            </w:r>
          </w:p>
        </w:tc>
        <w:tc>
          <w:tcPr>
            <w:tcW w:w="0" w:type="dxa"/>
            <w:vAlign w:val="bottom"/>
          </w:tcPr>
          <w:p>
            <w:pPr>
              <w:spacing w:after="0"/>
              <w:rPr>
                <w:sz w:val="1"/>
                <w:szCs w:val="1"/>
                <w:color w:val="auto"/>
              </w:rPr>
            </w:pPr>
          </w:p>
        </w:tc>
      </w:tr>
      <w:tr>
        <w:trPr>
          <w:trHeight w:val="176"/>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(7,716)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(19,341)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29"/>
        </w:trPr>
        <w:tc>
          <w:tcPr>
            <w:tcW w:w="4100" w:type="dxa"/>
            <w:vAlign w:val="bottom"/>
          </w:tcPr>
          <w:p>
            <w:pPr>
              <w:ind w:left="680"/>
              <w:spacing w:after="0" w:line="230"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interests in legacy Greenspring entities</w:t>
            </w:r>
          </w:p>
        </w:tc>
        <w:tc>
          <w:tcPr>
            <w:tcW w:w="2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Unrealized carried interest allocation revenue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(132,535)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(150,681)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(452,789)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(176,050)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Unrealized performance fee-related compensation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83,487</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Unrealized investment income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w w:val="93"/>
              </w:rPr>
              <w:t>Write-off of unamortized deferred financing costs</w:t>
            </w: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1"/>
              </w:rPr>
              <w:t>Tax Receivable Agreements adjustments through</w:t>
            </w:r>
          </w:p>
        </w:tc>
        <w:tc>
          <w:tcPr>
            <w:tcW w:w="26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earnings</w:t>
            </w:r>
          </w:p>
        </w:tc>
        <w:tc>
          <w:tcPr>
            <w:tcW w:w="2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adjusted net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81,036</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60,776</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Realized carried interest allocation revenue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(38,257)</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w w:val="94"/>
              </w:rPr>
              <w:t>Realized performance fee-related compensation</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34,033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86,122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17,952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Realized investment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(5)</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Write-off of unamortized deferred financing costs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7,716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19,341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680"/>
              <w:spacing w:after="0" w:line="230"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Fee-related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the portion of pre-tax adjusted net income of our subsidiaries attributable to non-controlling interests.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prior to and in connection with the IPO.</w:t>
      </w:r>
    </w:p>
    <w:p>
      <w:pPr>
        <w:spacing w:after="0" w:line="9" w:lineRule="exact"/>
        <w:rPr>
          <w:rFonts w:ascii="Arial" w:cs="Arial" w:eastAsia="Arial" w:hAnsi="Arial"/>
          <w:sz w:val="18"/>
          <w:szCs w:val="18"/>
          <w:color w:val="auto"/>
        </w:rPr>
      </w:pPr>
    </w:p>
    <w:p>
      <w:pPr>
        <w:ind w:left="660" w:right="160" w:hanging="652"/>
        <w:spacing w:after="0" w:line="253"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transaction costs ($0.3 million for the three months ended December 31, 2020, and $13.8 million and $0.3 million for the nine months ended December 31, 2021 and 2020, respectively), severance costs ($0.1 million and $4.1 million for the nine months ended December 31, 2021 and 2020, respectively), loss on change in fair value for contingent consideration obligation ($1.6 million for the three and nine months ended December 31, 2021, and $0.4 million for the three and nine months ended December 31, 2020), and other non-core operating income and expenses.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ind w:left="660" w:right="20" w:hanging="652"/>
        <w:spacing w:after="0" w:line="285" w:lineRule="auto"/>
        <w:tabs>
          <w:tab w:leader="none" w:pos="654"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22.6% applied to pre-tax adjusted net income for the three and nine months ended December 31, 2021, and a blended statutory rate of 25.0% applied to pre-tax adjusted net income for the three and nine months ended December 31, 2020. The 22.6% rate for the three and nine months ended December 31, 2021 is based on a federal statutory rate of 21.0% and a combined state, local and foreign rate net of federal benefits of 1.6%, and the 25.0% rate for the three and nine months ended December 31, 2020 is based on a federal statutory rate of 21.0% and a combined state, local and foreign rate net of federal benefits of 4.0%.</w:t>
      </w:r>
    </w:p>
    <w:p>
      <w:pPr>
        <w:spacing w:after="0" w:line="1" w:lineRule="exact"/>
        <w:rPr>
          <w:rFonts w:ascii="Arial" w:cs="Arial" w:eastAsia="Arial" w:hAnsi="Arial"/>
          <w:sz w:val="16"/>
          <w:szCs w:val="16"/>
          <w:color w:val="auto"/>
        </w:rPr>
      </w:pPr>
    </w:p>
    <w:p>
      <w:pPr>
        <w:ind w:left="660" w:right="140" w:hanging="652"/>
        <w:spacing w:after="0" w:line="260"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other income (loss) net of amounts for Tax Receivable Agreements adjustments recognized as other income (loss) ($(1.4) million for the nine months ended December 31, 2021).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Performance</w:t>
      </w:r>
    </w:p>
    <w:p>
      <w:pPr>
        <w:spacing w:after="0" w:line="222"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September 30, 2021 and have not been adjusted to reflect acquisitions or disposals of investments subsequent to that date.</w:t>
      </w:r>
    </w:p>
    <w:p>
      <w:pPr>
        <w:spacing w:after="0" w:line="191"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7"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15"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(as defined below)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15"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5" w:lineRule="exact"/>
        <w:rPr>
          <w:rFonts w:ascii="Arial" w:cs="Arial" w:eastAsia="Arial" w:hAnsi="Arial"/>
          <w:sz w:val="20"/>
          <w:szCs w:val="20"/>
          <w:color w:val="auto"/>
        </w:rPr>
      </w:pPr>
    </w:p>
    <w:p>
      <w:pPr>
        <w:ind w:left="660" w:right="340" w:hanging="328"/>
        <w:spacing w:after="0" w:line="316"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w:t>
      </w:r>
    </w:p>
    <w:p>
      <w:pPr>
        <w:spacing w:after="0" w:line="216" w:lineRule="exact"/>
        <w:rPr>
          <w:sz w:val="20"/>
          <w:szCs w:val="20"/>
          <w:color w:val="auto"/>
        </w:rPr>
      </w:pPr>
    </w:p>
    <w:p>
      <w:pPr>
        <w:ind w:left="660" w:right="100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176"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September 30,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1" w:lineRule="exact"/>
        <w:rPr>
          <w:sz w:val="20"/>
          <w:szCs w:val="20"/>
          <w:color w:val="auto"/>
        </w:rPr>
      </w:pPr>
    </w:p>
    <w:p>
      <w:pPr>
        <w:jc w:val="both"/>
        <w:ind w:left="660" w:right="260" w:hanging="328"/>
        <w:spacing w:after="0" w:line="385" w:lineRule="auto"/>
        <w:tabs>
          <w:tab w:leader="none" w:pos="6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“IRR” refers to the annualized internal rate of return for all investments within the relevant investment strategy on an inception-to-date basis as of September 30, 2021 (except as noted otherwise below), based on contributions, distributions and unrealized value;</w:t>
      </w:r>
    </w:p>
    <w:p>
      <w:pPr>
        <w:spacing w:after="0" w:line="84"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w:t>
      </w:r>
    </w:p>
    <w:p>
      <w:pPr>
        <w:spacing w:after="0" w:line="215"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“TVM” refers to the total value to paid-in capital or invested capital expressed as a multiple, and is calculated as distributions plus unrealized valuations divided by invested capital (excluding capitalized costs); and</w:t>
      </w:r>
    </w:p>
    <w:p>
      <w:pPr>
        <w:spacing w:after="0" w:line="176"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StepStone Performance Summary by Asset Class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940" w:type="dxa"/>
            <w:vAlign w:val="bottom"/>
            <w:shd w:val="clear" w:color="auto" w:fill="CCEEFF"/>
          </w:tcPr>
          <w:p>
            <w:pPr>
              <w:jc w:val="center"/>
              <w:ind w:left="234"/>
              <w:spacing w:after="0" w:line="135"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74"/>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ind w:left="80"/>
              <w:spacing w:after="0"/>
              <w:rPr>
                <w:sz w:val="20"/>
                <w:szCs w:val="20"/>
                <w:color w:val="auto"/>
              </w:rPr>
            </w:pPr>
            <w:r>
              <w:rPr>
                <w:rFonts w:ascii="Arial" w:cs="Arial" w:eastAsia="Arial" w:hAnsi="Arial"/>
                <w:sz w:val="28"/>
                <w:szCs w:val="28"/>
                <w:b w:val="1"/>
                <w:bCs w:val="1"/>
                <w:color w:val="auto"/>
                <w:vertAlign w:val="subscript"/>
              </w:rPr>
              <w:t>IRR</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(1,3)</w:t>
            </w:r>
          </w:p>
        </w:tc>
        <w:tc>
          <w:tcPr>
            <w:tcW w:w="940" w:type="dxa"/>
            <w:vAlign w:val="bottom"/>
            <w:shd w:val="clear" w:color="auto" w:fill="CCEEFF"/>
          </w:tcPr>
          <w:p>
            <w:pPr>
              <w:jc w:val="center"/>
              <w:ind w:left="234"/>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7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21"/>
                <w:szCs w:val="21"/>
                <w:b w:val="1"/>
                <w:bCs w:val="1"/>
                <w:color w:val="auto"/>
                <w:vertAlign w:val="subscript"/>
              </w:rPr>
              <w:t>TVM</w:t>
            </w:r>
            <w:r>
              <w:rPr>
                <w:rFonts w:ascii="Arial" w:cs="Arial" w:eastAsia="Arial" w:hAnsi="Arial"/>
                <w:sz w:val="8"/>
                <w:szCs w:val="8"/>
                <w:b w:val="1"/>
                <w:bCs w:val="1"/>
                <w:color w:val="auto"/>
              </w:rPr>
              <w:t>(2)</w:t>
            </w: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(3,4)</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TVM</w:t>
            </w:r>
            <w:r>
              <w:rPr>
                <w:rFonts w:ascii="Arial" w:cs="Arial" w:eastAsia="Arial" w:hAnsi="Arial"/>
                <w:sz w:val="8"/>
                <w:szCs w:val="8"/>
                <w:b w:val="1"/>
                <w:bCs w:val="1"/>
                <w:color w:val="auto"/>
              </w:rPr>
              <w:t>(2)</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(3,5)</w:t>
            </w:r>
          </w:p>
        </w:tc>
        <w:tc>
          <w:tcPr>
            <w:tcW w:w="620" w:type="dxa"/>
            <w:vAlign w:val="bottom"/>
            <w:gridSpan w:val="2"/>
            <w:shd w:val="clear" w:color="auto" w:fill="CCEEFF"/>
          </w:tcPr>
          <w:p>
            <w:pPr>
              <w:jc w:val="center"/>
              <w:ind w:right="240"/>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(3,7)</w:t>
            </w: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40" w:type="dxa"/>
            <w:vAlign w:val="bottom"/>
            <w:tcBorders>
              <w:top w:val="single" w:sz="8" w:color="auto"/>
              <w:bottom w:val="single" w:sz="8" w:color="auto"/>
            </w:tcBorders>
          </w:tcPr>
          <w:p>
            <w:pPr>
              <w:jc w:val="center"/>
              <w:ind w:left="234"/>
              <w:spacing w:after="0"/>
              <w:rPr>
                <w:sz w:val="20"/>
                <w:szCs w:val="20"/>
                <w:color w:val="auto"/>
              </w:rPr>
            </w:pPr>
            <w:r>
              <w:rPr>
                <w:rFonts w:ascii="Arial" w:cs="Arial" w:eastAsia="Arial" w:hAnsi="Arial"/>
                <w:sz w:val="14"/>
                <w:szCs w:val="14"/>
                <w:color w:val="auto"/>
                <w:w w:val="90"/>
              </w:rPr>
              <w:t>19.7%</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1.7x</w:t>
            </w:r>
          </w:p>
        </w:tc>
        <w:tc>
          <w:tcPr>
            <w:tcW w:w="80" w:type="dxa"/>
            <w:vAlign w:val="bottom"/>
            <w:tcBorders>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8.5%</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8"/>
              </w:rPr>
              <w:t>1.5x</w:t>
            </w:r>
          </w:p>
        </w:tc>
        <w:tc>
          <w:tcPr>
            <w:tcW w:w="100" w:type="dxa"/>
            <w:vAlign w:val="bottom"/>
            <w:tcBorders>
              <w:bottom w:val="single" w:sz="8" w:color="CCEEFF"/>
            </w:tcBorders>
          </w:tcPr>
          <w:p>
            <w:pPr>
              <w:spacing w:after="0"/>
              <w:rPr>
                <w:sz w:val="15"/>
                <w:szCs w:val="15"/>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color w:val="auto"/>
                <w:w w:val="93"/>
              </w:rPr>
              <w:t>9.9%</w:t>
            </w:r>
          </w:p>
        </w:tc>
        <w:tc>
          <w:tcPr>
            <w:tcW w:w="100" w:type="dxa"/>
            <w:vAlign w:val="bottom"/>
            <w:tcBorders>
              <w:bottom w:val="single" w:sz="8" w:color="CCEEFF"/>
            </w:tcBorders>
          </w:tcPr>
          <w:p>
            <w:pPr>
              <w:spacing w:after="0"/>
              <w:rPr>
                <w:sz w:val="15"/>
                <w:szCs w:val="15"/>
                <w:color w:val="auto"/>
              </w:rPr>
            </w:pPr>
          </w:p>
        </w:tc>
        <w:tc>
          <w:tcPr>
            <w:tcW w:w="18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Direct lending (Gross)</w:t>
            </w:r>
            <w:r>
              <w:rPr>
                <w:rFonts w:ascii="Arial" w:cs="Arial" w:eastAsia="Arial" w:hAnsi="Arial"/>
                <w:sz w:val="18"/>
                <w:szCs w:val="18"/>
                <w:color w:val="auto"/>
                <w:vertAlign w:val="superscript"/>
              </w:rPr>
              <w:t>(8)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7.4%</w:t>
            </w:r>
          </w:p>
        </w:tc>
        <w:tc>
          <w:tcPr>
            <w:tcW w:w="0" w:type="dxa"/>
            <w:vAlign w:val="bottom"/>
          </w:tcPr>
          <w:p>
            <w:pPr>
              <w:spacing w:after="0"/>
              <w:rPr>
                <w:sz w:val="1"/>
                <w:szCs w:val="1"/>
                <w:color w:val="auto"/>
              </w:rPr>
            </w:pPr>
          </w:p>
        </w:tc>
      </w:tr>
      <w:tr>
        <w:trPr>
          <w:trHeight w:val="128"/>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40" w:type="dxa"/>
            <w:vAlign w:val="bottom"/>
            <w:vMerge w:val="restart"/>
            <w:shd w:val="clear" w:color="auto" w:fill="CCEEFF"/>
          </w:tcPr>
          <w:p>
            <w:pPr>
              <w:jc w:val="center"/>
              <w:ind w:left="234"/>
              <w:spacing w:after="0"/>
              <w:rPr>
                <w:sz w:val="20"/>
                <w:szCs w:val="20"/>
                <w:color w:val="auto"/>
              </w:rPr>
            </w:pPr>
            <w:r>
              <w:rPr>
                <w:rFonts w:ascii="Arial" w:cs="Arial" w:eastAsia="Arial" w:hAnsi="Arial"/>
                <w:sz w:val="14"/>
                <w:szCs w:val="14"/>
                <w:color w:val="auto"/>
                <w:w w:val="90"/>
              </w:rPr>
              <w:t>21.6%</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1.6x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10.1%</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74"/>
              <w:spacing w:after="0"/>
              <w:rPr>
                <w:sz w:val="20"/>
                <w:szCs w:val="20"/>
                <w:color w:val="auto"/>
              </w:rPr>
            </w:pPr>
            <w:r>
              <w:rPr>
                <w:rFonts w:ascii="Arial" w:cs="Arial" w:eastAsia="Arial" w:hAnsi="Arial"/>
                <w:sz w:val="14"/>
                <w:szCs w:val="14"/>
                <w:color w:val="auto"/>
                <w:w w:val="95"/>
              </w:rPr>
              <w:t>11.5%</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 (Gross)</w:t>
            </w:r>
            <w:r>
              <w:rPr>
                <w:rFonts w:ascii="Arial" w:cs="Arial" w:eastAsia="Arial" w:hAnsi="Arial"/>
                <w:sz w:val="18"/>
                <w:szCs w:val="18"/>
                <w:color w:val="auto"/>
                <w:vertAlign w:val="superscript"/>
              </w:rPr>
              <w:t>(8)</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10.8%</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p>
        </w:tc>
        <w:tc>
          <w:tcPr>
            <w:tcW w:w="940" w:type="dxa"/>
            <w:vAlign w:val="bottom"/>
            <w:vMerge w:val="restart"/>
          </w:tcPr>
          <w:p>
            <w:pPr>
              <w:jc w:val="center"/>
              <w:ind w:left="234"/>
              <w:spacing w:after="0"/>
              <w:rPr>
                <w:sz w:val="20"/>
                <w:szCs w:val="20"/>
                <w:color w:val="auto"/>
              </w:rPr>
            </w:pPr>
            <w:r>
              <w:rPr>
                <w:rFonts w:ascii="Arial" w:cs="Arial" w:eastAsia="Arial" w:hAnsi="Arial"/>
                <w:sz w:val="14"/>
                <w:szCs w:val="14"/>
                <w:color w:val="auto"/>
                <w:w w:val="90"/>
              </w:rPr>
              <w:t>25.1%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1.9x</w:t>
            </w:r>
          </w:p>
        </w:tc>
        <w:tc>
          <w:tcPr>
            <w:tcW w:w="1840" w:type="dxa"/>
            <w:vAlign w:val="bottom"/>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6.2%</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1.2x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(6)</w:t>
            </w:r>
          </w:p>
        </w:tc>
        <w:tc>
          <w:tcPr>
            <w:tcW w:w="520" w:type="dxa"/>
            <w:vAlign w:val="bottom"/>
            <w:vMerge w:val="restart"/>
          </w:tcPr>
          <w:p>
            <w:pPr>
              <w:jc w:val="center"/>
              <w:ind w:right="74"/>
              <w:spacing w:after="0"/>
              <w:rPr>
                <w:sz w:val="20"/>
                <w:szCs w:val="20"/>
                <w:color w:val="auto"/>
              </w:rPr>
            </w:pPr>
            <w:r>
              <w:rPr>
                <w:rFonts w:ascii="Arial" w:cs="Arial" w:eastAsia="Arial" w:hAnsi="Arial"/>
                <w:sz w:val="14"/>
                <w:szCs w:val="14"/>
                <w:color w:val="auto"/>
                <w:w w:val="93"/>
              </w:rPr>
              <w:t>8.6%</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Other (Gross)</w:t>
            </w:r>
            <w:r>
              <w:rPr>
                <w:rFonts w:ascii="Arial" w:cs="Arial" w:eastAsia="Arial" w:hAnsi="Arial"/>
                <w:sz w:val="18"/>
                <w:szCs w:val="18"/>
                <w:color w:val="auto"/>
                <w:vertAlign w:val="superscript"/>
              </w:rPr>
              <w:t>(8,9)</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9.6%</w:t>
            </w:r>
          </w:p>
        </w:tc>
        <w:tc>
          <w:tcPr>
            <w:tcW w:w="0" w:type="dxa"/>
            <w:vAlign w:val="bottom"/>
          </w:tcPr>
          <w:p>
            <w:pPr>
              <w:spacing w:after="0"/>
              <w:rPr>
                <w:sz w:val="1"/>
                <w:szCs w:val="1"/>
                <w:color w:val="auto"/>
              </w:rPr>
            </w:pPr>
          </w:p>
        </w:tc>
      </w:tr>
      <w:tr>
        <w:trPr>
          <w:trHeight w:val="189"/>
        </w:trPr>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14.8%</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Private debt gross track</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record</w:t>
            </w:r>
            <w:r>
              <w:rPr>
                <w:rFonts w:ascii="Arial" w:cs="Arial" w:eastAsia="Arial" w:hAnsi="Arial"/>
                <w:sz w:val="18"/>
                <w:szCs w:val="18"/>
                <w:b w:val="1"/>
                <w:bCs w:val="1"/>
                <w:color w:val="auto"/>
                <w:vertAlign w:val="superscript"/>
              </w:rPr>
              <w:t>(8)</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Private debt net track</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7.9%</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w:t>
            </w: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20" w:hanging="652"/>
        <w:spacing w:after="0" w:line="250"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Private Equity includes 1,242 investments totaling $120.3 billion of capital commitments and excludes (i) two advisory co-investments and 137 client-directed investments, totaling $100.0 million and $16.4 billion, respectively, of capital commitments,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Arial" w:cs="Arial" w:eastAsia="Arial" w:hAnsi="Arial"/>
          <w:sz w:val="18"/>
          <w:szCs w:val="18"/>
          <w:color w:val="auto"/>
        </w:rPr>
      </w:pPr>
    </w:p>
    <w:p>
      <w:pPr>
        <w:ind w:left="660" w:right="180" w:hanging="652"/>
        <w:spacing w:after="0" w:line="250"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IRR and Net TVM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1" w:lineRule="exact"/>
        <w:rPr>
          <w:rFonts w:ascii="Arial" w:cs="Arial" w:eastAsia="Arial" w:hAnsi="Arial"/>
          <w:sz w:val="18"/>
          <w:szCs w:val="18"/>
          <w:color w:val="auto"/>
        </w:rPr>
      </w:pPr>
    </w:p>
    <w:p>
      <w:pPr>
        <w:ind w:left="1300" w:right="360" w:hanging="644"/>
        <w:spacing w:after="0" w:line="250" w:lineRule="auto"/>
        <w:tabs>
          <w:tab w:leader="none" w:pos="12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 5 basis points of capital commitments for fund expenses, and 1 basis point of capital commitments drawn down in the first cash flow quarter for organizational costs.</w:t>
      </w:r>
    </w:p>
    <w:p>
      <w:pPr>
        <w:ind w:left="1300" w:right="40" w:hanging="644"/>
        <w:spacing w:after="0" w:line="281" w:lineRule="auto"/>
        <w:tabs>
          <w:tab w:leader="none" w:pos="1296" w:val="left"/>
        </w:tabs>
        <w:numPr>
          <w:ilvl w:val="1"/>
          <w:numId w:val="41"/>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2" w:lineRule="exact"/>
        <w:rPr>
          <w:rFonts w:ascii="Arial" w:cs="Arial" w:eastAsia="Arial" w:hAnsi="Arial"/>
          <w:sz w:val="16"/>
          <w:szCs w:val="16"/>
          <w:color w:val="auto"/>
        </w:rPr>
      </w:pPr>
    </w:p>
    <w:p>
      <w:pPr>
        <w:jc w:val="both"/>
        <w:ind w:left="1300" w:right="60" w:hanging="644"/>
        <w:spacing w:after="0" w:line="302" w:lineRule="auto"/>
        <w:tabs>
          <w:tab w:leader="none" w:pos="1292" w:val="left"/>
        </w:tabs>
        <w:numPr>
          <w:ilvl w:val="1"/>
          <w:numId w:val="41"/>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 5 basis points of capital commitments for fund expenses, and 1 basis point of capital commitments drawn down in the first cash flow quarter for organizational costs. Co-investments also include 10.0% of paid and unrealized carry (15.0% of paid and unrealized carry for Real Estate), with an 8% preferred return hurdle.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ind w:left="660" w:right="420"/>
        <w:spacing w:after="0" w:line="253" w:lineRule="auto"/>
        <w:rPr>
          <w:sz w:val="20"/>
          <w:szCs w:val="20"/>
          <w:color w:val="auto"/>
        </w:rPr>
      </w:pPr>
      <w:r>
        <w:rPr>
          <w:rFonts w:ascii="Arial" w:cs="Arial" w:eastAsia="Arial" w:hAnsi="Arial"/>
          <w:sz w:val="18"/>
          <w:szCs w:val="18"/>
          <w:color w:val="auto"/>
        </w:rPr>
        <w:t>Net IRR and Net TVM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September 30, 2021, as reported by underlying managers up to 100 days following September 30, 2021. For investment returns where NAV data is not available by 100 days following September 30, 2021, such NAVs are adjusted for cash activity following the last available reported NAV.</w:t>
      </w:r>
    </w:p>
    <w:p>
      <w:pPr>
        <w:spacing w:after="0" w:line="3" w:lineRule="exact"/>
        <w:rPr>
          <w:sz w:val="20"/>
          <w:szCs w:val="20"/>
          <w:color w:val="auto"/>
        </w:rPr>
      </w:pPr>
    </w:p>
    <w:p>
      <w:pPr>
        <w:ind w:left="660" w:right="40" w:hanging="652"/>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Arial" w:cs="Arial" w:eastAsia="Arial" w:hAnsi="Arial"/>
          <w:sz w:val="18"/>
          <w:szCs w:val="18"/>
          <w:color w:val="auto"/>
        </w:rPr>
      </w:pPr>
    </w:p>
    <w:p>
      <w:pPr>
        <w:ind w:left="660" w:right="100" w:hanging="652"/>
        <w:spacing w:after="0" w:line="265" w:lineRule="auto"/>
        <w:tabs>
          <w:tab w:leader="none" w:pos="654"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Real Estate includes 428 investments totaling $61.5 billion of capital commitments and excludes (i) 49 client-directed investments, totaling $6.1 billion of capital commitments, (ii) six secondary core/core+ investments, totaling $572.1 million, (iii) four advisory fund investments totaling $463.6 million, and (iv)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Includes the discretionary track record of Courtland Partners, Ltd., which StepStone acquired on April 1, 2018 (the “Courtland acquisition”).</w:t>
      </w:r>
    </w:p>
    <w:p>
      <w:pPr>
        <w:ind w:left="660" w:right="20" w:hanging="652"/>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Infrastructure includes 161 investments totaling $31.7 billion of capital commitments and excludes (i) approximately 11 infrastructure investments made by the Partnership prior to the formation of the Infrastructure subsidiary in 2013 or made prior to the Courtland acquisition, and 16 client-directed investments, totaling $501.9 million and $1.2 billion, respectively,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2" w:lineRule="exact"/>
        <w:rPr>
          <w:rFonts w:ascii="Arial" w:cs="Arial" w:eastAsia="Arial" w:hAnsi="Arial"/>
          <w:sz w:val="18"/>
          <w:szCs w:val="18"/>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asset management investments.</w:t>
      </w:r>
    </w:p>
    <w:p>
      <w:pPr>
        <w:spacing w:after="0" w:line="9" w:lineRule="exact"/>
        <w:rPr>
          <w:rFonts w:ascii="Arial" w:cs="Arial" w:eastAsia="Arial" w:hAnsi="Arial"/>
          <w:sz w:val="18"/>
          <w:szCs w:val="18"/>
          <w:color w:val="auto"/>
        </w:rPr>
      </w:pPr>
    </w:p>
    <w:p>
      <w:pPr>
        <w:ind w:left="660" w:hanging="652"/>
        <w:spacing w:after="0" w:line="265" w:lineRule="auto"/>
        <w:tabs>
          <w:tab w:leader="none" w:pos="654"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Private Debt includes 630 investments totaling $29.0 billion of capital commitments and excludes (i) 27 client-directed investments, totaling $2.0 billion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IRR is presented solely for illustrative purposes and does not represent actual returns received by any investor in any of the StepStone Funds represented above. StepStone fees and expenses are based on the following assumptions (management fees represent an annual rate): Private Debt fund investments include 65 basis points on the quarterly net asset value for management fee. Net IRR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September 30, 2021, as reported by underlying managers up to 100 days following September 30, 2021. For investment returns where NAV data is not available by 100 days following September 30, 2021, such NAVs are adjusted for cash activity following the last available reported NAV.</w:t>
      </w:r>
    </w:p>
    <w:p>
      <w:pPr>
        <w:spacing w:after="0" w:line="1" w:lineRule="exact"/>
        <w:rPr>
          <w:rFonts w:ascii="Arial" w:cs="Arial" w:eastAsia="Arial" w:hAnsi="Arial"/>
          <w:sz w:val="17"/>
          <w:szCs w:val="17"/>
          <w:color w:val="auto"/>
        </w:rPr>
      </w:pPr>
    </w:p>
    <w:p>
      <w:pPr>
        <w:ind w:left="660" w:right="600" w:hanging="652"/>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Subset performance is presented net of fees and expenses charged by the underlying fund manager only (performance results do not reflect StepStone fees and expenses).</w:t>
      </w:r>
    </w:p>
    <w:p>
      <w:pPr>
        <w:ind w:left="660" w:right="300" w:hanging="652"/>
        <w:spacing w:after="0" w:line="26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includes mezzanine debt, infrastructure debt, collateralized loan obligations, private performing debt, senior debt, fund of funds, leasing, regulatory capital, trade finance and intellectual property/royalty.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2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funding our growth initiatives, including capital expenditures and acquisitions to expand into new businesses.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1"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As of December 31, 2021, we had $136.9 million of cash, cash equivalents and restricted cash and $1,446.2 million of investments in StepStone Funds, including $1,347.4 million of accrued carried interest allocations, against $62.8 million in debt obligations, net of debt issuance costs, and $688.1 million in accrued carried interest-related compensation payable.</w:t>
      </w:r>
    </w:p>
    <w:p>
      <w:pPr>
        <w:spacing w:after="0" w:line="186"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3"/>
              </w:rPr>
              <w:t>Nine Months Ended December 31,</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120,297</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(201,475)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(8,549)</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16" w:lineRule="exact"/>
        <w:rPr>
          <w:sz w:val="20"/>
          <w:szCs w:val="20"/>
          <w:color w:val="auto"/>
        </w:rPr>
      </w:pPr>
    </w:p>
    <w:p>
      <w:pPr>
        <w:ind w:right="340" w:firstLine="648"/>
        <w:spacing w:after="0" w:line="316" w:lineRule="auto"/>
        <w:rPr>
          <w:sz w:val="20"/>
          <w:szCs w:val="20"/>
          <w:color w:val="auto"/>
        </w:rPr>
      </w:pPr>
      <w:r>
        <w:rPr>
          <w:rFonts w:ascii="Arial" w:cs="Arial" w:eastAsia="Arial" w:hAnsi="Arial"/>
          <w:sz w:val="18"/>
          <w:szCs w:val="18"/>
          <w:color w:val="auto"/>
        </w:rPr>
        <w:t>Operating activities provided $182.0 million and $120.3 million of cash for the nine months ended December 31, 2021 and 2020, respectively. For the nine months ended December 31, 2021 and 2020, respectively, these amounts primarily consisted of the following:</w:t>
      </w:r>
    </w:p>
    <w:p>
      <w:pPr>
        <w:spacing w:after="0" w:line="130" w:lineRule="exact"/>
        <w:rPr>
          <w:sz w:val="20"/>
          <w:szCs w:val="20"/>
          <w:color w:val="auto"/>
        </w:rPr>
      </w:pPr>
    </w:p>
    <w:p>
      <w:pPr>
        <w:ind w:left="980" w:right="220" w:hanging="324"/>
        <w:spacing w:after="0" w:line="287" w:lineRule="auto"/>
        <w:tabs>
          <w:tab w:leader="none" w:pos="968" w:val="left"/>
        </w:tabs>
        <w:numPr>
          <w:ilvl w:val="0"/>
          <w:numId w:val="43"/>
        </w:numPr>
        <w:rPr>
          <w:rFonts w:ascii="Arial" w:cs="Arial" w:eastAsia="Arial" w:hAnsi="Arial"/>
          <w:sz w:val="19"/>
          <w:szCs w:val="19"/>
          <w:color w:val="auto"/>
        </w:rPr>
      </w:pPr>
      <w:r>
        <w:rPr>
          <w:rFonts w:ascii="Arial" w:cs="Arial" w:eastAsia="Arial" w:hAnsi="Arial"/>
          <w:sz w:val="19"/>
          <w:szCs w:val="19"/>
          <w:color w:val="auto"/>
        </w:rPr>
        <w:t>net income, after adjustments for non-cash items (including unrealized carried interest allocations, unrealized performance fee-related compensation, and unrealized investment income), of $165.4 million and $89.7 million; and</w:t>
      </w:r>
    </w:p>
    <w:p>
      <w:pPr>
        <w:spacing w:after="0" w:line="152" w:lineRule="exact"/>
        <w:rPr>
          <w:rFonts w:ascii="Arial" w:cs="Arial" w:eastAsia="Arial" w:hAnsi="Arial"/>
          <w:sz w:val="19"/>
          <w:szCs w:val="19"/>
          <w:color w:val="auto"/>
        </w:rPr>
      </w:pPr>
    </w:p>
    <w:p>
      <w:pPr>
        <w:ind w:left="960" w:hanging="304"/>
        <w:spacing w:after="0"/>
        <w:tabs>
          <w:tab w:leader="none" w:pos="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$16.6 million and $30.6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16" w:lineRule="exact"/>
        <w:rPr>
          <w:sz w:val="20"/>
          <w:szCs w:val="20"/>
          <w:color w:val="auto"/>
        </w:rPr>
      </w:pPr>
    </w:p>
    <w:p>
      <w:pPr>
        <w:ind w:right="940" w:firstLine="648"/>
        <w:spacing w:after="0" w:line="260" w:lineRule="auto"/>
        <w:rPr>
          <w:sz w:val="20"/>
          <w:szCs w:val="20"/>
          <w:color w:val="auto"/>
        </w:rPr>
      </w:pPr>
      <w:r>
        <w:rPr>
          <w:rFonts w:ascii="Arial" w:cs="Arial" w:eastAsia="Arial" w:hAnsi="Arial"/>
          <w:sz w:val="20"/>
          <w:szCs w:val="20"/>
          <w:color w:val="auto"/>
        </w:rPr>
        <w:t>Investing activities used $201.5 million and $8.5 million of cash for the nine months ended December 31, 2021 and 2020, respectively, and primarily consisted of the following amounts:</w:t>
      </w:r>
    </w:p>
    <w:p>
      <w:pPr>
        <w:spacing w:after="0" w:line="177" w:lineRule="exact"/>
        <w:rPr>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net contributions to investments of $10.3 million and $7.5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net contributions to investments in legacy Greenspring entities of $8.1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purchases of fixed assets of $1.6 million and $1.0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cash payments for acquisitions, net of cash acquired, of $181.5 million and $0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Financing Activities</w:t>
      </w:r>
    </w:p>
    <w:p>
      <w:pPr>
        <w:spacing w:after="0" w:line="216" w:lineRule="exact"/>
        <w:rPr>
          <w:sz w:val="20"/>
          <w:szCs w:val="20"/>
          <w:color w:val="auto"/>
        </w:rPr>
      </w:pPr>
    </w:p>
    <w:p>
      <w:pPr>
        <w:ind w:right="860" w:firstLine="648"/>
        <w:spacing w:after="0" w:line="260" w:lineRule="auto"/>
        <w:rPr>
          <w:sz w:val="20"/>
          <w:szCs w:val="20"/>
          <w:color w:val="auto"/>
        </w:rPr>
      </w:pPr>
      <w:r>
        <w:rPr>
          <w:rFonts w:ascii="Arial" w:cs="Arial" w:eastAsia="Arial" w:hAnsi="Arial"/>
          <w:sz w:val="20"/>
          <w:szCs w:val="20"/>
          <w:color w:val="auto"/>
        </w:rPr>
        <w:t>Financing activities used $27.1 million and $12.5 million of cash for the nine months ended December 31, 2021 and 2020, respectively, and primarily consisted of the following:</w:t>
      </w:r>
    </w:p>
    <w:p>
      <w:pPr>
        <w:spacing w:after="0" w:line="177" w:lineRule="exact"/>
        <w:rPr>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sale of non-controlling interests of $0 million and $3.3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proceeds from IPO, net of underwriting discounts, of $0 million and $337.8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net borrowings on revolving credit facility of $65.0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payment of deferred financing costs of $2.4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purchase of non-controlling interests of $3.0 million and $131.3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payment of deferred offering costs of $1.3 million and $9.7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payments on prior term loan of $0 million and $147.0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distributions to non-controlling interests of $74.5 million and $64.9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proceeds from capital contributions to legacy Greenspring entities of $9.1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distributions to non-controlling interests in legacy Greenspring entities of $4.6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dividends paid to common stockholders of $14.8 million and $0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payments to related parties under the Tax Receivable Agreements of $0.7 million and $0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2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8"/>
          <w:szCs w:val="18"/>
          <w:color w:val="auto"/>
        </w:rPr>
        <w:t>In September 2021, we entered into the Credit Agreement with various lenders in connection with the Greenspring acquisition. The Credit Agreement was arranged by JPMorgan Chase Bank, N.A., as administrative agent, and provides for a $225.0 million multicurrency Revolver with a five-year maturity. As of December 31, 2021, we had $62.8 million outstanding on the Revolver, net of debt issuance costs.</w:t>
      </w:r>
    </w:p>
    <w:p>
      <w:pPr>
        <w:spacing w:after="0" w:line="15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Borrowings under the Revolver bear interest at a variable rate per annum. We may designate each borrowing as (i) in the case of any borrowing in U.S. dollars, a base rate loan or a LIBOR rate loan, (ii) in the case of any borrowing denominated in Euros, a EURIBOR rate loan, (iii) in the case of any borrowing denominated in British Pounds Sterling, a SONIA loan, (iv) in the case of any borrowing denominated in Swiss Francs, a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interest rate in effect for the Revolver as of December 31, 2021 was 2.13%.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1"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52"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beginning with the quarter ending December 31, 2021. As of December 31, 2021, we were in compliance with the total net leverage ratio and minimum fee-earning assets under management covenants.</w:t>
      </w:r>
    </w:p>
    <w:p>
      <w:pPr>
        <w:spacing w:after="0" w:line="165"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We can use available funding capacity under the Revolver to satisfy letters of credit in amounts up to $10.0 million. Amounts used to satisfy the letters of credit reduce the available capacity under the Revolver. As of December 31, 2021, we had outstanding letters of credit totaling $2.9 million.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0"/>
          <w:szCs w:val="20"/>
          <w:color w:val="auto"/>
        </w:rPr>
        <w:t>In June 2020, StepStone Group Real Assets LP (“SRA”) completed a transaction to repurchase partnership interests in SRA from a former partner for approximately $3.3 million, and subsequently sold an equal number of partnership interests to certain employees of SRA for approximately $3.3 million, resulting in no net proceeds to SRA.</w:t>
      </w:r>
    </w:p>
    <w:p>
      <w:pPr>
        <w:spacing w:after="0" w:line="186"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In connection with the consummation of the IPO, we issued new partnership interests to certain StepStone professionals in SRA in exchange for their partnership interests in SRA, which increased our interest in SRA to approximately 49% and decreased the interest of the StepStone professionals in SRA to approximately 51%.</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and a corresponding number of Class A units of the Partnership were issued to us. We did not receive any proceeds from the sale of shares by the selling stockholders.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In June 2021, we issued 1,898,438 shares of Class A common stock to certain limited partners of the Partnership in exchange for 1,898,438 Class B units. A corresponding number of shares of Class B common stock were automatically redeemed at par value and canceled in connection with such exchange and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1"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In September 2021, we issued 12,686,756 shares of Class A common stock and 3,071,519 Class C units of the Partnership as partial consideration for the Greenspring acquisition. In connection with the transaction, we amended the limited partnership agreement to create a new Class C limited partnership interest and admit the new limited partners that received Class C units as consideration for the Greenspring acquisition. We also entered into an agreement with the Class C limited partners to allow for exchange of Class C units to shares of Class A common stock of the Company on a one for one basis. The Class C limited partners became parties to the Exchanges Tax Receivable Agreement as a result of the transaction.</w:t>
      </w:r>
    </w:p>
    <w:p>
      <w:pPr>
        <w:spacing w:after="0" w:line="17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8"/>
          <w:szCs w:val="18"/>
          <w:color w:val="auto"/>
        </w:rPr>
        <w:t>In September 2021, we issued 2,087,281 shares of Class A common stock to certain limited partners of the Partnership in exchange for 2,087,281 Class B units. A corresponding number of shares of Class B common stock were automatically redeemed at par value and canceled in connection with such exchange and a corresponding number of Class A units of the Partnership were issued to us.</w:t>
      </w:r>
    </w:p>
    <w:p>
      <w:pPr>
        <w:spacing w:after="0" w:line="1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9"/>
          <w:szCs w:val="19"/>
          <w:color w:val="auto"/>
        </w:rPr>
        <w:t>In November 2021, we conducted an underwritten public offering of 4,500,000 shares of Class A common stock sold by selling stockholders at a public offering price of $51.83 per share. In connection with the offering, we issued 3,958,204 shares of Class A common stock to certain selling stockholders in exchange for 3,958,204 Class B units. A corresponding number of shares of Class B common stock were automatically redeemed at par value and canceled in connection with such exchange and a corresponding number of Class A units of the Partnership were issued to us. We also issued 142,695 shares of Class A common stock to certain selling stockholders in exchange for 142,695 Class C units and a corresponding number of Class A units of the Partnership were issued to us. We did not receive any proceeds from the sale of shares by the selling stockholders.</w:t>
      </w:r>
    </w:p>
    <w:p>
      <w:pPr>
        <w:spacing w:after="0" w:line="18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In December 2021, we issued 935,235 shares of Class A common stock to certain limited partners of the Partnership in exchange for 935,235 Class B units. A corresponding number of shares of Class B common stock were automatically redeemed at par value and canceled in connection with such exchange and a corresponding number of Class A units of the Partnership were issued to us.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16" w:lineRule="exact"/>
        <w:rPr>
          <w:sz w:val="20"/>
          <w:szCs w:val="20"/>
          <w:color w:val="auto"/>
        </w:rPr>
      </w:pPr>
    </w:p>
    <w:p>
      <w:pPr>
        <w:ind w:right="540" w:firstLine="648"/>
        <w:spacing w:after="0" w:line="260" w:lineRule="auto"/>
        <w:rPr>
          <w:sz w:val="20"/>
          <w:szCs w:val="20"/>
          <w:color w:val="auto"/>
        </w:rPr>
      </w:pPr>
      <w:r>
        <w:rPr>
          <w:rFonts w:ascii="Arial" w:cs="Arial" w:eastAsia="Arial" w:hAnsi="Arial"/>
          <w:sz w:val="20"/>
          <w:szCs w:val="20"/>
          <w:color w:val="auto"/>
        </w:rPr>
        <w:t>On June 15, 2021, we announced a dividend of $0.07 per share of Class A common stock, which was paid on July 15, 2021 to holders of record at the close of business on June 30, 2021.</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On August 10, 2021, we announced a dividend of $0.07 per share of Class A common stock, which was paid on September 15, 2021 to holders of record at the close of business on August 31, 2021.</w:t>
      </w:r>
    </w:p>
    <w:p>
      <w:pPr>
        <w:spacing w:after="0" w:line="177"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On November 9, 2021, we announced a dividend of $0.15 per share of Class A common stock, which was paid on December 15, 2021 to holders of record as of the close of business on November 30, 2021.</w:t>
      </w:r>
    </w:p>
    <w:p>
      <w:pPr>
        <w:spacing w:after="0" w:line="177"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On February 8, 2022, we announced a dividend of $0.15 per share of Class A common stock, payable on March 15, 2022 to holders of record as of the close of business on February 28,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8" w:name="page79"/>
    <w:bookmarkEnd w:id="78"/>
    <w:p>
      <w:pPr>
        <w:spacing w:after="0" w:line="141"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16"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We have entered into an Exchanges Tax Receivable Agreement with the partners of the Partnership as of the date of the IPO and with the Class C limited partners, and a Reorganization Tax Receivable Agreement with certain pre-IPO institutional investors (collectively, the “Tax Receivable Agreements”). The Tax Receivable Agreements provide for payment by SSG to these continuing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continuing partner’s and institutional investor’s Partnership units in connection with the Reorganization and IPO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the ordinary course of business, we enter into contractual arrangements that require future cash payments.</w:t>
      </w:r>
    </w:p>
    <w:p>
      <w:pPr>
        <w:spacing w:after="0" w:line="216" w:lineRule="exact"/>
        <w:rPr>
          <w:sz w:val="20"/>
          <w:szCs w:val="20"/>
          <w:color w:val="auto"/>
        </w:rPr>
      </w:pPr>
    </w:p>
    <w:p>
      <w:pPr>
        <w:ind w:right="160" w:firstLine="648"/>
        <w:spacing w:after="0" w:line="269" w:lineRule="auto"/>
        <w:rPr>
          <w:sz w:val="20"/>
          <w:szCs w:val="20"/>
          <w:color w:val="auto"/>
        </w:rPr>
      </w:pPr>
      <w:r>
        <w:rPr>
          <w:rFonts w:ascii="Arial" w:cs="Arial" w:eastAsia="Arial" w:hAnsi="Arial"/>
          <w:sz w:val="19"/>
          <w:szCs w:val="19"/>
          <w:color w:val="auto"/>
        </w:rPr>
        <w:t>In September 2021, we completed the acquisition of 100% of Greenspring. The transaction agreement includes an earn-out of up to $75 million that is payable in 2025 subject to the achievement of certain management fee revenue targets for calendar year 2024. As of December 31, 2021, the contingent consideration liability in respect of the Greenspring acquisition was $19.4 million.</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Also in connection with the Greenspring acquisition, we, indirectly through our subsidiaries, became the sole and/or managing member of certain entities, each of which is the general partner of an investment fund (“legacy Greenspring general partner entities”). We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We determined that the legacy Greenspring general partner entities are VIEs and it is the primary beneficiary of each such entity because it has a controlling financial interest in each entity. As a result, we consolidate these entities. As of December 31, 2021, there are $42.1 million of unfunded commitments held by the legacy Greenspring general partner entities in legacy Greenspring funds for which we do not hold an economic interest.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Off-Balance Sheet Arrangements</w:t>
      </w:r>
    </w:p>
    <w:p>
      <w:pPr>
        <w:spacing w:after="0" w:line="222" w:lineRule="exact"/>
        <w:rPr>
          <w:sz w:val="20"/>
          <w:szCs w:val="20"/>
          <w:color w:val="auto"/>
        </w:rPr>
      </w:pPr>
    </w:p>
    <w:p>
      <w:pPr>
        <w:ind w:right="340" w:firstLine="648"/>
        <w:spacing w:after="0" w:line="246"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15, respectively, to our condensed consolidated financial statements included elsewhere in this quarterly report for information on variable interest entities and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Critical Accounting Policies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5" w:lineRule="exact"/>
        <w:rPr>
          <w:sz w:val="20"/>
          <w:szCs w:val="20"/>
          <w:color w:val="auto"/>
        </w:rPr>
      </w:pPr>
    </w:p>
    <w:p>
      <w:pPr>
        <w:ind w:right="100" w:firstLine="648"/>
        <w:spacing w:after="0" w:line="385" w:lineRule="auto"/>
        <w:rPr>
          <w:sz w:val="20"/>
          <w:szCs w:val="20"/>
          <w:color w:val="auto"/>
        </w:rPr>
      </w:pPr>
      <w:r>
        <w:rPr>
          <w:rFonts w:ascii="Arial" w:cs="Arial" w:eastAsia="Arial" w:hAnsi="Arial"/>
          <w:sz w:val="16"/>
          <w:szCs w:val="16"/>
          <w:color w:val="auto"/>
        </w:rPr>
        <w:t>See note 2 to our condensed consolidated financial statements included elsewhere in this quarterly report, and note 2 to our audited consolidated financial statements in our Form 10-K for the year ended March 31, 2021 for a summary of our significant accounting policies.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Recent Accounting Developments</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22"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6"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Our management fee and advisory fee revenue is only marginally affected by changes in investment values because our management fees are generally based on commitments or net invested capital and our advisory fees are fixed. As of December 31, 2021, NAV-based management fees represented approximately 2% of total net management and advisory fees. We estimate that a 10% decline in market values of the investments held in our funds as of December 31, 2021 would result in an approximate $1.0 million decrease to annual management fees.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6" w:lineRule="exact"/>
        <w:rPr>
          <w:sz w:val="20"/>
          <w:szCs w:val="20"/>
          <w:color w:val="auto"/>
        </w:rPr>
      </w:pPr>
    </w:p>
    <w:p>
      <w:pPr>
        <w:ind w:left="660" w:right="80" w:hanging="328"/>
        <w:spacing w:after="0" w:line="263" w:lineRule="auto"/>
        <w:tabs>
          <w:tab w:leader="none" w:pos="648"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December 31, 2021, we had $18.5 million of deferred incentive fee revenue recorded in accounts payable, accrued expenses and other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41" w:lineRule="exact"/>
        <w:rPr>
          <w:sz w:val="20"/>
          <w:szCs w:val="20"/>
          <w:color w:val="auto"/>
        </w:rPr>
      </w:pPr>
    </w:p>
    <w:p>
      <w:pPr>
        <w:ind w:left="660" w:hanging="328"/>
        <w:spacing w:after="0" w:line="270"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December 31, 2021, the maximum amount of carried interest allocations (excluding legacy Greenspring carried interest allocations) subject to contingent repayment was an estimated $189.1 million, net of tax, assuming the fair value of all investments was zero, a possibility that we view as remote.</w:t>
      </w:r>
    </w:p>
    <w:p>
      <w:pPr>
        <w:spacing w:after="0" w:line="172" w:lineRule="exact"/>
        <w:rPr>
          <w:rFonts w:ascii="Arial" w:cs="Arial" w:eastAsia="Arial" w:hAnsi="Arial"/>
          <w:sz w:val="18"/>
          <w:szCs w:val="18"/>
          <w:color w:val="auto"/>
        </w:rPr>
      </w:pPr>
    </w:p>
    <w:p>
      <w:pPr>
        <w:ind w:left="660" w:right="80" w:hanging="328"/>
        <w:spacing w:after="0" w:line="246"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held as of December 31, 2021, we estimate that a 10% decline in fair value of the investments would result in a $9.9 million decrease in the amount of income.</w:t>
      </w:r>
    </w:p>
    <w:p>
      <w:pPr>
        <w:spacing w:after="0" w:line="18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Exchange Rate Risk</w:t>
      </w:r>
    </w:p>
    <w:p>
      <w:pPr>
        <w:spacing w:after="0" w:line="22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61"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one percent of total capital commitments. Changes in exchange rates are not expected to materially affect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22" w:lineRule="exact"/>
        <w:rPr>
          <w:sz w:val="20"/>
          <w:szCs w:val="20"/>
          <w:color w:val="auto"/>
        </w:rPr>
      </w:pPr>
    </w:p>
    <w:p>
      <w:pPr>
        <w:ind w:right="20" w:firstLine="648"/>
        <w:spacing w:after="0" w:line="328" w:lineRule="auto"/>
        <w:rPr>
          <w:sz w:val="20"/>
          <w:szCs w:val="20"/>
          <w:color w:val="auto"/>
        </w:rPr>
      </w:pPr>
      <w:r>
        <w:rPr>
          <w:rFonts w:ascii="Arial" w:cs="Arial" w:eastAsia="Arial" w:hAnsi="Arial"/>
          <w:sz w:val="16"/>
          <w:szCs w:val="16"/>
          <w:color w:val="auto"/>
        </w:rPr>
        <w:t>As of December 31, 2021, we had $65.0 million in borrowings outstanding under our Revolver. The Revolver accrues interest at a variable rate. As of December 31, 2021, we estimate that interest expense would increase by $0.7 million on an annualized basis as a result of a 100 basis point increase in interest rates. Of the $136.9 million of cash, cash equivalents and restricted cash as of December 31, 2021, we estimate that interest income would increase by $1.4 million on an annualized basis as a result of a 100 basis point increase in interest rates.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22" w:lineRule="exact"/>
        <w:rPr>
          <w:sz w:val="20"/>
          <w:szCs w:val="20"/>
          <w:color w:val="auto"/>
        </w:rPr>
      </w:pPr>
    </w:p>
    <w:p>
      <w:pPr>
        <w:jc w:val="both"/>
        <w:ind w:right="120" w:firstLine="648"/>
        <w:spacing w:after="0" w:line="278"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Disclosure Controls and Procedures</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Changes in Internal Controls over Financial Reporting</w:t>
      </w:r>
    </w:p>
    <w:p>
      <w:pPr>
        <w:spacing w:after="0" w:line="216"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December 31, 2021,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II—OTHER INFORMATION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jc w:val="both"/>
        <w:ind w:right="600" w:firstLine="648"/>
        <w:spacing w:after="0" w:line="250" w:lineRule="auto"/>
        <w:rPr>
          <w:sz w:val="20"/>
          <w:szCs w:val="20"/>
          <w:color w:val="auto"/>
        </w:rPr>
      </w:pPr>
      <w:r>
        <w:rPr>
          <w:rFonts w:ascii="Arial" w:cs="Arial" w:eastAsia="Arial" w:hAnsi="Arial"/>
          <w:sz w:val="20"/>
          <w:szCs w:val="20"/>
          <w:color w:val="auto"/>
        </w:rPr>
        <w:t>The information required with respect to this item can be found under the heading “Litigation” in note 15, Commitments and Contingencies, to our condensed consolidated financial statements included elsewhere in this quarterly report, and such information is incorporated by reference into this Item 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There have been no material changes from the risk factors previously disclosed in Part 1, Item 1A of our annual report on Form 10-K for the fiscal year ended March 31,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Except as previously disclosed in a Current Report on Form 8-K, no unregistered sales of the Company’s equity securities were made during the three months ended December 31,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4720" w:type="dxa"/>
            <w:vAlign w:val="bottom"/>
            <w:tcBorders>
              <w:bottom w:val="single" w:sz="8" w:color="auto"/>
            </w:tcBorders>
            <w:gridSpan w:val="17"/>
          </w:tcPr>
          <w:p>
            <w:pPr>
              <w:spacing w:after="0"/>
              <w:rPr>
                <w:sz w:val="20"/>
                <w:szCs w:val="20"/>
                <w:color w:val="auto"/>
              </w:rPr>
            </w:pPr>
            <w:r>
              <w:rPr>
                <w:rFonts w:ascii="Arial" w:cs="Arial" w:eastAsia="Arial" w:hAnsi="Arial"/>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Arial" w:cs="Arial" w:eastAsia="Arial" w:hAnsi="Arial"/>
                <w:sz w:val="18"/>
                <w:szCs w:val="18"/>
                <w:color w:val="0000FF"/>
                <w:w w:val="87"/>
              </w:rPr>
            </w:pPr>
            <w:hyperlink r:id="rId98">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720" w:type="dxa"/>
            <w:vAlign w:val="bottom"/>
            <w:gridSpan w:val="17"/>
          </w:tcPr>
          <w:p>
            <w:pPr>
              <w:spacing w:after="0" w:line="182"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Transaction Agreement, dated July 7, 2021, by and among,</w:t>
              </w:r>
            </w:hyperlink>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40" w:type="dxa"/>
            <w:vAlign w:val="bottom"/>
            <w:tcBorders>
              <w:top w:val="single" w:sz="8" w:color="0000FF"/>
            </w:tcBorders>
            <w:gridSpan w:val="7"/>
          </w:tcPr>
          <w:p>
            <w:pPr>
              <w:spacing w:after="0" w:line="15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StepStone Group Inc., StepStone Group LP, certain wholly</w:t>
              </w:r>
            </w:hyperlink>
          </w:p>
        </w:tc>
        <w:tc>
          <w:tcPr>
            <w:tcW w:w="80" w:type="dxa"/>
            <w:vAlign w:val="bottom"/>
            <w:gridSpan w:val="2"/>
          </w:tcPr>
          <w:p>
            <w:pPr>
              <w:jc w:val="right"/>
              <w:ind w:right="20"/>
              <w:spacing w:after="0" w:line="155" w:lineRule="exact"/>
              <w:rPr>
                <w:rFonts w:ascii="Arial" w:cs="Arial" w:eastAsia="Arial" w:hAnsi="Arial"/>
                <w:sz w:val="16"/>
                <w:szCs w:val="16"/>
                <w:color w:val="0000FF"/>
                <w:w w:val="74"/>
              </w:rPr>
            </w:pPr>
            <w:hyperlink r:id="rId98">
              <w:r>
                <w:rPr>
                  <w:rFonts w:ascii="Arial" w:cs="Arial" w:eastAsia="Arial" w:hAnsi="Arial"/>
                  <w:sz w:val="16"/>
                  <w:szCs w:val="16"/>
                  <w:color w:val="0000FF"/>
                  <w:w w:val="74"/>
                </w:rPr>
                <w:t>-</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8"/>
              </w:rPr>
            </w:pPr>
            <w:hyperlink r:id="rId98">
              <w:r>
                <w:rPr>
                  <w:rFonts w:ascii="Arial" w:cs="Arial" w:eastAsia="Arial" w:hAnsi="Arial"/>
                  <w:sz w:val="18"/>
                  <w:szCs w:val="18"/>
                  <w:color w:val="0000FF"/>
                  <w:w w:val="88"/>
                </w:rPr>
                <w:t>owned subsidiaries of StepStone Group LP, the sellers party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17"/>
          </w:tcPr>
          <w:p>
            <w:pPr>
              <w:spacing w:after="0" w:line="156"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thereto, Greenspring Associates, Inc. and certain of its affiliates</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and Shareholder Representative Services LLC, as Seller</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2.1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7/07/2021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Representative.</w:t>
              </w:r>
            </w:hyperlink>
          </w:p>
        </w:tc>
        <w:tc>
          <w:tcPr>
            <w:tcW w:w="2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gridSpan w:val="2"/>
          </w:tcPr>
          <w:p>
            <w:pPr>
              <w:ind w:left="20"/>
              <w:spacing w:after="0"/>
              <w:rPr>
                <w:rFonts w:ascii="Arial" w:cs="Arial" w:eastAsia="Arial" w:hAnsi="Arial"/>
                <w:sz w:val="18"/>
                <w:szCs w:val="18"/>
                <w:color w:val="0000FF"/>
                <w:w w:val="87"/>
              </w:rPr>
            </w:pPr>
            <w:hyperlink r:id="rId9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17"/>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Amended and Restated Certificate of Incorporation of StepStone</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Group Inc.</w:t>
              </w:r>
            </w:hyperlink>
          </w:p>
        </w:tc>
        <w:tc>
          <w:tcPr>
            <w:tcW w:w="3880" w:type="dxa"/>
            <w:vAlign w:val="bottom"/>
            <w:tcBorders>
              <w:top w:val="single" w:sz="8" w:color="0000FF"/>
            </w:tcBorders>
            <w:gridSpan w:val="14"/>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0" w:type="dxa"/>
            <w:vAlign w:val="bottom"/>
            <w:gridSpan w:val="2"/>
          </w:tcPr>
          <w:p>
            <w:pPr>
              <w:ind w:left="20"/>
              <w:spacing w:after="0"/>
              <w:rPr>
                <w:rFonts w:ascii="Arial" w:cs="Arial" w:eastAsia="Arial" w:hAnsi="Arial"/>
                <w:sz w:val="18"/>
                <w:szCs w:val="18"/>
                <w:color w:val="0000FF"/>
                <w:w w:val="87"/>
              </w:rPr>
            </w:pPr>
            <w:hyperlink r:id="rId10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17"/>
          </w:tcPr>
          <w:p>
            <w:pPr>
              <w:spacing w:after="0"/>
              <w:rPr>
                <w:rFonts w:ascii="Arial" w:cs="Arial" w:eastAsia="Arial" w:hAnsi="Arial"/>
                <w:sz w:val="18"/>
                <w:szCs w:val="18"/>
                <w:color w:val="0000FF"/>
              </w:rPr>
            </w:pPr>
            <w:hyperlink r:id="rId100">
              <w:r>
                <w:rPr>
                  <w:rFonts w:ascii="Arial" w:cs="Arial" w:eastAsia="Arial" w:hAnsi="Arial"/>
                  <w:sz w:val="18"/>
                  <w:szCs w:val="18"/>
                  <w:color w:val="0000FF"/>
                </w:rPr>
                <w:t>Amended and Restated Bylaws of StepStone Group Inc.</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86">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720" w:type="dxa"/>
            <w:vAlign w:val="bottom"/>
            <w:gridSpan w:val="17"/>
          </w:tcPr>
          <w:p>
            <w:pPr>
              <w:spacing w:after="0"/>
              <w:rPr>
                <w:rFonts w:ascii="Arial" w:cs="Arial" w:eastAsia="Arial" w:hAnsi="Arial"/>
                <w:sz w:val="18"/>
                <w:szCs w:val="18"/>
                <w:color w:val="0000FF"/>
                <w:w w:val="97"/>
              </w:rPr>
            </w:pPr>
            <w:hyperlink w:anchor="page86">
              <w:r>
                <w:rPr>
                  <w:rFonts w:ascii="Arial" w:cs="Arial" w:eastAsia="Arial" w:hAnsi="Arial"/>
                  <w:sz w:val="18"/>
                  <w:szCs w:val="18"/>
                  <w:color w:val="0000FF"/>
                  <w:w w:val="97"/>
                </w:rPr>
                <w:t>Certification of Chief Executive Officer pursuant to Rule 13a-</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w:anchor="page86">
              <w:r>
                <w:rPr>
                  <w:rFonts w:ascii="Arial" w:cs="Arial" w:eastAsia="Arial" w:hAnsi="Arial"/>
                  <w:sz w:val="18"/>
                  <w:szCs w:val="18"/>
                  <w:color w:val="0000FF"/>
                  <w:w w:val="92"/>
                </w:rPr>
                <w:t>14(a) and Rule 15d-14(a) of the Securities Exchange Act, as</w:t>
              </w:r>
            </w:hyperlink>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86">
              <w:r>
                <w:rPr>
                  <w:rFonts w:ascii="Arial" w:cs="Arial" w:eastAsia="Arial" w:hAnsi="Arial"/>
                  <w:sz w:val="18"/>
                  <w:szCs w:val="18"/>
                  <w:color w:val="0000FF"/>
                </w:rPr>
                <w:t>amended</w:t>
              </w:r>
            </w:hyperlink>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4"/>
          </w:tcPr>
          <w:p>
            <w:pPr>
              <w:ind w:left="20"/>
              <w:spacing w:after="0"/>
              <w:rPr>
                <w:rFonts w:ascii="Arial" w:cs="Arial" w:eastAsia="Arial" w:hAnsi="Arial"/>
                <w:sz w:val="18"/>
                <w:szCs w:val="18"/>
                <w:color w:val="0000FF"/>
              </w:rPr>
            </w:pPr>
            <w:hyperlink w:anchor="page87">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720" w:type="dxa"/>
            <w:vAlign w:val="bottom"/>
            <w:gridSpan w:val="17"/>
          </w:tcPr>
          <w:p>
            <w:pPr>
              <w:spacing w:after="0"/>
              <w:rPr>
                <w:rFonts w:ascii="Arial" w:cs="Arial" w:eastAsia="Arial" w:hAnsi="Arial"/>
                <w:sz w:val="18"/>
                <w:szCs w:val="18"/>
                <w:color w:val="0000FF"/>
                <w:w w:val="98"/>
              </w:rPr>
            </w:pPr>
            <w:hyperlink w:anchor="page87">
              <w:r>
                <w:rPr>
                  <w:rFonts w:ascii="Arial" w:cs="Arial" w:eastAsia="Arial" w:hAnsi="Arial"/>
                  <w:sz w:val="18"/>
                  <w:szCs w:val="18"/>
                  <w:color w:val="0000FF"/>
                  <w:w w:val="98"/>
                </w:rPr>
                <w:t>Certification of Chief Financial Officer pursuant to Rule 13a-</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w:anchor="page87">
              <w:r>
                <w:rPr>
                  <w:rFonts w:ascii="Arial" w:cs="Arial" w:eastAsia="Arial" w:hAnsi="Arial"/>
                  <w:sz w:val="18"/>
                  <w:szCs w:val="18"/>
                  <w:color w:val="0000FF"/>
                  <w:w w:val="91"/>
                </w:rPr>
                <w:t>14(a) and Rule 15d-14(a) of the Securities Exchange Act, as</w:t>
              </w:r>
            </w:hyperlink>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87">
              <w:r>
                <w:rPr>
                  <w:rFonts w:ascii="Arial" w:cs="Arial" w:eastAsia="Arial" w:hAnsi="Arial"/>
                  <w:sz w:val="18"/>
                  <w:szCs w:val="18"/>
                  <w:color w:val="0000FF"/>
                </w:rPr>
                <w:t>amended</w:t>
              </w:r>
            </w:hyperlink>
          </w:p>
        </w:tc>
        <w:tc>
          <w:tcPr>
            <w:tcW w:w="2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88">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720" w:type="dxa"/>
            <w:vAlign w:val="bottom"/>
            <w:gridSpan w:val="17"/>
          </w:tcPr>
          <w:p>
            <w:pPr>
              <w:spacing w:after="0"/>
              <w:rPr>
                <w:rFonts w:ascii="Arial" w:cs="Arial" w:eastAsia="Arial" w:hAnsi="Arial"/>
                <w:sz w:val="18"/>
                <w:szCs w:val="18"/>
                <w:color w:val="0000FF"/>
                <w:w w:val="94"/>
              </w:rPr>
            </w:pPr>
            <w:hyperlink w:anchor="page88">
              <w:r>
                <w:rPr>
                  <w:rFonts w:ascii="Arial" w:cs="Arial" w:eastAsia="Arial" w:hAnsi="Arial"/>
                  <w:sz w:val="18"/>
                  <w:szCs w:val="18"/>
                  <w:color w:val="0000FF"/>
                  <w:w w:val="94"/>
                </w:rPr>
                <w:t>Certification of Chief Executive Officer pursuant to Section 906</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6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of the Sarbanes-Oxley Act of 2002</w:t>
              </w:r>
            </w:hyperlink>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89">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720" w:type="dxa"/>
            <w:vAlign w:val="bottom"/>
            <w:gridSpan w:val="17"/>
          </w:tcPr>
          <w:p>
            <w:pPr>
              <w:spacing w:after="0"/>
              <w:rPr>
                <w:rFonts w:ascii="Arial" w:cs="Arial" w:eastAsia="Arial" w:hAnsi="Arial"/>
                <w:sz w:val="18"/>
                <w:szCs w:val="18"/>
                <w:color w:val="0000FF"/>
                <w:w w:val="95"/>
              </w:rPr>
            </w:pPr>
            <w:hyperlink w:anchor="page89">
              <w:r>
                <w:rPr>
                  <w:rFonts w:ascii="Arial" w:cs="Arial" w:eastAsia="Arial" w:hAnsi="Arial"/>
                  <w:sz w:val="18"/>
                  <w:szCs w:val="18"/>
                  <w:color w:val="0000FF"/>
                  <w:w w:val="95"/>
                </w:rPr>
                <w:t>Certification of Chief Financial Officer pursuant to Section 906</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89">
              <w:r>
                <w:rPr>
                  <w:rFonts w:ascii="Arial" w:cs="Arial" w:eastAsia="Arial" w:hAnsi="Arial"/>
                  <w:sz w:val="18"/>
                  <w:szCs w:val="18"/>
                  <w:color w:val="0000FF"/>
                </w:rPr>
                <w:t>of the Sarbanes-Oxley Act of 2002</w:t>
              </w:r>
            </w:hyperlink>
          </w:p>
        </w:tc>
        <w:tc>
          <w:tcPr>
            <w:tcW w:w="16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220" w:right="5480" w:hanging="1194"/>
        <w:spacing w:after="0" w:line="235" w:lineRule="auto"/>
        <w:tabs>
          <w:tab w:leader="none" w:pos="1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December 31, 2021 formatted in Inline XBRL (Extensible Business Reporting</w:t>
      </w:r>
    </w:p>
    <w:tbl>
      <w:tblPr>
        <w:tblLayout w:type="fixed"/>
        <w:tblInd w:w="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7500" w:type="dxa"/>
            <w:vAlign w:val="bottom"/>
          </w:tcPr>
          <w:p>
            <w:pPr>
              <w:ind w:left="460"/>
              <w:spacing w:after="0" w:line="163" w:lineRule="exact"/>
              <w:rPr>
                <w:sz w:val="20"/>
                <w:szCs w:val="20"/>
                <w:color w:val="auto"/>
              </w:rPr>
            </w:pPr>
            <w:r>
              <w:rPr>
                <w:rFonts w:ascii="Arial" w:cs="Arial" w:eastAsia="Arial" w:hAnsi="Arial"/>
                <w:sz w:val="18"/>
                <w:szCs w:val="18"/>
                <w:color w:val="auto"/>
              </w:rPr>
              <w:t>Language): (i) the Condensed Consolidated Balance Sheets; (ii)</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the Condensed Consolidated Statements of Income; (iii) the</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Condensed Consolidated Statements of Comprehensive Income;</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(iv) the Condensed Consolidated Statements of Stockholders’</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Equity; (v) the Condensed Consolidated Statements of Cash</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Flows; and (vi) Notes to Condensed Consolidated Financial</w:t>
            </w:r>
          </w:p>
        </w:tc>
        <w:tc>
          <w:tcPr>
            <w:tcW w:w="2520" w:type="dxa"/>
            <w:vAlign w:val="bottom"/>
            <w:vMerge w:val="restart"/>
          </w:tcPr>
          <w:p>
            <w:pPr>
              <w:ind w:left="2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7500" w:type="dxa"/>
            <w:vAlign w:val="bottom"/>
          </w:tcPr>
          <w:p>
            <w:pPr>
              <w:ind w:left="460"/>
              <w:spacing w:after="0"/>
              <w:rPr>
                <w:sz w:val="20"/>
                <w:szCs w:val="20"/>
                <w:color w:val="auto"/>
              </w:rPr>
            </w:pPr>
            <w:r>
              <w:rPr>
                <w:rFonts w:ascii="Arial" w:cs="Arial" w:eastAsia="Arial" w:hAnsi="Arial"/>
                <w:sz w:val="18"/>
                <w:szCs w:val="18"/>
                <w:color w:val="auto"/>
              </w:rPr>
              <w:t>Statements.</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0" w:type="dxa"/>
            <w:vAlign w:val="bottom"/>
          </w:tcPr>
          <w:p>
            <w:pPr>
              <w:jc w:val="right"/>
              <w:ind w:right="370"/>
              <w:spacing w:after="0" w:line="176" w:lineRule="exact"/>
              <w:rPr>
                <w:sz w:val="20"/>
                <w:szCs w:val="20"/>
                <w:color w:val="auto"/>
              </w:rPr>
            </w:pPr>
            <w:r>
              <w:rPr>
                <w:rFonts w:ascii="Arial" w:cs="Arial" w:eastAsia="Arial" w:hAnsi="Arial"/>
                <w:sz w:val="18"/>
                <w:szCs w:val="18"/>
                <w:color w:val="auto"/>
                <w:w w:val="86"/>
              </w:rPr>
              <w:t>104</w:t>
            </w: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2520" w:type="dxa"/>
            <w:vAlign w:val="bottom"/>
            <w:vMerge w:val="restart"/>
          </w:tcPr>
          <w:p>
            <w:pPr>
              <w:ind w:left="2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7500" w:type="dxa"/>
            <w:vAlign w:val="bottom"/>
          </w:tcPr>
          <w:p>
            <w:pPr>
              <w:ind w:left="460"/>
              <w:spacing w:after="0"/>
              <w:rPr>
                <w:sz w:val="20"/>
                <w:szCs w:val="20"/>
                <w:color w:val="auto"/>
              </w:rPr>
            </w:pPr>
            <w:r>
              <w:rPr>
                <w:rFonts w:ascii="Arial" w:cs="Arial" w:eastAsia="Arial" w:hAnsi="Arial"/>
                <w:sz w:val="18"/>
                <w:szCs w:val="18"/>
                <w:color w:val="auto"/>
              </w:rPr>
              <w:t>contained in Exhibit 101)</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 on February 10, 2022</w:t>
      </w:r>
      <w:r>
        <w:rPr>
          <w:rFonts w:ascii="Arial" w:cs="Arial" w:eastAsia="Arial" w:hAnsi="Arial"/>
          <w:sz w:val="20"/>
          <w:szCs w:val="20"/>
          <w:b w:val="1"/>
          <w:bCs w:val="1"/>
          <w:color w:val="auto"/>
        </w:rPr>
        <w: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STEPSTONE GROUP INC.</w:t>
      </w:r>
    </w:p>
    <w:p>
      <w:pPr>
        <w:spacing w:after="0" w:line="28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40"/>
          </w:cols>
          <w:pgMar w:left="320" w:top="1440" w:right="63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Scott W. Hart, certify that:</w:t>
      </w:r>
    </w:p>
    <w:p>
      <w:pPr>
        <w:spacing w:after="0" w:line="216" w:lineRule="exact"/>
        <w:rPr>
          <w:sz w:val="20"/>
          <w:szCs w:val="20"/>
          <w:color w:val="auto"/>
        </w:rPr>
      </w:pPr>
    </w:p>
    <w:p>
      <w:pPr>
        <w:ind w:left="860" w:hanging="204"/>
        <w:spacing w:after="0"/>
        <w:tabs>
          <w:tab w:leader="none" w:pos="8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60" w:hanging="4"/>
        <w:spacing w:after="0" w:line="250" w:lineRule="auto"/>
        <w:tabs>
          <w:tab w:leader="none" w:pos="858"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80" w:hanging="4"/>
        <w:spacing w:after="0" w:line="260" w:lineRule="auto"/>
        <w:tabs>
          <w:tab w:leader="none" w:pos="858"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20" w:firstLine="4"/>
        <w:spacing w:after="0" w:line="291" w:lineRule="auto"/>
        <w:tabs>
          <w:tab w:leader="none" w:pos="148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4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100" w:firstLine="4"/>
        <w:spacing w:after="0" w:line="250" w:lineRule="auto"/>
        <w:tabs>
          <w:tab w:leader="none" w:pos="1487" w:val="left"/>
        </w:tabs>
        <w:numPr>
          <w:ilvl w:val="1"/>
          <w:numId w:val="4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100" w:hanging="4"/>
        <w:spacing w:after="0" w:line="250" w:lineRule="auto"/>
        <w:tabs>
          <w:tab w:leader="none" w:pos="858"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4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540" w:type="dxa"/>
            <w:vAlign w:val="bottom"/>
          </w:tcPr>
          <w:p>
            <w:pPr>
              <w:spacing w:after="0"/>
              <w:rPr>
                <w:sz w:val="20"/>
                <w:szCs w:val="20"/>
                <w:color w:val="auto"/>
              </w:rPr>
            </w:pPr>
            <w:r>
              <w:rPr>
                <w:rFonts w:ascii="Arial" w:cs="Arial" w:eastAsia="Arial" w:hAnsi="Arial"/>
                <w:sz w:val="20"/>
                <w:szCs w:val="20"/>
                <w:color w:val="auto"/>
              </w:rPr>
              <w:t>Date: February 10, 2022</w:t>
            </w:r>
          </w:p>
        </w:tc>
        <w:tc>
          <w:tcPr>
            <w:tcW w:w="7680" w:type="dxa"/>
            <w:vAlign w:val="bottom"/>
            <w:gridSpan w:val="2"/>
          </w:tcPr>
          <w:p>
            <w:pPr>
              <w:ind w:left="1620"/>
              <w:spacing w:after="0"/>
              <w:rPr>
                <w:sz w:val="20"/>
                <w:szCs w:val="20"/>
                <w:color w:val="auto"/>
              </w:rPr>
            </w:pPr>
            <w:r>
              <w:rPr>
                <w:rFonts w:ascii="Arial" w:cs="Arial" w:eastAsia="Arial" w:hAnsi="Arial"/>
                <w:sz w:val="20"/>
                <w:szCs w:val="20"/>
                <w:color w:val="auto"/>
              </w:rPr>
              <w:t>By: /s/ Scott W. Hart</w:t>
            </w:r>
          </w:p>
        </w:tc>
      </w:tr>
      <w:tr>
        <w:trPr>
          <w:trHeight w:val="233"/>
        </w:trPr>
        <w:tc>
          <w:tcPr>
            <w:tcW w:w="3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W. Hart</w:t>
            </w:r>
          </w:p>
        </w:tc>
      </w:tr>
      <w:tr>
        <w:trPr>
          <w:trHeight w:val="243"/>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50"/>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86" w:name="page87"/>
    <w:bookmarkEnd w:id="86"/>
    <w:p>
      <w:pPr>
        <w:ind w:left="10000"/>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I, Johnny D. Randel, certify that:</w:t>
      </w:r>
    </w:p>
    <w:p>
      <w:pPr>
        <w:spacing w:after="0" w:line="216" w:lineRule="exact"/>
        <w:rPr>
          <w:sz w:val="20"/>
          <w:szCs w:val="20"/>
          <w:color w:val="auto"/>
        </w:rPr>
      </w:pPr>
    </w:p>
    <w:p>
      <w:pPr>
        <w:ind w:left="860" w:hanging="204"/>
        <w:spacing w:after="0"/>
        <w:tabs>
          <w:tab w:leader="none" w:pos="8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60" w:hanging="4"/>
        <w:spacing w:after="0" w:line="250" w:lineRule="auto"/>
        <w:tabs>
          <w:tab w:leader="none" w:pos="858"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80" w:hanging="4"/>
        <w:spacing w:after="0" w:line="260" w:lineRule="auto"/>
        <w:tabs>
          <w:tab w:leader="none" w:pos="858"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20" w:firstLine="4"/>
        <w:spacing w:after="0" w:line="291" w:lineRule="auto"/>
        <w:tabs>
          <w:tab w:leader="none" w:pos="14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100" w:firstLine="4"/>
        <w:spacing w:after="0" w:line="250" w:lineRule="auto"/>
        <w:tabs>
          <w:tab w:leader="none" w:pos="1487" w:val="left"/>
        </w:tabs>
        <w:numPr>
          <w:ilvl w:val="1"/>
          <w:numId w:val="5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100" w:hanging="4"/>
        <w:spacing w:after="0" w:line="250" w:lineRule="auto"/>
        <w:tabs>
          <w:tab w:leader="none" w:pos="858"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5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540" w:type="dxa"/>
            <w:vAlign w:val="bottom"/>
          </w:tcPr>
          <w:p>
            <w:pPr>
              <w:spacing w:after="0"/>
              <w:rPr>
                <w:sz w:val="20"/>
                <w:szCs w:val="20"/>
                <w:color w:val="auto"/>
              </w:rPr>
            </w:pPr>
            <w:r>
              <w:rPr>
                <w:rFonts w:ascii="Arial" w:cs="Arial" w:eastAsia="Arial" w:hAnsi="Arial"/>
                <w:sz w:val="20"/>
                <w:szCs w:val="20"/>
                <w:color w:val="auto"/>
              </w:rPr>
              <w:t>Date: February 10, 2022</w:t>
            </w:r>
          </w:p>
        </w:tc>
        <w:tc>
          <w:tcPr>
            <w:tcW w:w="7680" w:type="dxa"/>
            <w:vAlign w:val="bottom"/>
            <w:gridSpan w:val="2"/>
          </w:tcPr>
          <w:p>
            <w:pPr>
              <w:ind w:left="1620"/>
              <w:spacing w:after="0"/>
              <w:rPr>
                <w:sz w:val="20"/>
                <w:szCs w:val="20"/>
                <w:color w:val="auto"/>
              </w:rPr>
            </w:pPr>
            <w:r>
              <w:rPr>
                <w:rFonts w:ascii="Arial" w:cs="Arial" w:eastAsia="Arial" w:hAnsi="Arial"/>
                <w:sz w:val="20"/>
                <w:szCs w:val="20"/>
                <w:color w:val="auto"/>
              </w:rPr>
              <w:t>By: /s/ Johnny D. Randel</w:t>
            </w:r>
          </w:p>
        </w:tc>
      </w:tr>
      <w:tr>
        <w:trPr>
          <w:trHeight w:val="233"/>
        </w:trPr>
        <w:tc>
          <w:tcPr>
            <w:tcW w:w="3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Johnny D. Randel</w:t>
            </w:r>
          </w:p>
        </w:tc>
      </w:tr>
      <w:tr>
        <w:trPr>
          <w:trHeight w:val="243"/>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250"/>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0"/>
          <w:szCs w:val="20"/>
          <w:b w:val="1"/>
          <w:bCs w:val="1"/>
          <w:color w:val="auto"/>
        </w:rPr>
        <w:t>EXHIBIT 32.1</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2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December 31, 2021,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February 10, 2022</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W. Hart</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December 31, 2021,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February 10, 2022</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2"/>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endash "/>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4"/>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lowerRoman"/>
      <w:start w:val="3"/>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4"/>
    </w:lvl>
    <w:lvl w:ilvl="1">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lvl w:ilvl="1">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5"/>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4"/>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lvl w:ilvl="1">
      <w:lvlJc w:val="left"/>
      <w:lvlText w:val="%2."/>
      <w:numFmt w:val="lowerRoman"/>
      <w:start w:val="1"/>
    </w:lvl>
  </w:abstractNum>
  <w:abstractNum w:abstractNumId="41">
    <w:nsid w:val="6DE91B18"/>
    <w:multiLevelType w:val="hybridMultilevel"/>
    <w:lvl w:ilvl="0">
      <w:lvlJc w:val="left"/>
      <w:lvlText w:val="(%1)"/>
      <w:numFmt w:val="decimal"/>
      <w:start w:val="3"/>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0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98" Type="http://schemas.openxmlformats.org/officeDocument/2006/relationships/hyperlink" Target="https://www.sec.gov/Archives/edgar/data/1796022/000119312521209305/d197424dex21.htm" TargetMode="External"/><Relationship Id="rId99" Type="http://schemas.openxmlformats.org/officeDocument/2006/relationships/hyperlink" Target="https://www.sec.gov/Archives/edgar/data/1796022/000119312520248881/d23934dex31.htm" TargetMode="External"/><Relationship Id="rId100" Type="http://schemas.openxmlformats.org/officeDocument/2006/relationships/hyperlink" Target="https://www.sec.gov/Archives/edgar/data/1796022/000119312520248881/d2393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2022-02-11T23:22:38Z</dcterms:created>
  <dcterms:modified xsi:type="dcterms:W3CDTF">2022-02-11T23:22:38Z</dcterms:modified>
</cp:coreProperties>
</file>