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September 8,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STEPSTONE GROUP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001-39510</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84-3868757</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color w:val="000000"/>
                <w:sz w:val="20"/>
              </w:rPr>
              <w:t>277 Park Avenue, 45</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New York,</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NY</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10172</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(212) 351-6100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884" w:type="dxa"/>
        <w:jc w:val="center"/>
        <w:tblInd w:w="0" w:type="dxa"/>
        <w:tblLayout w:type="fixed"/>
        <w:tblCellMar>
          <w:top w:w="28" w:type="dxa"/>
          <w:left w:w="28" w:type="dxa"/>
          <w:bottom w:w="28" w:type="dxa"/>
          <w:right w:w="28" w:type="dxa"/>
        </w:tblCellMar>
      </w:tblPr>
      <w:tblGrid>
        <w:gridCol w:w="1577"/>
        <w:gridCol w:w="1386"/>
        <w:gridCol w:w="1402"/>
        <w:gridCol w:w="564"/>
        <w:gridCol w:w="564"/>
        <w:gridCol w:w="566"/>
        <w:gridCol w:w="1118"/>
        <w:gridCol w:w="1118"/>
        <w:gridCol w:w="1589"/>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STEP</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Emerging growth company ☐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On September 8, 2026, StepStone Group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2"/>
        </w:rPr>
        <w:t>) held its 2026 Annual Meeting of Stockholders (the “</w:t>
      </w:r>
      <w:r>
        <w:rPr>
          <w:rFonts w:ascii="Times New Roman;serif" w:hAnsi="Times New Roman;serif"/>
          <w:b w:val="false"/>
          <w:color w:val="000000"/>
          <w:sz w:val="24"/>
          <w:u w:val="single"/>
        </w:rPr>
        <w:t>Annual Meeting</w:t>
      </w:r>
      <w:r>
        <w:rPr>
          <w:color w:val="000000"/>
        </w:rPr>
        <w:t>”</w:t>
      </w:r>
      <w:r>
        <w:rPr>
          <w:rFonts w:ascii="Times New Roman;serif" w:hAnsi="Times New Roman;serif"/>
          <w:b w:val="false"/>
          <w:color w:val="000000"/>
          <w:sz w:val="22"/>
        </w:rPr>
        <w:t>) for the purposes of (i) electing seven director nominees named in the Company’s 2026 Proxy Statement (the “</w:t>
      </w:r>
      <w:r>
        <w:rPr>
          <w:rFonts w:ascii="Times New Roman;serif" w:hAnsi="Times New Roman;serif"/>
          <w:b w:val="false"/>
          <w:color w:val="000000"/>
          <w:sz w:val="24"/>
          <w:u w:val="single"/>
        </w:rPr>
        <w:t>Proxy Statement</w:t>
      </w:r>
      <w:r>
        <w:rPr>
          <w:color w:val="000000"/>
        </w:rPr>
        <w:t>”</w:t>
      </w:r>
      <w:r>
        <w:rPr>
          <w:rFonts w:ascii="Times New Roman;serif" w:hAnsi="Times New Roman;serif"/>
          <w:b w:val="false"/>
          <w:color w:val="000000"/>
          <w:sz w:val="22"/>
        </w:rPr>
        <w:t>) to serve for a one-year term; (ii) ratifying the appointment of Ernst &amp; Young LLP as the Company’s independent registered public accounting firm for the fiscal year ending March 31, 2027; and (iii) approving, on a non-binding and advisory basis, the compensation of the Company's named executive officers (“</w:t>
      </w:r>
      <w:r>
        <w:rPr>
          <w:rFonts w:ascii="Times New Roman;serif" w:hAnsi="Times New Roman;serif"/>
          <w:b w:val="false"/>
          <w:color w:val="000000"/>
          <w:sz w:val="24"/>
          <w:u w:val="single"/>
        </w:rPr>
        <w:t>Say-on-Pay</w:t>
      </w:r>
      <w:r>
        <w:rPr>
          <w:color w:val="000000"/>
        </w:rPr>
        <w:t>”</w:t>
      </w:r>
      <w:r>
        <w:rPr>
          <w:rFonts w:ascii="Times New Roman;serif" w:hAnsi="Times New Roman;serif"/>
          <w:b w:val="false"/>
          <w:color w:val="000000"/>
          <w:sz w:val="22"/>
        </w:rPr>
        <w:t>). As of the record date of July 14, 2026, there were 82,288,907 shares of the Company’s Class A common stock, par value $0.001 per share (“</w:t>
      </w:r>
      <w:r>
        <w:rPr>
          <w:rFonts w:ascii="Times New Roman;serif" w:hAnsi="Times New Roman;serif"/>
          <w:b w:val="false"/>
          <w:color w:val="000000"/>
          <w:sz w:val="24"/>
          <w:u w:val="single"/>
        </w:rPr>
        <w:t>Class A Common Stock</w:t>
      </w:r>
      <w:r>
        <w:rPr>
          <w:color w:val="000000"/>
        </w:rPr>
        <w:t>”</w:t>
      </w:r>
      <w:r>
        <w:rPr>
          <w:rFonts w:ascii="Times New Roman;serif" w:hAnsi="Times New Roman;serif"/>
          <w:b w:val="false"/>
          <w:color w:val="000000"/>
          <w:sz w:val="22"/>
        </w:rPr>
        <w:t>), and 38,387,761 shares of the Company’s Class B common stock, par value $0.001 per share (“</w:t>
      </w:r>
      <w:r>
        <w:rPr>
          <w:rFonts w:ascii="Times New Roman;serif" w:hAnsi="Times New Roman;serif"/>
          <w:b w:val="false"/>
          <w:color w:val="000000"/>
          <w:sz w:val="24"/>
          <w:u w:val="single"/>
        </w:rPr>
        <w:t>Class B Common Stock</w:t>
      </w:r>
      <w:r>
        <w:rPr>
          <w:color w:val="000000"/>
        </w:rPr>
        <w:t>”</w:t>
      </w:r>
      <w:r>
        <w:rPr>
          <w:rFonts w:ascii="Times New Roman;serif" w:hAnsi="Times New Roman;serif"/>
          <w:b w:val="false"/>
          <w:color w:val="000000"/>
          <w:sz w:val="22"/>
        </w:rPr>
        <w:t>), outstanding. Stockholders were entitled to one vote per share of Class A Common Stock held and one vote per share of Class B Common Stock held on the matters presented at the Annual Meeting. The Class A Common Stock and Class B Common Stock voted as a single class on all matters presented at the Annual Meeting. Of the total 120,676,668 votes eligible to be cast at the Annual Meeting, shares entitled to cast 108,711,940 votes were represented. The final results of the stockholder vote are set forth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Proposal 1 - Election of Directors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stockholders elected each of the nominees for director named in the Proxy Statement, each to serve for a one-year term to expire at the Company’s 2027 annual meeting of stockholders and until his or her successor has been duly elected and qualified, or until his or her earlier death, resignation, removal, retirement or disqualification. The following seven directors were elected by the votes shown below.</w:t>
      </w:r>
    </w:p>
    <w:p>
      <w:pPr>
        <w:pStyle w:val="TextBody"/>
        <w:bidi w:val="0"/>
        <w:spacing w:before="0" w:after="0"/>
        <w:jc w:val="left"/>
        <w:rPr/>
      </w:pPr>
      <w:r>
        <w:rPr/>
      </w:r>
    </w:p>
    <w:tbl>
      <w:tblPr>
        <w:tblW w:w="6985" w:type="dxa"/>
        <w:jc w:val="left"/>
        <w:tblInd w:w="0" w:type="dxa"/>
        <w:tblLayout w:type="fixed"/>
        <w:tblCellMar>
          <w:top w:w="28" w:type="dxa"/>
          <w:left w:w="28" w:type="dxa"/>
          <w:bottom w:w="28" w:type="dxa"/>
          <w:right w:w="28" w:type="dxa"/>
        </w:tblCellMar>
      </w:tblPr>
      <w:tblGrid>
        <w:gridCol w:w="651"/>
        <w:gridCol w:w="572"/>
        <w:gridCol w:w="576"/>
        <w:gridCol w:w="378"/>
        <w:gridCol w:w="378"/>
        <w:gridCol w:w="385"/>
        <w:gridCol w:w="109"/>
        <w:gridCol w:w="109"/>
        <w:gridCol w:w="109"/>
        <w:gridCol w:w="405"/>
        <w:gridCol w:w="405"/>
        <w:gridCol w:w="406"/>
        <w:gridCol w:w="109"/>
        <w:gridCol w:w="109"/>
        <w:gridCol w:w="109"/>
        <w:gridCol w:w="637"/>
        <w:gridCol w:w="637"/>
        <w:gridCol w:w="90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M. Brem</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87,916,634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12,707,825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G. Brown</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94,888,049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5,736,410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W. Hart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99,973,691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650,768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F. Hoffmeister</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91,336,024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9,288,435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Keck</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100,041,871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582,588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R. Mitchell</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98,824,212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1,800,247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Anne L. Raymond</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95,041,029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5,583,430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8,087,481</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 xml:space="preserve">Proposal 2 - Ratification of Appointment of Independent Registered Public Accounting Firm </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stockholders ratified the appointment of Ernst &amp; Young LLP as the Company’s independent registered public accounting firm for the fiscal year ending March 31, 2027. The selection was ratified by the votes shown below.</w:t>
      </w:r>
    </w:p>
    <w:p>
      <w:pPr>
        <w:pStyle w:val="TextBody"/>
        <w:bidi w:val="0"/>
        <w:spacing w:before="0" w:after="0"/>
        <w:ind w:left="0" w:right="0" w:firstLine="720"/>
        <w:jc w:val="left"/>
        <w:rPr/>
      </w:pPr>
      <w:r>
        <w:rPr/>
      </w:r>
    </w:p>
    <w:tbl>
      <w:tblPr>
        <w:tblW w:w="620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44"/>
        <w:gridCol w:w="344"/>
        <w:gridCol w:w="348"/>
        <w:gridCol w:w="109"/>
        <w:gridCol w:w="109"/>
        <w:gridCol w:w="109"/>
        <w:gridCol w:w="320"/>
        <w:gridCol w:w="320"/>
        <w:gridCol w:w="321"/>
        <w:gridCol w:w="109"/>
        <w:gridCol w:w="109"/>
        <w:gridCol w:w="109"/>
        <w:gridCol w:w="637"/>
        <w:gridCol w:w="637"/>
        <w:gridCol w:w="90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98,474,389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10,217,166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Proposal 3 - Say-on-Pay</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stockholders, on a non-binding and advisory basis, voted to approve the compensation of the Company’s named executive officers. The Say-on-Pay proposal was approved by the votes shown below.</w:t>
      </w:r>
    </w:p>
    <w:p>
      <w:pPr>
        <w:pStyle w:val="TextBody"/>
        <w:bidi w:val="0"/>
        <w:spacing w:before="0" w:after="0"/>
        <w:ind w:left="0" w:right="0" w:firstLine="720"/>
        <w:jc w:val="left"/>
        <w:rPr/>
      </w:pPr>
      <w:r>
        <w:rPr/>
      </w:r>
    </w:p>
    <w:tbl>
      <w:tblPr>
        <w:tblW w:w="6144" w:type="dxa"/>
        <w:jc w:val="left"/>
        <w:tblInd w:w="0" w:type="dxa"/>
        <w:tblLayout w:type="fixed"/>
        <w:tblCellMar>
          <w:top w:w="28" w:type="dxa"/>
          <w:left w:w="28" w:type="dxa"/>
          <w:bottom w:w="28" w:type="dxa"/>
          <w:right w:w="28" w:type="dxa"/>
        </w:tblCellMar>
      </w:tblPr>
      <w:tblGrid>
        <w:gridCol w:w="379"/>
        <w:gridCol w:w="333"/>
        <w:gridCol w:w="339"/>
        <w:gridCol w:w="109"/>
        <w:gridCol w:w="109"/>
        <w:gridCol w:w="109"/>
        <w:gridCol w:w="325"/>
        <w:gridCol w:w="325"/>
        <w:gridCol w:w="326"/>
        <w:gridCol w:w="109"/>
        <w:gridCol w:w="109"/>
        <w:gridCol w:w="109"/>
        <w:gridCol w:w="320"/>
        <w:gridCol w:w="320"/>
        <w:gridCol w:w="321"/>
        <w:gridCol w:w="109"/>
        <w:gridCol w:w="109"/>
        <w:gridCol w:w="109"/>
        <w:gridCol w:w="637"/>
        <w:gridCol w:w="637"/>
        <w:gridCol w:w="901"/>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94,882,717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5,720,728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8,087,481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240" w:after="240"/>
        <w:ind w:left="0" w:right="0" w:firstLine="360"/>
        <w:jc w:val="left"/>
        <w:rPr/>
      </w:pPr>
      <w:r>
        <w:rPr/>
      </w:r>
    </w:p>
    <w:tbl>
      <w:tblPr>
        <w:tblW w:w="6013" w:type="dxa"/>
        <w:jc w:val="left"/>
        <w:tblInd w:w="0" w:type="dxa"/>
        <w:tblLayout w:type="fixed"/>
        <w:tblCellMar>
          <w:top w:w="28" w:type="dxa"/>
          <w:left w:w="28" w:type="dxa"/>
          <w:bottom w:w="28" w:type="dxa"/>
          <w:right w:w="28" w:type="dxa"/>
        </w:tblCellMar>
      </w:tblPr>
      <w:tblGrid>
        <w:gridCol w:w="885"/>
        <w:gridCol w:w="778"/>
        <w:gridCol w:w="782"/>
        <w:gridCol w:w="144"/>
        <w:gridCol w:w="144"/>
        <w:gridCol w:w="146"/>
        <w:gridCol w:w="918"/>
        <w:gridCol w:w="918"/>
        <w:gridCol w:w="1298"/>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STEPSTONE GROUP INC.</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September 8,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Jennifer Y. Ishiguro</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Jennifer Y. Ishiguro</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 &amp; Secretary</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4454</Characters>
  <CharactersWithSpaces>5174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