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StepStone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Invesco Ltd.</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463,695.00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500,655.00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500,655.00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StepStone Group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277 Park Avenue, 45th Floor, New York, NY 10172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Invesco Ltd. ("Invesco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1331 Spring Street NW, Suite 2500, Atlanta, GA 30309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Bermuda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Invesco Ltd., in its capacity as a parent holding company to its investment advisers, may be deemed to beneficially own 500,655 shares of the Issuer which are held of record by clients of Invesco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0.6  %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463,695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500,655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However, no one individual has greater than 5% economic ownership. The shareholders of the Fund have the right to receive or the power to direct the receipt of dividends and proceeds from the sale of securities listed above.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Invesco Advisers, Inc. Invesco Capital Management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920" w:type="dxa"/>
        <w:jc w:val="left"/>
        <w:tblInd w:w="0" w:type="dxa"/>
        <w:tblLayout w:type="fixed"/>
        <w:tblCellMar>
          <w:top w:w="28" w:type="dxa"/>
          <w:left w:w="28" w:type="dxa"/>
          <w:bottom w:w="28" w:type="dxa"/>
          <w:right w:w="28" w:type="dxa"/>
        </w:tblCellMar>
      </w:tblPr>
      <w:tblGrid>
        <w:gridCol w:w="1460"/>
        <w:gridCol w:w="1460"/>
      </w:tblGrid>
      <w:tr>
        <w:trPr/>
        <w:tc>
          <w:tcPr>
            <w:tcW w:w="1460" w:type="dxa"/>
            <w:tcBorders/>
            <w:vAlign w:val="center"/>
          </w:tcPr>
          <w:p>
            <w:pPr>
              <w:pStyle w:val="TableContents"/>
              <w:bidi w:val="0"/>
              <w:spacing w:before="0" w:after="0"/>
              <w:jc w:val="left"/>
              <w:rPr/>
            </w:pPr>
            <w:r>
              <w:rPr/>
              <w:t> </w:t>
            </w:r>
          </w:p>
          <w:tbl>
            <w:tblPr>
              <w:tblW w:w="1351" w:type="dxa"/>
              <w:jc w:val="left"/>
              <w:tblInd w:w="0" w:type="dxa"/>
              <w:tblLayout w:type="fixed"/>
              <w:tblCellMar>
                <w:top w:w="28" w:type="dxa"/>
                <w:left w:w="28" w:type="dxa"/>
                <w:bottom w:w="28" w:type="dxa"/>
                <w:right w:w="28" w:type="dxa"/>
              </w:tblCellMar>
            </w:tblPr>
            <w:tblGrid>
              <w:gridCol w:w="1351"/>
            </w:tblGrid>
            <w:tr>
              <w:trPr/>
              <w:tc>
                <w:tcPr>
                  <w:tcW w:w="1351" w:type="dxa"/>
                  <w:tcBorders/>
                  <w:vAlign w:val="center"/>
                </w:tcPr>
                <w:p>
                  <w:pPr>
                    <w:pStyle w:val="TableContents"/>
                    <w:bidi w:val="0"/>
                    <w:spacing w:before="0" w:after="0"/>
                    <w:jc w:val="left"/>
                    <w:rPr/>
                  </w:pPr>
                  <w:r>
                    <w:rPr/>
                    <w:t>Invesco Ltd.</w:t>
                  </w:r>
                </w:p>
              </w:tc>
            </w:tr>
          </w:tbl>
          <w:p>
            <w:pPr>
              <w:pStyle w:val="TableContents"/>
              <w:bidi w:val="0"/>
              <w:spacing w:before="0" w:after="283"/>
              <w:jc w:val="left"/>
              <w:rPr/>
            </w:pPr>
            <w:r>
              <w:rPr/>
            </w:r>
          </w:p>
        </w:tc>
        <w:tc>
          <w:tcPr>
            <w:tcW w:w="14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Robert R. Leveille</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Global Head of Compliance</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05/06/2026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960</Words>
  <Characters>4862</Characters>
  <CharactersWithSpaces>5816</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