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4"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98" w:lineRule="exact"/>
        <w:rPr>
          <w:sz w:val="24"/>
          <w:szCs w:val="24"/>
          <w:color w:val="auto"/>
        </w:rPr>
      </w:pPr>
    </w:p>
    <w:p>
      <w:pPr>
        <w:ind w:left="380" w:hanging="314"/>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3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6"/>
          <w:szCs w:val="16"/>
          <w:color w:val="auto"/>
        </w:rPr>
        <w:t>For the transition period from _______________________ to 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001-39510</w:t>
      </w:r>
    </w:p>
    <w:p>
      <w:pPr>
        <w:spacing w:after="0" w:line="21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STEPSTONE GROUP INC.</w:t>
      </w:r>
    </w:p>
    <w:p>
      <w:pPr>
        <w:spacing w:after="0" w:line="235" w:lineRule="exact"/>
        <w:rPr>
          <w:sz w:val="24"/>
          <w:szCs w:val="24"/>
          <w:color w:val="auto"/>
        </w:rPr>
      </w:pPr>
    </w:p>
    <w:tbl>
      <w:tblPr>
        <w:tblLayout w:type="fixed"/>
        <w:tblInd w:w="144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5220" w:type="dxa"/>
            <w:vAlign w:val="bottom"/>
          </w:tcPr>
          <w:p>
            <w:pPr>
              <w:jc w:val="right"/>
              <w:ind w:right="170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16"/>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84-3868757</w:t>
            </w:r>
          </w:p>
        </w:tc>
      </w:tr>
      <w:tr>
        <w:trPr>
          <w:trHeight w:val="163"/>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0"/>
        </w:trPr>
        <w:tc>
          <w:tcPr>
            <w:tcW w:w="25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277 Park Avenue, 45</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tc>
        <w:tc>
          <w:tcPr>
            <w:tcW w:w="5220" w:type="dxa"/>
            <w:vAlign w:val="bottom"/>
          </w:tcPr>
          <w:p>
            <w:pPr>
              <w:spacing w:after="0"/>
              <w:rPr>
                <w:sz w:val="24"/>
                <w:szCs w:val="24"/>
                <w:color w:val="auto"/>
              </w:rPr>
            </w:pPr>
          </w:p>
        </w:tc>
      </w:tr>
      <w:tr>
        <w:trPr>
          <w:trHeight w:val="190"/>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52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10172</w:t>
            </w:r>
          </w:p>
        </w:tc>
      </w:tr>
      <w:tr>
        <w:trPr>
          <w:trHeight w:val="203"/>
        </w:trPr>
        <w:tc>
          <w:tcPr>
            <w:tcW w:w="252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(Zip Code)</w:t>
            </w:r>
          </w:p>
        </w:tc>
      </w:tr>
      <w:tr>
        <w:trPr>
          <w:trHeight w:val="500"/>
        </w:trPr>
        <w:tc>
          <w:tcPr>
            <w:tcW w:w="2520" w:type="dxa"/>
            <w:vAlign w:val="bottom"/>
          </w:tcPr>
          <w:p>
            <w:pPr>
              <w:spacing w:after="0"/>
              <w:rPr>
                <w:sz w:val="24"/>
                <w:szCs w:val="24"/>
                <w:color w:val="auto"/>
              </w:rPr>
            </w:pPr>
          </w:p>
        </w:tc>
        <w:tc>
          <w:tcPr>
            <w:tcW w:w="5220" w:type="dxa"/>
            <w:vAlign w:val="bottom"/>
          </w:tcPr>
          <w:p>
            <w:pPr>
              <w:jc w:val="right"/>
              <w:ind w:right="3028"/>
              <w:spacing w:after="0"/>
              <w:rPr>
                <w:sz w:val="20"/>
                <w:szCs w:val="20"/>
                <w:color w:val="auto"/>
              </w:rPr>
            </w:pPr>
            <w:r>
              <w:rPr>
                <w:rFonts w:ascii="Times New Roman" w:cs="Times New Roman" w:eastAsia="Times New Roman" w:hAnsi="Times New Roman"/>
                <w:sz w:val="14"/>
                <w:szCs w:val="14"/>
                <w:b w:val="1"/>
                <w:bCs w:val="1"/>
                <w:color w:val="auto"/>
              </w:rPr>
              <w:t>(212) 351-6100</w:t>
            </w:r>
          </w:p>
        </w:tc>
      </w:tr>
    </w:tbl>
    <w:p>
      <w:pPr>
        <w:spacing w:after="0" w:line="20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4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2" w:lineRule="exact"/>
        <w:rPr>
          <w:sz w:val="24"/>
          <w:szCs w:val="24"/>
          <w:color w:val="auto"/>
        </w:rPr>
      </w:pPr>
    </w:p>
    <w:tbl>
      <w:tblPr>
        <w:tblLayout w:type="fixed"/>
        <w:tblInd w:w="1540" w:type="dxa"/>
        <w:tblCellMar>
          <w:top w:w="0" w:type="dxa"/>
          <w:left w:w="0" w:type="dxa"/>
          <w:bottom w:w="0" w:type="dxa"/>
          <w:right w:w="0" w:type="dxa"/>
        </w:tblCellMar>
      </w:tblPr>
      <w:tr>
        <w:trPr>
          <w:trHeight w:val="188"/>
        </w:trPr>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Title of each class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84"/>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309"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Accelerated filer</w:t>
            </w:r>
          </w:p>
        </w:tc>
        <w:tc>
          <w:tcPr>
            <w:tcW w:w="30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2"/>
        </w:trPr>
        <w:tc>
          <w:tcPr>
            <w:tcW w:w="1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40" w:type="dxa"/>
            <w:vAlign w:val="bottom"/>
            <w:vMerge w:val="continue"/>
          </w:tcPr>
          <w:p>
            <w:pPr>
              <w:spacing w:after="0"/>
              <w:rPr>
                <w:sz w:val="5"/>
                <w:szCs w:val="5"/>
                <w:color w:val="auto"/>
              </w:rPr>
            </w:pPr>
          </w:p>
        </w:tc>
        <w:tc>
          <w:tcPr>
            <w:tcW w:w="3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3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6"/>
        </w:trPr>
        <w:tc>
          <w:tcPr>
            <w:tcW w:w="11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1"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Indicate the number of shares outstanding of each of the registrant’s classes of common stock, as of the latest practicable date: As of August 6, 2024, there were 67,931,869 shares of the registrant’s Class A common stock, par value $0.001, and 45,889,135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1129665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 w:name="page3"/>
    <w:bookmarkEnd w:id="2"/>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40" w:type="dxa"/>
            <w:vAlign w:val="bottom"/>
            <w:gridSpan w:val="5"/>
          </w:tcPr>
          <w:p>
            <w:pPr>
              <w:ind w:left="780"/>
              <w:spacing w:after="0"/>
              <w:rPr>
                <w:sz w:val="20"/>
                <w:szCs w:val="20"/>
                <w:color w:val="auto"/>
              </w:rPr>
            </w:pPr>
            <w:r>
              <w:rPr>
                <w:rFonts w:ascii="Times New Roman" w:cs="Times New Roman" w:eastAsia="Times New Roman" w:hAnsi="Times New Roman"/>
                <w:sz w:val="18"/>
                <w:szCs w:val="18"/>
                <w:color w:val="auto"/>
              </w:rPr>
              <w:t>Page</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0" w:type="dxa"/>
            <w:vAlign w:val="bottom"/>
            <w:gridSpan w:val="10"/>
            <w:shd w:val="clear" w:color="auto" w:fill="CCEEFF"/>
          </w:tcPr>
          <w:p>
            <w:pPr>
              <w:jc w:val="center"/>
              <w:ind w:right="134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7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6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86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as of June 30, 2024 and March 31, 2024</w:t>
            </w:r>
          </w:p>
        </w:tc>
        <w:tc>
          <w:tcPr>
            <w:tcW w:w="3320" w:type="dxa"/>
            <w:vAlign w:val="bottom"/>
            <w:tcBorders>
              <w:bottom w:val="single" w:sz="8" w:color="CCEEFF"/>
            </w:tcBorders>
            <w:gridSpan w:val="6"/>
            <w:shd w:val="clear" w:color="auto" w:fill="CCEEFF"/>
          </w:tcPr>
          <w:p>
            <w:pPr>
              <w:spacing w:after="0"/>
              <w:rPr>
                <w:sz w:val="18"/>
                <w:szCs w:val="18"/>
                <w:color w:val="auto"/>
              </w:rPr>
            </w:pPr>
          </w:p>
        </w:tc>
        <w:tc>
          <w:tcPr>
            <w:tcW w:w="90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1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for the Three Months Ended June 30, 2024 and 2023</w:t>
            </w:r>
          </w:p>
        </w:tc>
        <w:tc>
          <w:tcPr>
            <w:tcW w:w="1040" w:type="dxa"/>
            <w:vAlign w:val="bottom"/>
            <w:gridSpan w:val="3"/>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20" w:type="dxa"/>
            <w:vAlign w:val="bottom"/>
            <w:tcBorders>
              <w:bottom w:val="single" w:sz="8" w:color="0000FF"/>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June 30, 2024 and 2023</w:t>
            </w:r>
          </w:p>
        </w:tc>
        <w:tc>
          <w:tcPr>
            <w:tcW w:w="7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1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June 30, 2024 and 2023</w:t>
            </w:r>
          </w:p>
        </w:tc>
        <w:tc>
          <w:tcPr>
            <w:tcW w:w="1040" w:type="dxa"/>
            <w:vAlign w:val="bottom"/>
            <w:gridSpan w:val="3"/>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1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June 30, 2024 and 2023</w:t>
            </w:r>
          </w:p>
        </w:tc>
        <w:tc>
          <w:tcPr>
            <w:tcW w:w="1040" w:type="dxa"/>
            <w:vAlign w:val="bottom"/>
            <w:tcBorders>
              <w:right w:val="single" w:sz="8" w:color="CCEEFF"/>
            </w:tcBorders>
            <w:gridSpan w:val="3"/>
            <w:shd w:val="clear" w:color="auto" w:fill="CCEEFF"/>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w w:val="99"/>
              </w:rPr>
              <w:t>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7540" w:type="dxa"/>
            <w:vAlign w:val="bottom"/>
            <w:tcBorders>
              <w:top w:val="single" w:sz="8" w:color="0000FF"/>
            </w:tcBorders>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640" w:type="dxa"/>
            <w:vAlign w:val="bottom"/>
            <w:tcBorders>
              <w:top w:val="single" w:sz="8" w:color="CCEEFF"/>
            </w:tcBorders>
            <w:gridSpan w:val="3"/>
          </w:tcPr>
          <w:p>
            <w:pPr>
              <w:spacing w:after="0"/>
              <w:rPr>
                <w:sz w:val="16"/>
                <w:szCs w:val="16"/>
                <w:color w:val="auto"/>
              </w:rPr>
            </w:pPr>
          </w:p>
        </w:tc>
        <w:tc>
          <w:tcPr>
            <w:tcW w:w="90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13</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660" w:type="dxa"/>
            <w:vAlign w:val="bottom"/>
            <w:tcBorders>
              <w:bottom w:val="single" w:sz="8" w:color="CCEEFF"/>
            </w:tcBorders>
            <w:gridSpan w:val="5"/>
            <w:shd w:val="clear" w:color="auto" w:fill="CCEEFF"/>
          </w:tcPr>
          <w:p>
            <w:pPr>
              <w:spacing w:after="0"/>
              <w:rPr>
                <w:sz w:val="18"/>
                <w:szCs w:val="18"/>
                <w:color w:val="auto"/>
              </w:rPr>
            </w:pPr>
          </w:p>
        </w:tc>
        <w:tc>
          <w:tcPr>
            <w:tcW w:w="90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45</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6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Item 3. Qualitative and Quantitative Disclosures about Market Risk</w:t>
            </w:r>
          </w:p>
        </w:tc>
        <w:tc>
          <w:tcPr>
            <w:tcW w:w="1040" w:type="dxa"/>
            <w:vAlign w:val="bottom"/>
            <w:gridSpan w:val="3"/>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w w:val="99"/>
              </w:rPr>
              <w:t>76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6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1040" w:type="dxa"/>
            <w:vAlign w:val="bottom"/>
            <w:tcBorders>
              <w:right w:val="single" w:sz="8" w:color="CCEEFF"/>
            </w:tcBorders>
            <w:gridSpan w:val="3"/>
            <w:shd w:val="clear" w:color="auto" w:fill="CCEEFF"/>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6800" w:type="dxa"/>
            <w:vAlign w:val="bottom"/>
            <w:tcBorders>
              <w:top w:val="single" w:sz="8" w:color="CCEEFF"/>
            </w:tcBorders>
            <w:gridSpan w:val="10"/>
          </w:tcPr>
          <w:p>
            <w:pPr>
              <w:jc w:val="center"/>
              <w:ind w:right="136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7780" w:type="dxa"/>
            <w:vAlign w:val="bottom"/>
            <w:tcBorders>
              <w:bottom w:val="single" w:sz="8" w:color="CCEEFF"/>
            </w:tcBorders>
            <w:gridSpan w:val="13"/>
            <w:shd w:val="clear" w:color="auto" w:fill="CCEEFF"/>
          </w:tcPr>
          <w:p>
            <w:pPr>
              <w:spacing w:after="0"/>
              <w:rPr>
                <w:sz w:val="18"/>
                <w:szCs w:val="18"/>
                <w:color w:val="auto"/>
              </w:rPr>
            </w:pPr>
          </w:p>
        </w:tc>
        <w:tc>
          <w:tcPr>
            <w:tcW w:w="90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78</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6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1040" w:type="dxa"/>
            <w:vAlign w:val="bottom"/>
            <w:gridSpan w:val="3"/>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6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40" w:type="dxa"/>
            <w:vAlign w:val="bottom"/>
            <w:tcBorders>
              <w:right w:val="single" w:sz="8" w:color="CCEEFF"/>
            </w:tcBorders>
            <w:gridSpan w:val="3"/>
            <w:shd w:val="clear" w:color="auto" w:fill="CCEEFF"/>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4780" w:type="dxa"/>
            <w:vAlign w:val="bottom"/>
            <w:tcBorders>
              <w:top w:val="single" w:sz="8" w:color="CCEEFF"/>
            </w:tcBorders>
            <w:gridSpan w:val="7"/>
          </w:tcPr>
          <w:p>
            <w:pPr>
              <w:spacing w:after="0"/>
              <w:rPr>
                <w:sz w:val="16"/>
                <w:szCs w:val="16"/>
                <w:color w:val="auto"/>
              </w:rPr>
            </w:pPr>
          </w:p>
        </w:tc>
        <w:tc>
          <w:tcPr>
            <w:tcW w:w="90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79</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6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040" w:type="dxa"/>
            <w:vAlign w:val="bottom"/>
            <w:tcBorders>
              <w:right w:val="single" w:sz="8" w:color="CCEEFF"/>
            </w:tcBorders>
            <w:gridSpan w:val="3"/>
            <w:shd w:val="clear" w:color="auto" w:fill="CCEEFF"/>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7360" w:type="dxa"/>
            <w:vAlign w:val="bottom"/>
            <w:tcBorders>
              <w:top w:val="single" w:sz="8" w:color="CCEEFF"/>
            </w:tcBorders>
            <w:gridSpan w:val="11"/>
          </w:tcPr>
          <w:p>
            <w:pPr>
              <w:spacing w:after="0"/>
              <w:rPr>
                <w:sz w:val="16"/>
                <w:szCs w:val="16"/>
                <w:color w:val="auto"/>
              </w:rPr>
            </w:pPr>
          </w:p>
        </w:tc>
        <w:tc>
          <w:tcPr>
            <w:tcW w:w="90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79</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6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1040" w:type="dxa"/>
            <w:vAlign w:val="bottom"/>
            <w:tcBorders>
              <w:right w:val="single" w:sz="8" w:color="CCEEFF"/>
            </w:tcBorders>
            <w:gridSpan w:val="3"/>
            <w:shd w:val="clear" w:color="auto" w:fill="CCEEFF"/>
          </w:tcPr>
          <w:p>
            <w:pPr>
              <w:jc w:val="center"/>
              <w:ind w:left="77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520" w:type="dxa"/>
            <w:vAlign w:val="bottom"/>
            <w:tcBorders>
              <w:top w:val="single" w:sz="8" w:color="CCEEFF"/>
            </w:tcBorders>
            <w:gridSpan w:val="16"/>
          </w:tcPr>
          <w:p>
            <w:pPr>
              <w:spacing w:after="0"/>
              <w:rPr>
                <w:sz w:val="16"/>
                <w:szCs w:val="16"/>
                <w:color w:val="auto"/>
              </w:rPr>
            </w:pPr>
          </w:p>
        </w:tc>
        <w:tc>
          <w:tcPr>
            <w:tcW w:w="90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81</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3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indicated or the context otherwise requires:</w:t>
      </w:r>
    </w:p>
    <w:p>
      <w:pPr>
        <w:spacing w:after="0" w:line="225" w:lineRule="exact"/>
        <w:rPr>
          <w:sz w:val="20"/>
          <w:szCs w:val="20"/>
          <w:color w:val="auto"/>
        </w:rPr>
      </w:pPr>
    </w:p>
    <w:p>
      <w:pPr>
        <w:ind w:left="660" w:right="104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Group Inc.</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SSG</w:t>
      </w:r>
      <w:r>
        <w:rPr>
          <w:rFonts w:ascii="Times New Roman" w:cs="Times New Roman" w:eastAsia="Times New Roman" w:hAnsi="Times New Roman"/>
          <w:sz w:val="20"/>
          <w:szCs w:val="20"/>
          <w:color w:val="auto"/>
        </w:rPr>
        <w:t>” refers solely to StepStone Group Inc., a Delaware corporation, and not to any of its subsidiaries;</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Partnership</w:t>
      </w:r>
      <w:r>
        <w:rPr>
          <w:rFonts w:ascii="Times New Roman" w:cs="Times New Roman" w:eastAsia="Times New Roman" w:hAnsi="Times New Roman"/>
          <w:sz w:val="20"/>
          <w:szCs w:val="20"/>
          <w:color w:val="auto"/>
        </w:rPr>
        <w:t>” refers solely to StepStone Group LP, a Delaware limited partnership, and not to any of its subsidiaries;</w:t>
      </w:r>
    </w:p>
    <w:p>
      <w:pPr>
        <w:spacing w:after="0" w:line="229" w:lineRule="exact"/>
        <w:rPr>
          <w:rFonts w:ascii="Times New Roman" w:cs="Times New Roman" w:eastAsia="Times New Roman" w:hAnsi="Times New Roman"/>
          <w:sz w:val="20"/>
          <w:szCs w:val="20"/>
          <w:color w:val="auto"/>
        </w:rPr>
      </w:pPr>
    </w:p>
    <w:p>
      <w:pPr>
        <w:ind w:left="660" w:right="60" w:hanging="4"/>
        <w:spacing w:after="0" w:line="273"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Partner</w:t>
      </w:r>
      <w:r>
        <w:rPr>
          <w:rFonts w:ascii="Times New Roman" w:cs="Times New Roman" w:eastAsia="Times New Roman" w:hAnsi="Times New Roman"/>
          <w:sz w:val="20"/>
          <w:szCs w:val="20"/>
          <w:color w:val="auto"/>
        </w:rPr>
        <w:t>” refers to StepStone Group Holdings LLC, a Delaware limited liability company, and the sole general partner of the Partnership;</w:t>
      </w:r>
    </w:p>
    <w:p>
      <w:pPr>
        <w:spacing w:after="0" w:line="165" w:lineRule="exact"/>
        <w:rPr>
          <w:rFonts w:ascii="Times New Roman" w:cs="Times New Roman" w:eastAsia="Times New Roman" w:hAnsi="Times New Roman"/>
          <w:sz w:val="20"/>
          <w:szCs w:val="20"/>
          <w:color w:val="auto"/>
        </w:rPr>
      </w:pPr>
    </w:p>
    <w:p>
      <w:pPr>
        <w:ind w:left="66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 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StepStone</w:t>
      </w:r>
      <w:r>
        <w:rPr>
          <w:rFonts w:ascii="Times New Roman" w:cs="Times New Roman" w:eastAsia="Times New Roman" w:hAnsi="Times New Roman"/>
          <w:sz w:val="20"/>
          <w:szCs w:val="20"/>
          <w:color w:val="auto"/>
        </w:rPr>
        <w:t>” and similar terms refer to SSG and its consolidated subsidiaries, including the Partnership;</w:t>
      </w:r>
    </w:p>
    <w:p>
      <w:pPr>
        <w:spacing w:after="0" w:line="138" w:lineRule="exact"/>
        <w:rPr>
          <w:rFonts w:ascii="Times New Roman" w:cs="Times New Roman" w:eastAsia="Times New Roman" w:hAnsi="Times New Roman"/>
          <w:sz w:val="20"/>
          <w:szCs w:val="20"/>
          <w:color w:val="auto"/>
        </w:rPr>
      </w:pPr>
    </w:p>
    <w:p>
      <w:pPr>
        <w:ind w:left="660" w:right="10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Funds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our funds</w:t>
      </w:r>
      <w:r>
        <w:rPr>
          <w:rFonts w:ascii="Times New Roman" w:cs="Times New Roman" w:eastAsia="Times New Roman" w:hAnsi="Times New Roman"/>
          <w:sz w:val="20"/>
          <w:szCs w:val="20"/>
          <w:color w:val="auto"/>
        </w:rPr>
        <w:t>” refer to our focused commingled funds and our separately managed accounts for which we act as both investment adviser and general partner or managing member;</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Greenspring acquisition</w:t>
      </w:r>
      <w:r>
        <w:rPr>
          <w:rFonts w:ascii="Times New Roman" w:cs="Times New Roman" w:eastAsia="Times New Roman" w:hAnsi="Times New Roman"/>
          <w:sz w:val="20"/>
          <w:szCs w:val="20"/>
          <w:color w:val="auto"/>
        </w:rPr>
        <w:t>” refer to the acquisition of Greenspring Associates, Inc. and certain of its affiliates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Greenspring</w:t>
      </w:r>
      <w:r>
        <w:rPr>
          <w:rFonts w:ascii="Times New Roman" w:cs="Times New Roman" w:eastAsia="Times New Roman" w:hAnsi="Times New Roman"/>
          <w:sz w:val="20"/>
          <w:szCs w:val="20"/>
          <w:color w:val="auto"/>
        </w:rPr>
        <w:t>”) that was completed on September 20, 2021;</w:t>
      </w:r>
    </w:p>
    <w:p>
      <w:pPr>
        <w:spacing w:after="0" w:line="210" w:lineRule="exact"/>
        <w:rPr>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FY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fiscal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are to the fiscal year ended March 31 of the applicable year;</w:t>
      </w:r>
    </w:p>
    <w:p>
      <w:pPr>
        <w:spacing w:after="0" w:line="215" w:lineRule="exact"/>
        <w:rPr>
          <w:rFonts w:ascii="Times New Roman" w:cs="Times New Roman" w:eastAsia="Times New Roman" w:hAnsi="Times New Roman"/>
          <w:sz w:val="20"/>
          <w:szCs w:val="20"/>
          <w:color w:val="auto"/>
        </w:rPr>
      </w:pPr>
    </w:p>
    <w:p>
      <w:pPr>
        <w:ind w:left="660" w:right="44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Reorganization</w:t>
      </w:r>
      <w:r>
        <w:rPr>
          <w:rFonts w:ascii="Times New Roman" w:cs="Times New Roman" w:eastAsia="Times New Roman" w:hAnsi="Times New Roman"/>
          <w:sz w:val="20"/>
          <w:szCs w:val="20"/>
          <w:color w:val="auto"/>
        </w:rPr>
        <w:t>” refer to the series of transactions immediately before the Company’s initial public offering (“</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which was completed on September 18, 2020;</w:t>
      </w:r>
    </w:p>
    <w:p>
      <w:pPr>
        <w:spacing w:after="0" w:line="138" w:lineRule="exact"/>
        <w:rPr>
          <w:rFonts w:ascii="Times New Roman" w:cs="Times New Roman" w:eastAsia="Times New Roman" w:hAnsi="Times New Roman"/>
          <w:sz w:val="20"/>
          <w:szCs w:val="20"/>
          <w:color w:val="auto"/>
        </w:rPr>
      </w:pPr>
    </w:p>
    <w:p>
      <w:pPr>
        <w:ind w:left="660" w:right="38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private markets allocations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total capital responsibility</w:t>
      </w:r>
      <w:r>
        <w:rPr>
          <w:rFonts w:ascii="Times New Roman" w:cs="Times New Roman" w:eastAsia="Times New Roman" w:hAnsi="Times New Roman"/>
          <w:sz w:val="20"/>
          <w:szCs w:val="20"/>
          <w:color w:val="auto"/>
        </w:rPr>
        <w:t>” refer to the aggregate amount of our assets under management (“</w:t>
      </w:r>
      <w:r>
        <w:rPr>
          <w:rFonts w:ascii="Times New Roman" w:cs="Times New Roman" w:eastAsia="Times New Roman" w:hAnsi="Times New Roman"/>
          <w:sz w:val="20"/>
          <w:szCs w:val="20"/>
          <w:b w:val="1"/>
          <w:bCs w:val="1"/>
          <w:color w:val="auto"/>
        </w:rPr>
        <w:t>AUM</w:t>
      </w:r>
      <w:r>
        <w:rPr>
          <w:rFonts w:ascii="Times New Roman" w:cs="Times New Roman" w:eastAsia="Times New Roman" w:hAnsi="Times New Roman"/>
          <w:sz w:val="20"/>
          <w:szCs w:val="20"/>
          <w:color w:val="auto"/>
        </w:rPr>
        <w:t>”) and our assets under advisement (“</w:t>
      </w:r>
      <w:r>
        <w:rPr>
          <w:rFonts w:ascii="Times New Roman" w:cs="Times New Roman" w:eastAsia="Times New Roman" w:hAnsi="Times New Roman"/>
          <w:sz w:val="20"/>
          <w:szCs w:val="20"/>
          <w:b w:val="1"/>
          <w:bCs w:val="1"/>
          <w:color w:val="auto"/>
        </w:rPr>
        <w:t>AUA”</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high-net-worth</w:t>
      </w:r>
      <w:r>
        <w:rPr>
          <w:rFonts w:ascii="Times New Roman" w:cs="Times New Roman" w:eastAsia="Times New Roman" w:hAnsi="Times New Roman"/>
          <w:sz w:val="20"/>
          <w:szCs w:val="20"/>
          <w:color w:val="auto"/>
        </w:rPr>
        <w:t>” individuals refer to individuals with net worth of over $5 million, excluding primary residence;</w:t>
      </w:r>
    </w:p>
    <w:p>
      <w:pPr>
        <w:spacing w:after="0" w:line="215" w:lineRule="exact"/>
        <w:rPr>
          <w:rFonts w:ascii="Times New Roman" w:cs="Times New Roman" w:eastAsia="Times New Roman" w:hAnsi="Times New Roman"/>
          <w:sz w:val="20"/>
          <w:szCs w:val="20"/>
          <w:color w:val="auto"/>
        </w:rPr>
      </w:pPr>
    </w:p>
    <w:p>
      <w:pPr>
        <w:ind w:left="660" w:right="22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mass affluent</w:t>
      </w:r>
      <w:r>
        <w:rPr>
          <w:rFonts w:ascii="Times New Roman" w:cs="Times New Roman" w:eastAsia="Times New Roman" w:hAnsi="Times New Roman"/>
          <w:sz w:val="20"/>
          <w:szCs w:val="20"/>
          <w:color w:val="auto"/>
        </w:rPr>
        <w:t>” individuals refer to individuals with annual income over $200,000 or net worth between $1 million and $5 million, excluding primary residence;</w:t>
      </w:r>
    </w:p>
    <w:p>
      <w:pPr>
        <w:spacing w:after="0" w:line="138" w:lineRule="exact"/>
        <w:rPr>
          <w:rFonts w:ascii="Times New Roman" w:cs="Times New Roman" w:eastAsia="Times New Roman" w:hAnsi="Times New Roman"/>
          <w:sz w:val="20"/>
          <w:szCs w:val="20"/>
          <w:color w:val="auto"/>
        </w:rPr>
      </w:pPr>
    </w:p>
    <w:p>
      <w:pPr>
        <w:ind w:left="660" w:right="10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Consolidated Funds</w:t>
      </w:r>
      <w:r>
        <w:rPr>
          <w:rFonts w:ascii="Times New Roman" w:cs="Times New Roman" w:eastAsia="Times New Roman" w:hAnsi="Times New Roman"/>
          <w:sz w:val="20"/>
          <w:szCs w:val="20"/>
          <w:color w:val="auto"/>
        </w:rPr>
        <w:t>” refer to the StepStone Funds that we are required to consolidate as of the applicable reporting period; and</w:t>
      </w:r>
    </w:p>
    <w:p>
      <w:pPr>
        <w:spacing w:after="0" w:line="138" w:lineRule="exact"/>
        <w:rPr>
          <w:rFonts w:ascii="Times New Roman" w:cs="Times New Roman" w:eastAsia="Times New Roman" w:hAnsi="Times New Roman"/>
          <w:sz w:val="20"/>
          <w:szCs w:val="20"/>
          <w:color w:val="auto"/>
        </w:rPr>
      </w:pPr>
    </w:p>
    <w:p>
      <w:pPr>
        <w:ind w:left="660" w:right="200" w:hanging="4"/>
        <w:spacing w:after="0" w:line="270"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SRA</w:t>
      </w:r>
      <w:r>
        <w:rPr>
          <w:rFonts w:ascii="Times New Roman" w:cs="Times New Roman" w:eastAsia="Times New Roman" w:hAnsi="Times New Roman"/>
          <w:sz w:val="20"/>
          <w:szCs w:val="20"/>
          <w:color w:val="auto"/>
        </w:rPr>
        <w:t>” refer to StepStone Group Real Assets LP, references to “</w:t>
      </w:r>
      <w:r>
        <w:rPr>
          <w:rFonts w:ascii="Times New Roman" w:cs="Times New Roman" w:eastAsia="Times New Roman" w:hAnsi="Times New Roman"/>
          <w:sz w:val="20"/>
          <w:szCs w:val="20"/>
          <w:b w:val="1"/>
          <w:bCs w:val="1"/>
          <w:color w:val="auto"/>
        </w:rPr>
        <w:t>SRE</w:t>
      </w:r>
      <w:r>
        <w:rPr>
          <w:rFonts w:ascii="Times New Roman" w:cs="Times New Roman" w:eastAsia="Times New Roman" w:hAnsi="Times New Roman"/>
          <w:sz w:val="20"/>
          <w:szCs w:val="20"/>
          <w:color w:val="auto"/>
        </w:rPr>
        <w:t>” refer to StepStone Group Real Estate LP, references to “</w:t>
      </w:r>
      <w:r>
        <w:rPr>
          <w:rFonts w:ascii="Times New Roman" w:cs="Times New Roman" w:eastAsia="Times New Roman" w:hAnsi="Times New Roman"/>
          <w:sz w:val="20"/>
          <w:szCs w:val="20"/>
          <w:b w:val="1"/>
          <w:bCs w:val="1"/>
          <w:color w:val="auto"/>
        </w:rPr>
        <w:t>SPD</w:t>
      </w:r>
      <w:r>
        <w:rPr>
          <w:rFonts w:ascii="Times New Roman" w:cs="Times New Roman" w:eastAsia="Times New Roman" w:hAnsi="Times New Roman"/>
          <w:sz w:val="20"/>
          <w:szCs w:val="20"/>
          <w:color w:val="auto"/>
        </w:rPr>
        <w:t>” refer to StepStone Group Private Debt AG, and references to “</w:t>
      </w:r>
      <w:r>
        <w:rPr>
          <w:rFonts w:ascii="Times New Roman" w:cs="Times New Roman" w:eastAsia="Times New Roman" w:hAnsi="Times New Roman"/>
          <w:sz w:val="20"/>
          <w:szCs w:val="20"/>
          <w:b w:val="1"/>
          <w:bCs w:val="1"/>
          <w:color w:val="auto"/>
        </w:rPr>
        <w:t>SPW</w:t>
      </w:r>
      <w:r>
        <w:rPr>
          <w:rFonts w:ascii="Times New Roman" w:cs="Times New Roman" w:eastAsia="Times New Roman" w:hAnsi="Times New Roman"/>
          <w:sz w:val="20"/>
          <w:szCs w:val="20"/>
          <w:color w:val="auto"/>
        </w:rPr>
        <w:t>” refer to StepStone Group Private Wealth LLC.</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TRADEMARKS, SERVICE MARKS AND TRADE NAMES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19"/>
          <w:szCs w:val="19"/>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the favorability of the private markets fundraising environment, successful integration of acquired businesses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2024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0" w:type="dxa"/>
            <w:vAlign w:val="bottom"/>
          </w:tcPr>
          <w:p>
            <w:pPr>
              <w:spacing w:after="0"/>
              <w:rPr>
                <w:sz w:val="1"/>
                <w:szCs w:val="1"/>
                <w:color w:val="auto"/>
              </w:rPr>
            </w:pPr>
          </w:p>
        </w:tc>
      </w:tr>
      <w:tr>
        <w:trPr>
          <w:trHeight w:val="16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141,633</w:t>
            </w:r>
          </w:p>
        </w:tc>
        <w:tc>
          <w:tcPr>
            <w:tcW w:w="4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143,430</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and accounts receivable</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58,334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56,769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100,277</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67,531</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in funds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145,519</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135,043</w:t>
            </w:r>
          </w:p>
        </w:tc>
        <w:tc>
          <w:tcPr>
            <w:tcW w:w="0" w:type="dxa"/>
            <w:vAlign w:val="bottom"/>
          </w:tcPr>
          <w:p>
            <w:pPr>
              <w:spacing w:after="0"/>
              <w:rPr>
                <w:sz w:val="1"/>
                <w:szCs w:val="1"/>
                <w:color w:val="auto"/>
              </w:rPr>
            </w:pPr>
          </w:p>
        </w:tc>
      </w:tr>
      <w:tr>
        <w:trPr>
          <w:trHeight w:val="170"/>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carried interest allocations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1,328,853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1,354,051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investments in funds and accrued carried interest allocations</w:t>
            </w:r>
            <w:r>
              <w:rPr>
                <w:rFonts w:ascii="Times New Roman" w:cs="Times New Roman" w:eastAsia="Times New Roman" w:hAnsi="Times New Roman"/>
                <w:sz w:val="16"/>
                <w:szCs w:val="16"/>
                <w:color w:val="auto"/>
                <w:vertAlign w:val="superscript"/>
              </w:rPr>
              <w:t>(1)</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617,539</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631,197</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195,417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184,512</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right-of-use assets, net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95,374</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97,763</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 and receivables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60,611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Intangibles, net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294,623</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304,873</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Assets of Consolidated Funds: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53,802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38,164</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158,222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131,858</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2,048</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3,834,354</w:t>
            </w:r>
          </w:p>
        </w:tc>
        <w:tc>
          <w:tcPr>
            <w:tcW w:w="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3,788,807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132,380</w:t>
            </w:r>
          </w:p>
        </w:tc>
        <w:tc>
          <w:tcPr>
            <w:tcW w:w="480" w:type="dxa"/>
            <w:vAlign w:val="bottom"/>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127,417</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124,973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101,481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carried interest-related compensation</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652,123</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719,497</w:t>
            </w:r>
          </w:p>
        </w:tc>
        <w:tc>
          <w:tcPr>
            <w:tcW w:w="0" w:type="dxa"/>
            <w:vAlign w:val="bottom"/>
          </w:tcPr>
          <w:p>
            <w:pPr>
              <w:spacing w:after="0"/>
              <w:rPr>
                <w:sz w:val="1"/>
                <w:szCs w:val="1"/>
                <w:color w:val="auto"/>
              </w:rPr>
            </w:pPr>
          </w:p>
        </w:tc>
      </w:tr>
      <w:tr>
        <w:trPr>
          <w:trHeight w:val="176"/>
        </w:trPr>
        <w:tc>
          <w:tcPr>
            <w:tcW w:w="81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accrued carried interest-related compensation</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470,003</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484,154</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223,471</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212,918</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118,068</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119,739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obligations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172,118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148,822</w:t>
            </w: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Liabilities of Consolidated Funds: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0" w:type="dxa"/>
            <w:vAlign w:val="bottom"/>
          </w:tcPr>
          <w:p>
            <w:pPr>
              <w:spacing w:after="0"/>
              <w:rPr>
                <w:sz w:val="1"/>
                <w:szCs w:val="1"/>
                <w:color w:val="auto"/>
              </w:rPr>
            </w:pPr>
          </w:p>
        </w:tc>
      </w:tr>
      <w:tr>
        <w:trPr>
          <w:trHeight w:val="163"/>
        </w:trPr>
        <w:tc>
          <w:tcPr>
            <w:tcW w:w="814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Total liabilities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1,894,893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1,915,673</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14)</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Consolidated Funds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142,547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102,623</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subsidiaries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5,931</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115,920</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1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7"/>
              </w:rPr>
              <w:t>Class A common stock, $0.001 par value, 650,000,000 authorized; 67,931,869 and 65,614,902 issued and outstanding as of June 30, 2024 and March 31, 2024,</w:t>
            </w: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respectively</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21"/>
        </w:trPr>
        <w:tc>
          <w:tcPr>
            <w:tcW w:w="81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Class B common stock, $0.001 par value, 125,000,000 authorized; 45,889,135 and 45,030,959 issued and outstanding as of June 30, 2024 and March 31, 2024,</w:t>
            </w: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respectively</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8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363,529</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310,293</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13,768</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0" w:type="dxa"/>
            <w:vAlign w:val="bottom"/>
          </w:tcPr>
          <w:p>
            <w:pPr>
              <w:spacing w:after="0"/>
              <w:rPr>
                <w:sz w:val="1"/>
                <w:szCs w:val="1"/>
                <w:color w:val="auto"/>
              </w:rPr>
            </w:pPr>
          </w:p>
        </w:tc>
      </w:tr>
      <w:tr>
        <w:trPr>
          <w:trHeight w:val="163"/>
        </w:trPr>
        <w:tc>
          <w:tcPr>
            <w:tcW w:w="81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StepStone Group Inc. stockholders’ equity</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366,935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324,476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 in subsidiaries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1,027,558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974,559</w:t>
            </w:r>
          </w:p>
        </w:tc>
        <w:tc>
          <w:tcPr>
            <w:tcW w:w="0" w:type="dxa"/>
            <w:vAlign w:val="bottom"/>
          </w:tcPr>
          <w:p>
            <w:pPr>
              <w:spacing w:after="0"/>
              <w:rPr>
                <w:sz w:val="1"/>
                <w:szCs w:val="1"/>
                <w:color w:val="auto"/>
              </w:rPr>
            </w:pPr>
          </w:p>
        </w:tc>
      </w:tr>
      <w:tr>
        <w:trPr>
          <w:trHeight w:val="175"/>
        </w:trPr>
        <w:tc>
          <w:tcPr>
            <w:tcW w:w="81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Non-controlling interests in legacy Greenspring entities</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147,536</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147,042</w:t>
            </w: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 in the Partnership</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248,954</w:t>
            </w: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208,514</w:t>
            </w:r>
          </w:p>
        </w:tc>
        <w:tc>
          <w:tcPr>
            <w:tcW w:w="0" w:type="dxa"/>
            <w:vAlign w:val="bottom"/>
          </w:tcPr>
          <w:p>
            <w:pPr>
              <w:spacing w:after="0"/>
              <w:rPr>
                <w:sz w:val="1"/>
                <w:szCs w:val="1"/>
                <w:color w:val="auto"/>
              </w:rPr>
            </w:pPr>
          </w:p>
        </w:tc>
      </w:tr>
      <w:tr>
        <w:trPr>
          <w:trHeight w:val="163"/>
        </w:trPr>
        <w:tc>
          <w:tcPr>
            <w:tcW w:w="814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stockholders’ equity</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1,790,983</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1,654,591</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3,834,354</w:t>
            </w:r>
          </w:p>
        </w:tc>
        <w:tc>
          <w:tcPr>
            <w:tcW w:w="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3,788,807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amounts attributable to consolidated VIEs for which the Company did not acquire any direct economic interests. See note 5 for more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 w:name="page7"/>
    <w:bookmarkEnd w:id="6"/>
    <w:p>
      <w:pPr>
        <w:ind w:left="504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51"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The following presents the portion of the condensed consolidated balances presented above attributable to consolidated variable interest entities.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67,648</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52,566</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23,986</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617,539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631,197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38,164</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131,858</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1,053,350</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995,188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27,205</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accrued carried interest-related compensation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484,154</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601,945</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593,701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 (Unaudited)</w:t>
      </w:r>
    </w:p>
    <w:p>
      <w:pPr>
        <w:spacing w:after="0" w:line="1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 w:type="dxa"/>
        <w:tblCellMar>
          <w:top w:w="0" w:type="dxa"/>
          <w:left w:w="0" w:type="dxa"/>
          <w:bottom w:w="0" w:type="dxa"/>
          <w:right w:w="0" w:type="dxa"/>
        </w:tblCellMar>
      </w:tblPr>
      <w:tr>
        <w:trPr>
          <w:trHeight w:val="176"/>
        </w:trPr>
        <w:tc>
          <w:tcPr>
            <w:tcW w:w="8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r>
      <w:tr>
        <w:trPr>
          <w:trHeight w:val="171"/>
        </w:trPr>
        <w:tc>
          <w:tcPr>
            <w:tcW w:w="83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0"/>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178,015</w:t>
            </w:r>
          </w:p>
        </w:tc>
        <w:tc>
          <w:tcPr>
            <w:tcW w:w="26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138,115</w:t>
            </w:r>
          </w:p>
        </w:tc>
      </w:tr>
      <w:tr>
        <w:trPr>
          <w:trHeight w:val="18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0"/>
        </w:trPr>
        <w:tc>
          <w:tcPr>
            <w:tcW w:w="8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Incentive fees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1"/>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0"/>
        </w:trPr>
        <w:tc>
          <w:tcPr>
            <w:tcW w:w="834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41,804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14,473</w:t>
            </w:r>
          </w:p>
        </w:tc>
      </w:tr>
      <w:tr>
        <w:trPr>
          <w:trHeight w:val="181"/>
        </w:trPr>
        <w:tc>
          <w:tcPr>
            <w:tcW w:w="8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(25,170)</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49,364</w:t>
            </w:r>
          </w:p>
        </w:tc>
      </w:tr>
      <w:tr>
        <w:trPr>
          <w:trHeight w:val="163"/>
        </w:trPr>
        <w:tc>
          <w:tcPr>
            <w:tcW w:w="83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63,837</w:t>
            </w:r>
          </w:p>
        </w:tc>
      </w:tr>
      <w:tr>
        <w:trPr>
          <w:trHeight w:val="181"/>
        </w:trPr>
        <w:tc>
          <w:tcPr>
            <w:tcW w:w="834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(9,089)</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(23,947)</w:t>
            </w:r>
          </w:p>
        </w:tc>
      </w:tr>
      <w:tr>
        <w:trPr>
          <w:trHeight w:val="163"/>
        </w:trPr>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performance fees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8,386</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39,896</w:t>
            </w:r>
          </w:p>
        </w:tc>
      </w:tr>
      <w:tr>
        <w:trPr>
          <w:trHeight w:val="175"/>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revenues</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186,401</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178,011</w:t>
            </w:r>
          </w:p>
        </w:tc>
      </w:tr>
      <w:tr>
        <w:trPr>
          <w:trHeight w:val="151"/>
        </w:trPr>
        <w:tc>
          <w:tcPr>
            <w:tcW w:w="83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0"/>
        </w:trPr>
        <w:tc>
          <w:tcPr>
            <w:tcW w:w="8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70,081</w:t>
            </w:r>
          </w:p>
        </w:tc>
      </w:tr>
      <w:tr>
        <w:trPr>
          <w:trHeight w:val="181"/>
        </w:trPr>
        <w:tc>
          <w:tcPr>
            <w:tcW w:w="8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19,179</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8,472</w:t>
            </w:r>
          </w:p>
        </w:tc>
      </w:tr>
      <w:tr>
        <w:trPr>
          <w:trHeight w:val="170"/>
        </w:trPr>
        <w:tc>
          <w:tcPr>
            <w:tcW w:w="8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1"/>
        </w:trPr>
        <w:tc>
          <w:tcPr>
            <w:tcW w:w="8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20,848</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9,102</w:t>
            </w:r>
          </w:p>
        </w:tc>
      </w:tr>
      <w:tr>
        <w:trPr>
          <w:trHeight w:val="170"/>
        </w:trPr>
        <w:tc>
          <w:tcPr>
            <w:tcW w:w="83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(10,923)</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24,211</w:t>
            </w:r>
          </w:p>
        </w:tc>
      </w:tr>
      <w:tr>
        <w:trPr>
          <w:trHeight w:val="175"/>
        </w:trPr>
        <w:tc>
          <w:tcPr>
            <w:tcW w:w="8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9,925</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33,313</w:t>
            </w:r>
          </w:p>
        </w:tc>
      </w:tr>
      <w:tr>
        <w:trPr>
          <w:trHeight w:val="175"/>
        </w:trPr>
        <w:tc>
          <w:tcPr>
            <w:tcW w:w="8340" w:type="dxa"/>
            <w:vAlign w:val="bottom"/>
            <w:tcBorders>
              <w:bottom w:val="single" w:sz="8" w:color="CCEEFF"/>
            </w:tcBorders>
          </w:tcPr>
          <w:p>
            <w:pPr>
              <w:ind w:left="400"/>
              <w:spacing w:after="0" w:line="175" w:lineRule="exact"/>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(9,089)</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(23,947)</w:t>
            </w:r>
          </w:p>
        </w:tc>
      </w:tr>
      <w:tr>
        <w:trPr>
          <w:trHeight w:val="16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98,239</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87,919</w:t>
            </w:r>
          </w:p>
        </w:tc>
      </w:tr>
      <w:tr>
        <w:trPr>
          <w:trHeight w:val="17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41,011</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33,277</w:t>
            </w:r>
          </w:p>
        </w:tc>
      </w:tr>
      <w:tr>
        <w:trPr>
          <w:trHeight w:val="175"/>
        </w:trPr>
        <w:tc>
          <w:tcPr>
            <w:tcW w:w="8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139,250</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121,196</w:t>
            </w:r>
          </w:p>
        </w:tc>
      </w:tr>
      <w:tr>
        <w:trPr>
          <w:trHeight w:val="151"/>
        </w:trPr>
        <w:tc>
          <w:tcPr>
            <w:tcW w:w="83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3,086</w:t>
            </w:r>
          </w:p>
        </w:tc>
      </w:tr>
      <w:tr>
        <w:trPr>
          <w:trHeight w:val="175"/>
        </w:trPr>
        <w:tc>
          <w:tcPr>
            <w:tcW w:w="83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investment loss</w:t>
            </w:r>
            <w:r>
              <w:rPr>
                <w:rFonts w:ascii="Times New Roman" w:cs="Times New Roman" w:eastAsia="Times New Roman" w:hAnsi="Times New Roman"/>
                <w:sz w:val="16"/>
                <w:szCs w:val="16"/>
                <w:color w:val="auto"/>
                <w:vertAlign w:val="superscript"/>
              </w:rPr>
              <w:t>(1)</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(2,866)</w:t>
            </w:r>
          </w:p>
        </w:tc>
      </w:tr>
      <w:tr>
        <w:trPr>
          <w:trHeight w:val="17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7,635</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w:t>
            </w:r>
          </w:p>
        </w:tc>
      </w:tr>
      <w:tr>
        <w:trPr>
          <w:trHeight w:val="170"/>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r>
      <w:tr>
        <w:trPr>
          <w:trHeight w:val="18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r>
      <w:tr>
        <w:trPr>
          <w:trHeight w:val="17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(loss)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w:t>
            </w:r>
          </w:p>
        </w:tc>
      </w:tr>
      <w:tr>
        <w:trPr>
          <w:trHeight w:val="175"/>
        </w:trPr>
        <w:tc>
          <w:tcPr>
            <w:tcW w:w="8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other income</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7,691</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r>
      <w:tr>
        <w:trPr>
          <w:trHeight w:val="163"/>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54,842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58,043</w:t>
            </w:r>
          </w:p>
        </w:tc>
      </w:tr>
      <w:tr>
        <w:trPr>
          <w:trHeight w:val="18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6,797</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8,597</w:t>
            </w:r>
          </w:p>
        </w:tc>
      </w:tr>
      <w:tr>
        <w:trPr>
          <w:trHeight w:val="163"/>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48,045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49,446</w:t>
            </w:r>
          </w:p>
        </w:tc>
      </w:tr>
      <w:tr>
        <w:trPr>
          <w:trHeight w:val="181"/>
        </w:trPr>
        <w:tc>
          <w:tcPr>
            <w:tcW w:w="8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16,615</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9,630</w:t>
            </w:r>
          </w:p>
        </w:tc>
      </w:tr>
      <w:tr>
        <w:trPr>
          <w:trHeight w:val="175"/>
        </w:trPr>
        <w:tc>
          <w:tcPr>
            <w:tcW w:w="8340" w:type="dxa"/>
            <w:vAlign w:val="bottom"/>
          </w:tcPr>
          <w:p>
            <w:pPr>
              <w:ind w:left="400"/>
              <w:spacing w:after="0" w:line="175" w:lineRule="exact"/>
              <w:rPr>
                <w:sz w:val="20"/>
                <w:szCs w:val="20"/>
                <w:color w:val="auto"/>
              </w:rPr>
            </w:pPr>
            <w:r>
              <w:rPr>
                <w:rFonts w:ascii="Times New Roman" w:cs="Times New Roman" w:eastAsia="Times New Roman" w:hAnsi="Times New Roman"/>
                <w:sz w:val="13"/>
                <w:szCs w:val="13"/>
                <w:color w:val="auto"/>
              </w:rPr>
              <w:t>Less: Net loss attributable to non-controlling interests in legacy Greenspring entities</w:t>
            </w:r>
            <w:r>
              <w:rPr>
                <w:rFonts w:ascii="Times New Roman" w:cs="Times New Roman" w:eastAsia="Times New Roman" w:hAnsi="Times New Roman"/>
                <w:sz w:val="16"/>
                <w:szCs w:val="16"/>
                <w:color w:val="auto"/>
                <w:vertAlign w:val="superscript"/>
              </w:rPr>
              <w:t>(1)</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(2,866)</w:t>
            </w:r>
          </w:p>
        </w:tc>
      </w:tr>
      <w:tr>
        <w:trPr>
          <w:trHeight w:val="175"/>
        </w:trPr>
        <w:tc>
          <w:tcPr>
            <w:tcW w:w="8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the Partnership</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13,324</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19,860</w:t>
            </w:r>
          </w:p>
        </w:tc>
      </w:tr>
      <w:tr>
        <w:trPr>
          <w:trHeight w:val="170"/>
        </w:trPr>
        <w:tc>
          <w:tcPr>
            <w:tcW w:w="8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w:t>
            </w:r>
          </w:p>
        </w:tc>
      </w:tr>
      <w:tr>
        <w:trPr>
          <w:trHeight w:val="175"/>
        </w:trPr>
        <w:tc>
          <w:tcPr>
            <w:tcW w:w="8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subsidiaries</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StepStone Group Inc.</w:t>
            </w: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13,328</w:t>
            </w:r>
          </w:p>
        </w:tc>
        <w:tc>
          <w:tcPr>
            <w:tcW w:w="26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21,269</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170"/>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per share of Class A common stock:</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1"/>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0.34</w:t>
            </w:r>
          </w:p>
        </w:tc>
      </w:tr>
      <w:tr>
        <w:trPr>
          <w:trHeight w:val="170"/>
        </w:trPr>
        <w:tc>
          <w:tcPr>
            <w:tcW w:w="83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26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0.34</w:t>
            </w:r>
          </w:p>
        </w:tc>
      </w:tr>
      <w:tr>
        <w:trPr>
          <w:trHeight w:val="18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of Class A common stock:</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0"/>
        </w:trPr>
        <w:tc>
          <w:tcPr>
            <w:tcW w:w="83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66,187,754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62,834,818</w:t>
            </w:r>
          </w:p>
        </w:tc>
      </w:tr>
      <w:tr>
        <w:trPr>
          <w:trHeight w:val="181"/>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68,593,761</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65,739,470</w:t>
            </w:r>
          </w:p>
        </w:tc>
      </w:tr>
    </w:tbl>
    <w:p>
      <w:pPr>
        <w:spacing w:after="0" w:line="292" w:lineRule="exact"/>
        <w:rPr>
          <w:sz w:val="20"/>
          <w:szCs w:val="20"/>
          <w:color w:val="auto"/>
        </w:rPr>
      </w:pPr>
    </w:p>
    <w:p>
      <w:pPr>
        <w:ind w:left="-8" w:right="2420" w:firstLine="8"/>
        <w:spacing w:after="0" w:line="348" w:lineRule="auto"/>
        <w:tabs>
          <w:tab w:leader="none" w:pos="63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amounts attributable to consolidated VIEs for which the Company did not acquire any direct economic interests. See notes 3 and 5 for more information. </w:t>
      </w: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2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4"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Income (Unaudited)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211"/>
        </w:trPr>
        <w:tc>
          <w:tcPr>
            <w:tcW w:w="8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49,446</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before non-controlling interests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48,023</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49,368</w:t>
            </w:r>
          </w:p>
        </w:tc>
      </w:tr>
      <w:tr>
        <w:trPr>
          <w:trHeight w:val="230"/>
        </w:trPr>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 in subsidiaries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w:t>
            </w:r>
          </w:p>
        </w:tc>
      </w:tr>
      <w:tr>
        <w:trPr>
          <w:trHeight w:val="229"/>
        </w:trPr>
        <w:tc>
          <w:tcPr>
            <w:tcW w:w="8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 in legacy Greenspring entities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r>
      <w:tr>
        <w:trPr>
          <w:trHeight w:val="230"/>
        </w:trPr>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 in the Partnership</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19,843</w:t>
            </w:r>
          </w:p>
        </w:tc>
      </w:tr>
      <w:tr>
        <w:trPr>
          <w:trHeight w:val="229"/>
        </w:trPr>
        <w:tc>
          <w:tcPr>
            <w:tcW w:w="8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 Consolidated Funds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29"/>
        </w:trPr>
        <w:tc>
          <w:tcPr>
            <w:tcW w:w="8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 subsidiaries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StepStone Group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0" w:type="dxa"/>
            <w:vAlign w:val="bottom"/>
          </w:tcPr>
          <w:p>
            <w:pPr>
              <w:spacing w:after="0"/>
              <w:rPr>
                <w:sz w:val="9"/>
                <w:szCs w:val="9"/>
                <w:color w:val="auto"/>
              </w:rPr>
            </w:pPr>
          </w:p>
        </w:tc>
        <w:tc>
          <w:tcPr>
            <w:tcW w:w="9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40" w:type="dxa"/>
            <w:vAlign w:val="bottom"/>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4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Legacy</w:t>
            </w: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4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Entities</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2024</w:t>
            </w:r>
          </w:p>
        </w:tc>
        <w:tc>
          <w:tcPr>
            <w:tcW w:w="180" w:type="dxa"/>
            <w:vAlign w:val="bottom"/>
            <w:tcBorders>
              <w:top w:val="single" w:sz="8" w:color="auto"/>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310,293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13,768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974,559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147,042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208,514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1,654,591</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13,328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16,615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42,012</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7,132</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3,121</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204</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2,354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5,679</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(35,497)</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(24,101)</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(24,101)</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and Class C units for Class A</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w w:val="99"/>
              </w:rPr>
              <w:t>common stock and redemption of corresponding Class</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B common stock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Vesting of Class B2 units and issuance of corresponding</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Class B common stock at par value</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 of non-controlling interests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(5,398)</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Settlement of non-controlling interests related to awards</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55,579</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55,579</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of carried interest allocations</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Redemption of redeemable non-controlling interests in</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55,879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41,504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97,383</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subsidiaries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3,763</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(11,522)</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7,759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(6,376)</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(6,376)</w:t>
            </w: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June 30, 2024</w:t>
            </w:r>
          </w:p>
        </w:tc>
        <w:tc>
          <w:tcPr>
            <w:tcW w:w="180" w:type="dxa"/>
            <w:vAlign w:val="bottom"/>
            <w:tcBorders>
              <w:top w:val="single" w:sz="8" w:color="auto"/>
              <w:bottom w:val="single" w:sz="8" w:color="auto"/>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363,529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2,995</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1,027,558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147,536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248,954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1,790,983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2023</w:t>
            </w:r>
          </w:p>
        </w:tc>
        <w:tc>
          <w:tcPr>
            <w:tcW w:w="18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610,567</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160,430</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36,380</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152,658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668,182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1,628,787</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21,269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19,860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47,893</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2,606</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2,511</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1,955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4,613</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(26,167)</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(29,087)</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(29,087)</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255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June 30, 2023</w:t>
            </w: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612,799</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152,612</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37,678</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151,916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672,990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1,628,543</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10 and 13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48,045</w:t>
            </w:r>
          </w:p>
        </w:tc>
        <w:tc>
          <w:tcPr>
            <w:tcW w:w="24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49,446</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11,337</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11,987</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carried interest allocations and investment (income) loss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(51,893)</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legacy Greenspring carried interest allocations and investment loss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17,825</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27,941</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performance fee-related compensation</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(10,923)</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24,211</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legacy Greenspring performance fee-related compensation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(15,696)</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(24,876)</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18,548</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deferred income taxes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for acquisition-related contingent consideration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non-cash activities</w:t>
            </w:r>
          </w:p>
        </w:tc>
        <w:tc>
          <w:tcPr>
            <w:tcW w:w="9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Adjustments to reconcile net income to net cash used in operating activities of Consolidated Funds: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income of Consolidated Funds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 of Consolidated Funds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(19,706)</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 of Consolidated Funds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Fees and accounts receivable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Due from affiliates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(32,746)</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receivables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10,623</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22,048</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Due to affiliates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 right-of-use assets, net and lease liabilities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w:t>
            </w: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 of Consolidated Funds: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8"/>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receivables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liabilities and payables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2"/>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50,170</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57,587</w:t>
            </w:r>
          </w:p>
        </w:tc>
      </w:tr>
      <w:tr>
        <w:trPr>
          <w:trHeight w:val="19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to investments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(11,702)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received from investments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to investments in legacy Greenspring entities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received from investments in legacy Greenspring entities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(7,756)</w:t>
            </w:r>
          </w:p>
        </w:tc>
      </w:tr>
      <w:tr>
        <w:trPr>
          <w:trHeight w:val="207"/>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(13,212)</w:t>
            </w:r>
          </w:p>
        </w:tc>
        <w:tc>
          <w:tcPr>
            <w:tcW w:w="2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(14,486)</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capital contributions from non-controlling interests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non-controlling interests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of redeemable non-controlling interests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(25,713)</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capital contributions to legacy Greenspring entities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 in legacy Greenspring entities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common stockholders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to related parties under Tax Receivable Agreements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 of Consolidated Funds: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Contributions from redeemable non-controlling interests in Consolidated Funds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34,253</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(43,973)</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182,312</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129,517</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dividends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175"/>
        </w:trPr>
        <w:tc>
          <w:tcPr>
            <w:tcW w:w="78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Deferred tax effect resulting from transactions affecting ownership in the Partnership, including net</w:t>
            </w:r>
          </w:p>
        </w:tc>
        <w:tc>
          <w:tcPr>
            <w:tcW w:w="3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49"/>
        </w:trPr>
        <w:tc>
          <w:tcPr>
            <w:tcW w:w="78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amounts payable under Tax Receivable Agreements</w:t>
            </w:r>
          </w:p>
        </w:tc>
        <w:tc>
          <w:tcPr>
            <w:tcW w:w="3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78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Establishment of lease liabilities in exchange for lease right-of-use assets</w:t>
            </w: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of non-controlling interests related to awards of carried interest allocations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issued for redemption of redeemable non-controlling interests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91,733</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of Consolidated Funds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53,802</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23"/>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196,170</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127,929</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Organization</w:t>
      </w:r>
    </w:p>
    <w:p>
      <w:pPr>
        <w:spacing w:after="0" w:line="233"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0"/>
          <w:szCs w:val="20"/>
          <w:color w:val="auto"/>
        </w:rPr>
        <w:t>StepStone Group Inc. (“SSG”) was incorporated in the state of Delaware on November 20, 2019 and, following its initial public offering in 2020, acts as a holding company for StepStone Group LP (the “Partnership”).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spacing w:after="0" w:line="192"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2" w:lineRule="exact"/>
        <w:rPr>
          <w:sz w:val="20"/>
          <w:szCs w:val="20"/>
          <w:color w:val="auto"/>
        </w:rPr>
      </w:pPr>
    </w:p>
    <w:p>
      <w:pPr>
        <w:ind w:right="700" w:firstLine="648"/>
        <w:spacing w:after="0" w:line="283" w:lineRule="auto"/>
        <w:rPr>
          <w:sz w:val="20"/>
          <w:szCs w:val="20"/>
          <w:color w:val="auto"/>
        </w:rPr>
      </w:pPr>
      <w:r>
        <w:rPr>
          <w:rFonts w:ascii="Times New Roman" w:cs="Times New Roman" w:eastAsia="Times New Roman" w:hAnsi="Times New Roman"/>
          <w:sz w:val="20"/>
          <w:szCs w:val="20"/>
          <w:color w:val="auto"/>
        </w:rPr>
        <w:t>The Company, through its subsidiaries, acts as the investment advisor and general partner or managing member to separately managed accounts (“SMAs”) and focused commingled funds (collectively, the “StepStone Funds”).</w:t>
      </w:r>
    </w:p>
    <w:p>
      <w:pPr>
        <w:spacing w:after="0" w:line="16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Class C and Class D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June 30, 2024, SSG held approximately 57.7% of the economic interest in the Partnership. As the Partnership’s limited partners exchange their Class B, Class C and Class D units into SSG’s Class A common stock in the future, SSG’s economic interest in the Partnership will increase relative to that of the Class B, Class C and Class D unitholders.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2024 filed with the Securities and Exchange Commission (“SEC”).</w:t>
      </w:r>
    </w:p>
    <w:p>
      <w:pPr>
        <w:spacing w:after="0" w:line="17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20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spacing w:after="0" w:line="19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Company has determined that certain of its operating subsidiaries, StepStone Group Real Assets LP (“SRA”), StepStone Group Real Estate LP (“SRE”), StepStone Group Private Debt AG (“SPD”),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79"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acquisition of Greenspring Associates, Inc. and certain of its affiliates (“Greenspring”) that was completed on September 20, 2021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95"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The Company and its subsidiaries manages or controls certain entities that constitute client investment funds that have been consolidated in the accompanying condensed consolidated financial statements (“Consolidated Funds”). Including the results of the Consolidated Funds increases the reported amounts of the assets, liabilities, expenses and cash flows in the accompanying condensed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right="42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SRA, SRE, and SPD (the variable interest entities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4"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legacy Greenspring entities </w:t>
      </w:r>
      <w:r>
        <w:rPr>
          <w:rFonts w:ascii="Times New Roman" w:cs="Times New Roman" w:eastAsia="Times New Roman" w:hAnsi="Times New Roman"/>
          <w:sz w:val="20"/>
          <w:szCs w:val="20"/>
          <w:color w:val="auto"/>
        </w:rPr>
        <w:t>represent the economic interests in the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The Company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78"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the Partnership </w:t>
      </w:r>
      <w:r>
        <w:rPr>
          <w:rFonts w:ascii="Times New Roman" w:cs="Times New Roman" w:eastAsia="Times New Roman" w:hAnsi="Times New Roman"/>
          <w:sz w:val="20"/>
          <w:szCs w:val="20"/>
          <w:color w:val="auto"/>
        </w:rPr>
        <w:t>represent the economic interests related to the Class B, Class C and Class D units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6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SSG, but are held by the client investors in the funds. These interests are presented as redeemable non-controlling interests in Consolidated Funds within the condensed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8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subsidiaries </w:t>
      </w:r>
      <w:r>
        <w:rPr>
          <w:rFonts w:ascii="Times New Roman" w:cs="Times New Roman" w:eastAsia="Times New Roman" w:hAnsi="Times New Roman"/>
          <w:sz w:val="20"/>
          <w:szCs w:val="20"/>
          <w:color w:val="auto"/>
        </w:rPr>
        <w:t>represent the redeemable economic interests in the consolidated subsidiaries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Partnership held by third parties and employees in those entities that were established in connection with the Transaction Agreements as described in note 13.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Accounting for Differing Fiscal Periods</w:t>
      </w:r>
    </w:p>
    <w:p>
      <w:pPr>
        <w:spacing w:after="0" w:line="22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0"/>
          <w:szCs w:val="20"/>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ended June 30, 2024, the Company used the March 31, 2024 unaudited financial statements of the StepStone Funds, which reflect the underlying private market funds as of March 31, 2024, to record its investments (including any carried interest allocated from those investments), as adjusted for capital contributions and distributions during the three-month lag period ended June 30, 2024.</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does not account for management and advisory fees or incentive fees on a three-month lag.</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0" w:firstLine="648"/>
        <w:spacing w:after="0" w:line="283" w:lineRule="auto"/>
        <w:rPr>
          <w:sz w:val="20"/>
          <w:szCs w:val="20"/>
          <w:color w:val="auto"/>
        </w:rPr>
      </w:pPr>
      <w:r>
        <w:rPr>
          <w:rFonts w:ascii="Times New Roman" w:cs="Times New Roman" w:eastAsia="Times New Roman" w:hAnsi="Times New Roman"/>
          <w:sz w:val="20"/>
          <w:szCs w:val="20"/>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In the first half of 2024, signs of easing inflation coupled with the expansion of economic activity at a sustained pace and low unemployment rates contributed to positive returns in most financial markets despite inflation remaining elevated with a sustained period of higher interest rates.</w:t>
      </w:r>
    </w:p>
    <w:p>
      <w:pPr>
        <w:spacing w:after="0" w:line="18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The Company is continuing to closely monitor developments related to inflation, higher interest rates, potential regulatory</w:t>
      </w:r>
    </w:p>
    <w:p>
      <w:pPr>
        <w:spacing w:after="0" w:line="2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developments as a result of U.S. elections, banking system volatility, geopolitical tension, unrest or conflicts, including in Russia, Ukraine, and the Middle East,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overall economy and the Company’s condensed consolidated financial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3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75"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73"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 – Pricing inputs are unadjusted, quoted prices in active markets for identical assets or liabilities as of the measurement date.</w:t>
      </w:r>
    </w:p>
    <w:p>
      <w:pPr>
        <w:spacing w:after="0" w:line="229" w:lineRule="exact"/>
        <w:rPr>
          <w:rFonts w:ascii="Times New Roman" w:cs="Times New Roman" w:eastAsia="Times New Roman" w:hAnsi="Times New Roman"/>
          <w:sz w:val="20"/>
          <w:szCs w:val="20"/>
          <w:color w:val="auto"/>
        </w:rPr>
      </w:pPr>
    </w:p>
    <w:p>
      <w:pPr>
        <w:ind w:left="660" w:right="120" w:hanging="328"/>
        <w:spacing w:after="0" w:line="254"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87" w:lineRule="exact"/>
        <w:rPr>
          <w:rFonts w:ascii="Times New Roman" w:cs="Times New Roman" w:eastAsia="Times New Roman" w:hAnsi="Times New Roman"/>
          <w:sz w:val="20"/>
          <w:szCs w:val="20"/>
          <w:color w:val="auto"/>
        </w:rPr>
      </w:pPr>
    </w:p>
    <w:p>
      <w:pPr>
        <w:ind w:left="660" w:right="380" w:hanging="328"/>
        <w:spacing w:after="0" w:line="261"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92"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0"/>
          <w:szCs w:val="20"/>
          <w:color w:val="auto"/>
        </w:rPr>
        <w:t>The Company considers its cash, cash equivalents, restricted cash, fees and accounts receivable, accounts payable, investments, revolving credit facility, and contingent consideration obligation balance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obligation balance and see note 8 for additional details regarding the fair value of the Company’s revolving credit facility balance.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Restricted Cash</w:t>
      </w:r>
    </w:p>
    <w:p>
      <w:pPr>
        <w:spacing w:after="0" w:line="233"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Restricted cash consists of cash that the Company is contractually obligated to maintain to secure its letters of credit used primarily related to its office facilities and other obligations.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233"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18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Investments of Consolidated Funds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condensed consolidated statements of income. In addition, the Consolidated Funds do not consolidate their majority-owned and controlled investments in underlying portfolio companies.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17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Operating lease expense associated with minimum lease payments is recognized on a straight-line basis over the lease term in general, administrative and other expenses in the condensed consolidated statements of income. Minimum lease payments for leases with an initial term of twelve months or less are not recorded in the condensed consolidated balance sheets. See note 14 for more information.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Intangibles and Goodwill</w:t>
      </w:r>
    </w:p>
    <w:p>
      <w:pPr>
        <w:spacing w:after="0" w:line="220"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20"/>
          <w:szCs w:val="20"/>
          <w:color w:val="auto"/>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June 30, 2024.</w:t>
      </w:r>
    </w:p>
    <w:p>
      <w:pPr>
        <w:spacing w:after="0" w:line="16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months ended June 30, 2024 and 2023.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Accounting Standards Codification Topic 606 (“ASC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Revenue is recognized in a manner that depicts the transfer of promised goods or services to customers and for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 Management fees include income-based incentive fees, which are based on net investment income of certain funds that are regulated as a business development company (“BDC”). Capital gains-based incentive fees from BDC funds are recognized as performance fees. There have been no capital-gains based incentive fees recognized to date.</w:t>
      </w:r>
    </w:p>
    <w:p>
      <w:pPr>
        <w:spacing w:after="0" w:line="19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Based on certain facts and circumstances specific to each individual fund structure, the Company has determined that for accounting purposes, either the StepStone Fund or the individual investors in the fund may be considered to be the customer for arrangements with focused commingled funds.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7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may incur certain costs in connection with satisfying its performance obligations for investment management services</w:t>
      </w:r>
    </w:p>
    <w:p>
      <w:pPr>
        <w:spacing w:after="0" w:line="4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 primarily employee travel costs – for which it receives reimbursements from its customers. For reimbursable employee travel costs, the Company concluded it controls the services provided by its employees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other third parties and, therefore, is acting as agent. Accordingly, the Company records the reimbursement for these costs incurred on a net basis.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earns two types of performance fee revenues: incentive fees and carried interest allocations, as described below.</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are generally calculated as a percentage of the profits (up to 15%) earned in respect of certain accounts,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9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from unaffiliated limited partners in the StepStone Funds in which the Company holds an equity interest. The Company is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74"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Legacy Greenspring carried interest allocations </w:t>
      </w:r>
      <w:r>
        <w:rPr>
          <w:rFonts w:ascii="Times New Roman" w:cs="Times New Roman" w:eastAsia="Times New Roman" w:hAnsi="Times New Roman"/>
          <w:sz w:val="20"/>
          <w:szCs w:val="20"/>
          <w:color w:val="231F20"/>
        </w:rPr>
        <w:t>reflect the allocation of carried interest to legacy Greenspring general partner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Times New Roman" w:cs="Times New Roman" w:eastAsia="Times New Roman" w:hAnsi="Times New Roman"/>
          <w:sz w:val="20"/>
          <w:szCs w:val="20"/>
          <w:color w:val="000000"/>
        </w:rPr>
        <w:t>because it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is presumed to have significant influence as the general partner or managing member</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000000"/>
        </w:rPr>
        <w:t xml:space="preserve"> Accordingly, legacy Greenspring carried interest allocations are not deemed to be within the scope of ASC 606. </w:t>
      </w:r>
      <w:r>
        <w:rPr>
          <w:rFonts w:ascii="Times New Roman" w:cs="Times New Roman" w:eastAsia="Times New Roman" w:hAnsi="Times New Roman"/>
          <w:sz w:val="20"/>
          <w:szCs w:val="20"/>
          <w:color w:val="231F20"/>
        </w:rPr>
        <w:t>The Company does not hold any direct economic interests in the legacy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9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June 30, 2024 and March 31, 2024, no material amounts for potential clawback obligations had been accrued.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Equity-Based Compensation</w:t>
      </w:r>
    </w:p>
    <w:p>
      <w:pPr>
        <w:spacing w:after="0" w:line="23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Equity-based compensation represents grants of equity-based awards or arrangements to certain employees and directors. 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condensed consolidated statements of income. The fair value of RSUs is determined by the closing stock price on the grant date. Forfeitures of equity-based awards are recognized as they occur. Awards classified as liabilities are remeasured at the end of each reporting period until settlement. Equity-based compensation cost for the employee stock purchase plan (“ESPP”) is measured as the discount the employee receives upon purchase of shares and the option value of a share when the offering contains a look-back option feature. See note 9 for additional information regarding the Company’s accounting for equity-based awards.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As a result, the Partnership does not record U.S. federal and state income taxes on income in the Partnership or its subsidiaries, except for certain local and foreign income taxes discussed above.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spacing w:after="0" w:line="17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8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9"/>
          <w:szCs w:val="19"/>
          <w:color w:val="auto"/>
        </w:rPr>
        <w:t xml:space="preserve">The Company is subject to the provisions of ASC Subtopic 740-10, </w:t>
      </w:r>
      <w:r>
        <w:rPr>
          <w:rFonts w:ascii="Times New Roman" w:cs="Times New Roman" w:eastAsia="Times New Roman" w:hAnsi="Times New Roman"/>
          <w:sz w:val="19"/>
          <w:szCs w:val="19"/>
          <w:i w:val="1"/>
          <w:iCs w:val="1"/>
          <w:color w:val="auto"/>
        </w:rPr>
        <w:t>Accounting for Uncertainty in Income Taxes</w:t>
      </w:r>
      <w:r>
        <w:rPr>
          <w:rFonts w:ascii="Times New Roman" w:cs="Times New Roman" w:eastAsia="Times New Roman" w:hAnsi="Times New Roman"/>
          <w:sz w:val="19"/>
          <w:szCs w:val="19"/>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See note 10 for more information.</w:t>
      </w:r>
    </w:p>
    <w:p>
      <w:pPr>
        <w:spacing w:after="0" w:line="166"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The Company has elected to account for global intangible low-taxed income (“GILTI”) earned by foreign subsidiaries in the period the tax is incurred.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judgment is required in determining tax expense and in evaluating tax positions, including evaluating uncertainties under GAAP.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reviews its tax positions quarterly and adjusts its tax balances as new information becomes available.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Tax Receivable Agreements</w:t>
      </w:r>
    </w:p>
    <w:p>
      <w:pPr>
        <w:spacing w:after="0" w:line="233" w:lineRule="exact"/>
        <w:rPr>
          <w:sz w:val="20"/>
          <w:szCs w:val="20"/>
          <w:color w:val="auto"/>
        </w:rPr>
      </w:pPr>
    </w:p>
    <w:p>
      <w:pPr>
        <w:ind w:right="220" w:firstLine="648"/>
        <w:spacing w:after="0" w:line="251" w:lineRule="auto"/>
        <w:rPr>
          <w:sz w:val="20"/>
          <w:szCs w:val="20"/>
          <w:color w:val="auto"/>
        </w:rPr>
      </w:pPr>
      <w:r>
        <w:rPr>
          <w:rFonts w:ascii="Times New Roman" w:cs="Times New Roman" w:eastAsia="Times New Roman" w:hAnsi="Times New Roman"/>
          <w:sz w:val="20"/>
          <w:szCs w:val="20"/>
          <w:color w:val="auto"/>
        </w:rPr>
        <w:t>The Tax Receivable Agreements provide for payment by SSG to the Class B limited partners, Class C limited partners, Class D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See note 13 for more information.</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w:t>
      </w:r>
    </w:p>
    <w:p>
      <w:pPr>
        <w:spacing w:after="0" w:line="233"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defined benefit plan, net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3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0"/>
          <w:szCs w:val="20"/>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spacing w:after="0" w:line="16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March 2020, the FASB issued ASU 2020-04, </w:t>
      </w:r>
      <w:r>
        <w:rPr>
          <w:rFonts w:ascii="Times New Roman" w:cs="Times New Roman" w:eastAsia="Times New Roman" w:hAnsi="Times New Roman"/>
          <w:sz w:val="20"/>
          <w:szCs w:val="20"/>
          <w:i w:val="1"/>
          <w:iCs w:val="1"/>
          <w:color w:val="auto"/>
        </w:rPr>
        <w:t>Reference Rate Reform (Topic 848): Facilitation of the Effects of Reference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Reform on Financial Reporting</w:t>
      </w:r>
      <w:r>
        <w:rPr>
          <w:rFonts w:ascii="Times New Roman" w:cs="Times New Roman" w:eastAsia="Times New Roman" w:hAnsi="Times New Roman"/>
          <w:sz w:val="20"/>
          <w:szCs w:val="20"/>
          <w:color w:val="auto"/>
        </w:rPr>
        <w:t>, which amends current guidance to provide optional practical expedients and exceptions, if certain criteria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met, for applying GAAP to contracts, hedging relationships and other transactions that are affected by the reference rate reform. The expedients and exceptions in this update apply only to contracts, hedging relationships and other transactions that reference the London Interbank Offered Rate (“LIBOR”). Initially the update did not apply to contract modifications or hedging relationships entered into after December 31, 2022, but in December 2022, the FASB issued ASU 2022-06, which defers the sunset date for applying reference rate reform relief in ASC 848 to December 31, 2024. This guidance is effective for adoption anytime after March 12, 2020, but must be adopted prior to December 31, 2024. The Company is currently evaluating the impact on the condensed consolidated financial statements.</w:t>
      </w:r>
    </w:p>
    <w:p>
      <w:pPr>
        <w:spacing w:after="0" w:line="17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i w:val="1"/>
          <w:iCs w:val="1"/>
          <w:color w:val="auto"/>
        </w:rPr>
        <w:t>Segment Reporting (Topic 280): Improvements to Reportable Segment</w:t>
      </w:r>
    </w:p>
    <w:p>
      <w:pPr>
        <w:spacing w:after="0" w:line="3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i w:val="1"/>
          <w:iCs w:val="1"/>
          <w:color w:val="auto"/>
        </w:rPr>
        <w:t xml:space="preserve">Disclosures, </w:t>
      </w:r>
      <w:r>
        <w:rPr>
          <w:rFonts w:ascii="Times New Roman" w:cs="Times New Roman" w:eastAsia="Times New Roman" w:hAnsi="Times New Roman"/>
          <w:sz w:val="19"/>
          <w:szCs w:val="19"/>
          <w:color w:val="auto"/>
        </w:rPr>
        <w:t>which amends current guidance for reportable segment disclosure requirements. The updated disclosure requirements include:</w:t>
      </w:r>
    </w:p>
    <w:p>
      <w:pPr>
        <w:spacing w:after="0" w:line="18" w:lineRule="exact"/>
        <w:rPr>
          <w:sz w:val="20"/>
          <w:szCs w:val="20"/>
          <w:color w:val="auto"/>
        </w:rPr>
      </w:pPr>
    </w:p>
    <w:p>
      <w:pPr>
        <w:ind w:right="20" w:firstLine="8"/>
        <w:spacing w:after="0" w:line="249" w:lineRule="auto"/>
        <w:tabs>
          <w:tab w:leader="none" w:pos="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of segment expenses that are regularly provided to the CODM and included within each reported measure of segment profit or loss, (2) reporting of an amount for other segment items by reportable segment and a description of its composition, (3) reporting in interim periods of all annual disclosures about a reportable segment’s profit or loss and assets as currently required by Topic 280, (4) reporting of one or more additional measures of segment profit or loss if used by the CODM in assessing segment performance and determining allocation of resources, (5) reporting of the title and position of the CODM and an explanation of how the CODM uses the reported measure(s) of segment profit or loss, and (6) the requirement for single reportable segment entities to provide all required disclosures in Topic 280 for annual and interim periods. The amendments are effective for fiscal years beginning after December 15, 2023, and interim periods within fiscal years beginning after December 15, 2024, with early adoption permitted. The Company plans to include expanded disclosures beginning with its annual report on Form 10-K for the fiscal year ending March 31,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which amends current guidance to provide expanded disclosure for the rate reconciliation with information about specific categories and reconciling items that meet a specific threshold, and to provide additional information about income taxes paid disaggregated by jurisdiction. The amendments are effective for annual periods beginning after December 15, 2024, with early adoption permitted. The Company does not expect the adoption of this guidance to have a material effect on the condensed consolidated financial statements.</w:t>
      </w:r>
    </w:p>
    <w:p>
      <w:pPr>
        <w:spacing w:after="0" w:line="1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Revenues</w:t>
      </w:r>
    </w:p>
    <w:p>
      <w:pPr>
        <w:spacing w:after="0" w:line="233"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The following presents revenues disaggregated by product offering, which aligns with the Company’s performance obligations and the basis for calculating each amount: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and Advisory Fees, Net</w:t>
            </w: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Focused commingled funds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67,006</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55,744</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and other services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 reimbursement revenues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management and advisory fees,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120" w:hanging="652"/>
        <w:spacing w:after="0" w:line="260"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BDC income-based incentive fees of $1.1 million for the three months ended June 30, 2024. There were no income-based incentive fees for the three months ended June 30,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 Fees</w:t>
            </w: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incentive fees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Carried Interest Allocations</w:t>
            </w: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2"/>
        </w:trPr>
        <w:tc>
          <w:tcPr>
            <w:tcW w:w="8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40,136</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23,701</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carried interest allocations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Legacy Greenspring Carried Interest Allocations</w:t>
            </w: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(23,947)</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400"/>
              <w:spacing w:after="0" w:line="223" w:lineRule="exact"/>
              <w:rPr>
                <w:sz w:val="20"/>
                <w:szCs w:val="20"/>
                <w:color w:val="auto"/>
              </w:rPr>
            </w:pPr>
            <w:r>
              <w:rPr>
                <w:rFonts w:ascii="Times New Roman" w:cs="Times New Roman" w:eastAsia="Times New Roman" w:hAnsi="Times New Roman"/>
                <w:sz w:val="18"/>
                <w:szCs w:val="18"/>
                <w:color w:val="auto"/>
              </w:rPr>
              <w:t>Total legacy Greenspring carried interest allocations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40" w:hanging="652"/>
        <w:spacing w:after="0" w:line="260"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June 30, 2024 and 2023 reflect the net effect of gross realized carried interest allocations of $6.6 million and $0.9 million, respectively, and the reversal of such amounts in unrealized carried interest allocations for such periods.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decrease in carried interest allocations for the three months ended June 30, 2024 as compared to the three months ended June 30, 2023 was primarily attributable to lower net unrealized appreciation in the fair value of certain underlying investments in the Company’s private equity funds. The increase in legacy Greenspring carried interest allocations for the three months ended June 30, 2024 was primarily attributable to lower net unrealized depreciation in the fair value of certain underlying fund investments. See note 2 for a discussion of the Company’s accounting policy for investments on a three-month lag.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derives revenues from clients located in both the United States and other countries. The table below presents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revenues by geographic location: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23"/>
                <w:szCs w:val="23"/>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45,093</w:t>
            </w:r>
          </w:p>
        </w:tc>
        <w:tc>
          <w:tcPr>
            <w:tcW w:w="0" w:type="dxa"/>
            <w:vAlign w:val="bottom"/>
          </w:tcPr>
          <w:p>
            <w:pPr>
              <w:spacing w:after="0"/>
              <w:rPr>
                <w:sz w:val="1"/>
                <w:szCs w:val="1"/>
                <w:color w:val="auto"/>
              </w:rPr>
            </w:pPr>
          </w:p>
        </w:tc>
      </w:tr>
      <w:tr>
        <w:trPr>
          <w:trHeight w:val="234"/>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 countries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132,918</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460" w:hanging="652"/>
        <w:spacing w:after="0" w:line="26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attributed to countries based on client location for SMAs and advisory and other services, or location of investment vehicle for focused commingled funds.</w:t>
      </w:r>
    </w:p>
    <w:p>
      <w:pPr>
        <w:spacing w:after="0" w:line="17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0"/>
          <w:szCs w:val="20"/>
          <w:color w:val="auto"/>
        </w:rPr>
        <w:t>For the three months ended June 30, 2024 and 2023, no individual client represented 10% or more of the Company’s net management and advisory fees. For the three months ended June 30, 2024 and 2023, the Company had management and advisory fee revenues attributable to the United States and Cayman Islands, each of which represented 10% or more of the Company’s net management and advisory fees.</w:t>
      </w:r>
    </w:p>
    <w:p>
      <w:pPr>
        <w:spacing w:after="0" w:line="17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As of June 30, 2024 and March 31, 2024, the Company had $29.6 million and $31.0 million, respectively, of deferred revenues, which is included in accounts payable, accrued expenses and other liabilities in the condensed consolidated balance sheets. During the three months ended June 30, 2024, the Company had recognized $6.0 million as revenue from amounts included in the deferred revenue balance as of March 31, 2024.</w:t>
      </w:r>
    </w:p>
    <w:p>
      <w:pPr>
        <w:spacing w:after="0" w:line="182" w:lineRule="exact"/>
        <w:rPr>
          <w:sz w:val="20"/>
          <w:szCs w:val="20"/>
          <w:color w:val="auto"/>
        </w:rPr>
      </w:pPr>
    </w:p>
    <w:p>
      <w:pPr>
        <w:ind w:left="660" w:right="8760" w:hanging="652"/>
        <w:spacing w:after="0" w:line="499" w:lineRule="auto"/>
        <w:tabs>
          <w:tab w:leader="none" w:pos="355" w:val="left"/>
        </w:tabs>
        <w:numPr>
          <w:ilvl w:val="0"/>
          <w:numId w:val="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Variable Interest Entities Consolidated VIEs</w:t>
      </w: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consolidates certain VIEs for which it is the primary beneficiary. Such VIEs consist of certain operating entities not wholly-owned by the Company (e.g., SPD, SRA and SRE), SPW, legacy Greenspring general partner entities and certain StepStone Funds. See note 2 for more information on the Company’s accounting policies related to the consolidation of VIEs. The assets of the consolidated VIEs totaled $1,053.4 million and $995.2 million as of June 30, 2024 and March 31, 2024, respectively. The liabilities of the consolidated VIEs totaled $601.9 million and $593.7 million as of June 30, 2024 and March 31, 2024,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June 30, 2024 and March 31, 2024, no material amounts previously distributed have been accrued for clawback liabilities.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Unconsolidated VIEs</w:t>
      </w:r>
    </w:p>
    <w:p>
      <w:pPr>
        <w:spacing w:after="0" w:line="233"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20"/>
          <w:szCs w:val="20"/>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135,043</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147,536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 net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subsidiaries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legacy Greenspring entities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147,536</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147,042</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exposure to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179,289</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144,425</w:t>
            </w: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Investments</w:t>
      </w:r>
    </w:p>
    <w:p>
      <w:pPr>
        <w:spacing w:after="0" w:line="220"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9"/>
          <w:szCs w:val="19"/>
          <w:color w:val="auto"/>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in the condensed consolidated statements of income.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in the condensed consolidated statements of income.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Method Investments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equity method investments consist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14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Investments in funds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135,043</w:t>
            </w:r>
          </w:p>
        </w:tc>
      </w:tr>
      <w:tr>
        <w:trPr>
          <w:trHeight w:val="230"/>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1,328,853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1,354,051</w:t>
            </w:r>
          </w:p>
        </w:tc>
      </w:tr>
      <w:tr>
        <w:trPr>
          <w:trHeight w:val="229"/>
        </w:trPr>
        <w:tc>
          <w:tcPr>
            <w:tcW w:w="81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617,539</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631,197</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2,091,911</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2,120,291</w:t>
            </w: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760" w:hanging="652"/>
        <w:spacing w:after="0" w:line="250"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investments in funds were $217.9 million and $204.8 million as of June 30, 2024 and March 31, 2024, respectively. The consolidation of the Consolidated Funds results in the elimination of the Company’s investments in such funds.</w:t>
      </w:r>
    </w:p>
    <w:p>
      <w:pPr>
        <w:ind w:left="660" w:right="420" w:hanging="652"/>
        <w:spacing w:after="0" w:line="260"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investments in funds of $147.5 million and $147.0 million and carried interest allocations of $470.0 million and $484.2 million as of June 30, 2024 and March 31, 2024, respectively.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equity method income (loss)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211"/>
        </w:trPr>
        <w:tc>
          <w:tcPr>
            <w:tcW w:w="8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Carried interest allocations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63,837</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(23,947)</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 loss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equity method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40,110</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The decrease in carried interest allocations for the three months ended June 30, 2024 as compared to the three months ended June 30, 2023 was primarily attributable to lower net unrealized appreciation in the fair value of the underlying investments in the Company’s private equity funds. See note 2 for a discussion of the Company’s accounting policy for investments on a three-month lag.</w:t>
      </w:r>
    </w:p>
    <w:p>
      <w:pPr>
        <w:spacing w:after="0" w:line="181"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As of June 30, 2024 and March 31, 2024, the Company’s investments in one and two SMAs, respectively, each individually represented 10% or more of the total accrued carried interest allocations balance, and in the aggregate represented approximately 15% and 26%, respectively, of the total accrued carried interest allocations balance as of those dates. As of June 30, 2024 and March 31, 2024, the Company’s investments in three commingled funds each individually represented 10% or more of the total legacy Greenspring accrued carried interest allocations balance, and in the aggregate represented approximately 37% and 36%, respectively, of the total legacy Greenspring accrued carried interest allocations balances as of those dates.</w:t>
      </w:r>
    </w:p>
    <w:p>
      <w:pPr>
        <w:spacing w:after="0" w:line="192"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Of the total accrued carried interest allocations balance as of June 30, 2024 and March 31, 2024, $652.1 million and $719.5 million, respectively, were payable to affiliates and are included in accrued carried interest-related compensation in the condensed consolidated balance sheets. Of the total legacy Greenspring investments in funds and accrued carried interest allocations balance as of June 30, 2024 and March 31, 2024, $470.0 million and $484.2 million, respectively, were payable to employees who are considered affiliates of the Company and are included in legacy Greenspring accrued carried interest-related compensation in the condensed consolidated balance sheets and $147.5 million and $147.0 million, respectively, are reflected as non-controlling interests in legacy Greenspring entities in the condensed consolidated balance sheets.</w:t>
      </w:r>
    </w:p>
    <w:p>
      <w:pPr>
        <w:spacing w:after="0" w:line="19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The Company evaluates each of its equity method investments to determine if any are considered significant as defined by the SEC. As of June 30, 2024 and March 31, 2024 and for the three months ended June 30, 2024 and 2023, no individual equity method investment held by the Company met the significance criteria. As a result, the Company is not required to provide separate financial statements for any of its equity method investments.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 of Consolidated Funds</w:t>
      </w:r>
    </w:p>
    <w:p>
      <w:pPr>
        <w:spacing w:after="0" w:line="233" w:lineRule="exact"/>
        <w:rPr>
          <w:sz w:val="20"/>
          <w:szCs w:val="20"/>
          <w:color w:val="auto"/>
        </w:rPr>
      </w:pPr>
    </w:p>
    <w:p>
      <w:pPr>
        <w:ind w:right="920" w:firstLine="648"/>
        <w:spacing w:after="0" w:line="269" w:lineRule="auto"/>
        <w:rPr>
          <w:sz w:val="20"/>
          <w:szCs w:val="20"/>
          <w:color w:val="auto"/>
        </w:rPr>
      </w:pPr>
      <w:r>
        <w:rPr>
          <w:rFonts w:ascii="Times New Roman" w:cs="Times New Roman" w:eastAsia="Times New Roman" w:hAnsi="Times New Roman"/>
          <w:sz w:val="20"/>
          <w:szCs w:val="20"/>
          <w:color w:val="auto"/>
        </w:rPr>
        <w:t>The Company consolidates funds and entities when it is deemed to hold a controlling financial interest. The activity of the Consolidated Funds is reflected within the condensed consolidated financial statements.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Investments held by the Consolidated Funds are summarized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240" w:type="dxa"/>
            <w:vAlign w:val="bottom"/>
          </w:tcPr>
          <w:p>
            <w:pPr>
              <w:spacing w:after="0"/>
              <w:rPr>
                <w:sz w:val="18"/>
                <w:szCs w:val="18"/>
                <w:color w:val="auto"/>
              </w:rPr>
            </w:pPr>
          </w:p>
        </w:tc>
        <w:tc>
          <w:tcPr>
            <w:tcW w:w="288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Percentage of Total Investments as of</w:t>
            </w:r>
          </w:p>
        </w:tc>
      </w:tr>
      <w:tr>
        <w:trPr>
          <w:trHeight w:val="211"/>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24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1"/>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184"/>
        </w:trPr>
        <w:tc>
          <w:tcPr>
            <w:tcW w:w="53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securities (cost of $21.9 million and $15.6 million as of June 30,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and March 31, 2024, 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184"/>
        </w:trPr>
        <w:tc>
          <w:tcPr>
            <w:tcW w:w="53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Partnership and LLC interests (cost of $93.3 million and $76.0 million as</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3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June 30, 2024 and March 31, 2024, respectively)</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133,669</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3"/>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investments of Consolidated Funds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158,222</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131,858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June 30, 2024 and March 31, 2024, no individual investment had a fair value greater than 5% of the Company’s total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net realized and unrealized gains (losses) from investment activities of the Consolidated Funds: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211"/>
        </w:trPr>
        <w:tc>
          <w:tcPr>
            <w:tcW w:w="8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233"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The Company measures certain assets and liabilities at fair value on a recurring basis. The following tables provide details regarding the classification of these assets and liabilities within the fair value hierarchy as of the dates presented: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the Company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56,312</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1"/>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500" w:firstLine="648"/>
        <w:spacing w:after="0" w:line="269"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three months ended June 30, 2024 and 2023.</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the Company are set forth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1"/>
        </w:trPr>
        <w:tc>
          <w:tcPr>
            <w:tcW w:w="8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obligations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56,312</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35,332</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Changes in unrealized (gains) losses included in earnings related to financial instruments still held at the reporting</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24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21"/>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2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Contingent Consideration</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fair value of the contingent consideration obligation is based on a discounted cash flow analysis using a probability-weighted average estimate of certain performance targets, including revenue levels. The assumptions used in the analysis are inherently subjective; therefore, the ultimate amount of the contingent consideration obligations may differ materially from the current estimate. The significant unobservable inputs required to value the contingent consideration obligation primarily relate to the future expected revenues and the discount rate applied to the expected future revenues and payments of obligations, which was 7% as of June 30, 2024. The contingent consideration obligation balance is included in accounts payable, accrued expenses and other liabilities in the condensed consolidated balance sheets. Changes in the fair value of the liabilities are included in general, administrative and other expenses in the condensed consolidated statements of income.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Consolidated Funds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16,466</w:t>
            </w:r>
          </w:p>
        </w:tc>
      </w:tr>
      <w:tr>
        <w:trPr>
          <w:trHeight w:val="21"/>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13,694</w:t>
            </w: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500" w:firstLine="648"/>
        <w:spacing w:after="0" w:line="283"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three months ended June 30, 2024 and 2023.</w:t>
      </w:r>
    </w:p>
    <w:p>
      <w:pPr>
        <w:spacing w:after="0" w:line="14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Company generally values its investment funds, which are generally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June 30, 2024 and March 31, 2024, investments with a combined fair value of $141.8 million and $118.2 million, respectively, are excluded from presentation in the fair value hierarchy as the fair value of these investments were measured at net asset value. As of June 30, 2024 and March 31, 2024, investments with a combined fair value of $16.5 million and $13.7 million, respectively, were classified as Level III investments. The significant unobservable input used to value these investments classified as Level III are the discounts to recent transaction prices.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Consolidated Funds are set forth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1"/>
        </w:trPr>
        <w:tc>
          <w:tcPr>
            <w:tcW w:w="8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8"/>
        </w:trPr>
        <w:tc>
          <w:tcPr>
            <w:tcW w:w="8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Transfers into Level III</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Transfers out of Level III</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5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Changes in unrealized gains (losses) included in earnings related to financial instruments still held at the reporting</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20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Intangibles and Goodwill</w:t>
      </w:r>
    </w:p>
    <w:p>
      <w:pPr>
        <w:spacing w:after="0" w:line="220" w:lineRule="exact"/>
        <w:rPr>
          <w:sz w:val="20"/>
          <w:szCs w:val="20"/>
          <w:color w:val="auto"/>
        </w:rPr>
      </w:pPr>
    </w:p>
    <w:p>
      <w:pPr>
        <w:ind w:right="980" w:firstLine="648"/>
        <w:spacing w:after="0" w:line="283" w:lineRule="auto"/>
        <w:rPr>
          <w:sz w:val="20"/>
          <w:szCs w:val="20"/>
          <w:color w:val="auto"/>
        </w:rPr>
      </w:pPr>
      <w:r>
        <w:rPr>
          <w:rFonts w:ascii="Times New Roman" w:cs="Times New Roman" w:eastAsia="Times New Roman" w:hAnsi="Times New Roman"/>
          <w:sz w:val="20"/>
          <w:szCs w:val="20"/>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consists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(154,029)</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(143,779)</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294,623</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304,873</w:t>
            </w:r>
          </w:p>
        </w:tc>
      </w:tr>
      <w:tr>
        <w:trPr>
          <w:trHeight w:val="21"/>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Amortization expense related to intangible assets was $10.5 million and $10.7 million for the three months ended June 30, 2024 and 2023, respectively. These amounts are included in general, administrative and other expenses in the condensed consolidated statements of income.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June 30, 2024, the expected future amortization of finite-lived intangible assets is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FY2025</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FY2029</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100,768</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294,623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The carrying value of goodwill was $580.5 million as of June 30, 2024 and March 31, 2024. The Company determined there was no indication of goodwill impairment as of June 30, 2024 and March 31, 2024.</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Debt Obligations</w:t>
      </w:r>
    </w:p>
    <w:p>
      <w:pPr>
        <w:spacing w:after="0" w:line="233"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20"/>
          <w:szCs w:val="20"/>
          <w:color w:val="auto"/>
        </w:rPr>
        <w:t>The Company is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the administrative agent and collateral agent, and certain other lenders party thereto and provides for a $300.0 million multicurrency revolving credit facility (the “Revolver”). As of June 30, 2024, the Company had $172.1 million outstanding on the Revolver, net of debt issuance costs.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debt obligations consist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20" w:type="dxa"/>
            <w:vAlign w:val="bottom"/>
          </w:tcPr>
          <w:p>
            <w:pPr>
              <w:spacing w:after="0"/>
              <w:rPr>
                <w:sz w:val="19"/>
                <w:szCs w:val="19"/>
                <w:color w:val="auto"/>
              </w:rPr>
            </w:pPr>
          </w:p>
        </w:tc>
        <w:tc>
          <w:tcPr>
            <w:tcW w:w="1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obligations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172,118</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The Company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June 30, 2024 was 7.48%.</w:t>
      </w:r>
    </w:p>
    <w:p>
      <w:pPr>
        <w:spacing w:after="0" w:line="1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68"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As of June 30, 2024, the Company was in compliance with the total net leverage ratio and minimum fee-earning assets under management covenants.</w:t>
      </w:r>
    </w:p>
    <w:p>
      <w:pPr>
        <w:spacing w:after="0" w:line="192"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20"/>
          <w:szCs w:val="20"/>
          <w:color w:val="auto"/>
        </w:rPr>
        <w:t>The Company can use available funding capacity under the Revolver to satisfy letters of credit in amounts up to $10.0 million. Amounts used to satisfy the letters of credit reduce the available capacity under the Revolver. As of June 30, 2024, the Company had outstanding letters of credit totaling $6.5 million.</w:t>
      </w:r>
    </w:p>
    <w:p>
      <w:pPr>
        <w:spacing w:after="0" w:line="16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Equity-Based Compensation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RSUs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9"/>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Date Fair Value Per 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Unvested Partnership Units</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In June 2024, 2,566,566 outstanding Class B2 units fully vested and were automatically converted into Class B units and all unitholders were entitled to purchase from the Company one share of Class B common stock for each Class B unit at its par value. During the three months ended June 30, 2024, none of the outstanding Class B2 units were forfeited.</w:t>
      </w:r>
    </w:p>
    <w:p>
      <w:pPr>
        <w:spacing w:after="0" w:line="181"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As of June 30, 2024, $35.3 million of unrecognized non-cash compensation expense in respect of equity-based awards remained to be recognized over a weighted-average period of approximately 4.3 years.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Liability Classified Awards</w:t>
      </w:r>
    </w:p>
    <w:p>
      <w:pPr>
        <w:spacing w:after="0" w:line="220"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0"/>
          <w:szCs w:val="20"/>
          <w:color w:val="auto"/>
        </w:rPr>
        <w:t>The Company recognized $12.9 million and $3.9 million during the three months ended June 30, 2024 and 2023, respectively, of expense related to the fair value of liability classified awards within equity-based compensation expense in the condensed consolidated statements of income. For the three months ended June 30, 2024 and 2023, no amounts were paid related to the settlement of liability classified awards.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22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0"/>
          <w:szCs w:val="20"/>
          <w:color w:val="auto"/>
        </w:rPr>
        <w:t>The Company has an ESPP under which eligible employees may purchase shares of Class A common stock of the Company at six-month period intervals for 85% of the lower of the fair market value on either the first or last trading day of the offering period. Employees may purchase up to five thousand dollars worth of shares each six-month offering period, limited to a maximum of 1,000 shares. There were no shares purchased under the ESPP during the three months ended June 30, 2024 and 2023. As of June 30, 2024, the Company has 2,200,000 shares of Class A common stock reserved for future issuances under the ESPP.</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In connection with the Transaction Agreements (as defined and described in note 13), the Company recorded a $11.3 million</w:t>
      </w:r>
    </w:p>
    <w:p>
      <w:pPr>
        <w:spacing w:after="0" w:line="2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decrease to deferred tax assets during the three months ended June 30, 2024 as a result of the 2024 Exchange (as defined below). In addition, there were exchanges of Class B units and Class C units of the Partnership for Class A common stock by certain limited partners of the Partnership during the three months ended June 30, 2024, resulting in a $25.6 million increase in deferred tax assets and a $2.5 million increase in the valuation allowance. Additionally, a corresponding Tax Receivable Agreements liability of $18.3 million was recorded, representing 85% of the incremental net cash tax savings for the Company as a result of these exchanges. The Company made payments of $9.8 million and $7.7 million during the three months ended June 30, 2024 and 2023, respectively, under the Tax Receivable Agreements. As of June 30, 2024, the Company’s total Tax Receivable Agreements liability was $215.3 million. See note 12 for more information on the Tax Receivable Agreements.</w:t>
      </w:r>
    </w:p>
    <w:p>
      <w:pPr>
        <w:spacing w:after="0" w:line="19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 Company’s effective tax rate was 12.4% and 14.8% for the three months ended June 30, 2024 and 2023, respectively. The Company’s overall effective tax rate in each of the periods described above is less than the statutory rate as a portion of income was allocated to non-controlling interests and the tax liability on such income is borne by the holders of non-controlling interests. For the three months ended June 30, 2024 as compared to the three months ended June 30, 2023, the primary rate difference was due to a decrease in tax expense associated with income allocated to non-controlling interests, partially offset by certain tax expense adjustments that were recorded to the Company’s outside tax basis difference in the Partnership for the three months ended June 30, 2023 that did not reoccur during the three months ended June 30, 2024.</w:t>
      </w:r>
    </w:p>
    <w:p>
      <w:pPr>
        <w:spacing w:after="0" w:line="1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The Company continues to monitor and evaluate legislative developments related to the proposed Global Anti-Base Erosion (“GloBE”) Model Rules established under the Organization for Economic Co-operation and Development’s Pillar Two framework. Several countries where the Company operates have adopted GloBE into their legislation, and additional countries are anticipated to adopt these rules in the future. To date, these legislative changes have not had a material impact on the Company’s effective tax rate.</w:t>
      </w:r>
    </w:p>
    <w:p>
      <w:pPr>
        <w:spacing w:after="0" w:line="172"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160" w:lineRule="exact"/>
        <w:rPr>
          <w:sz w:val="20"/>
          <w:szCs w:val="20"/>
          <w:color w:val="auto"/>
        </w:rPr>
      </w:pPr>
    </w:p>
    <w:p>
      <w:pPr>
        <w:ind w:right="500" w:firstLine="648"/>
        <w:spacing w:after="0" w:line="269" w:lineRule="auto"/>
        <w:rPr>
          <w:sz w:val="20"/>
          <w:szCs w:val="20"/>
          <w:color w:val="auto"/>
        </w:rPr>
      </w:pPr>
      <w:r>
        <w:rPr>
          <w:rFonts w:ascii="Times New Roman" w:cs="Times New Roman" w:eastAsia="Times New Roman" w:hAnsi="Times New Roman"/>
          <w:sz w:val="20"/>
          <w:szCs w:val="20"/>
          <w:color w:val="auto"/>
        </w:rPr>
        <w:t>As of June 30, 2024, the Company has not recorded any unrecognized tax benefits and does not expect there to be any material changes to uncertain tax positions within the next 12 months.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3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Basic and diluted earnings per share of Class A common stock are presented for the three months ended June 30, 2024 and 2023. The following table sets forth reconciliations of the numerators and denominators used to compute basic and diluted earnings per share of Class A common stock: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6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StepStone Group Inc. – Basic</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21,269</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Incremental income from assumed vesting of RSUs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Incremental income from assumed vesting and exchange of Class B2 units</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StepStone Group Inc. – Diluted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22,233</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 Basic</w:t>
            </w: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66,187,754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62,834,818</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400,034</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and exchange of Class B2 units</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2,504,618</w:t>
            </w: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 Diluted</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68,593,761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65,739,470</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of Class A common stock:</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34"/>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bl>
    <w:p>
      <w:pPr>
        <w:spacing w:after="0" w:line="283"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9"/>
          <w:szCs w:val="19"/>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6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The calculation of diluted earnings per share excludes 45,889,135 Class B units, 1,780,446 Class C units and 2,239,185 Class D units of the Partnership outstanding as of June 30, 2024, and 46,420,141 Class B units and 2,514,085 Class C units of the Partnership outstanding as of June 30, 2023, all of which are exchangeable into Class A common stock under the if-converted method, as the inclusion of such shares would be anti-dilutive.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Related Party Transactions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The Company considers its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$123.7 million and $92.8 million for the three months ended June 30, 2024 and 2023. Carried interest allocation revenues earned from the StepStone Funds totaled $16.6 million and $63.8 million for the three months ended June 30, 2024 and 2023, respectively. Legacy Greenspring carried interest allocation revenues earned from certain legacy Greenspring funds for which the Company has no direct economic interests totaled $(9.1) million and $(23.9) million for the three months ended June 30, 2024 and 2023, respectively.</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Due from affiliates in the condensed consolidated balance sheets consists primarily of fees and accounts receivable from the</w:t>
      </w:r>
    </w:p>
    <w:p>
      <w:pPr>
        <w:spacing w:after="0" w:line="2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9"/>
          <w:szCs w:val="19"/>
          <w:color w:val="auto"/>
        </w:rPr>
        <w:t>StepStone Funds, advances made on behalf of the StepStone Funds for the payment of certain organization and operating costs and expenses for which the Company is subsequently reimbursed, amounts due from employees and loans due from affiliated entities, as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StepStone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40,588</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receivable from employees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loans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from affiliates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100,277</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67,531</w:t>
            </w: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20"/>
          <w:szCs w:val="20"/>
          <w:color w:val="auto"/>
        </w:rPr>
        <w:t>Due to affiliates in the condensed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payable to non-controlling interest holders in connection with Tax Receivable Agreements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206,841</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payable to StepStone Funds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payable to certain employee equity holders of consolidated subsidiaries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to affiliates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223,471</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212,918</w:t>
            </w: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The Company made payments of $9.8 million and $7.7 million during the three months ended June 30, 2024 and 2023, respectively, under the Tax Receivable Agreements.</w:t>
      </w:r>
    </w:p>
    <w:p>
      <w:pPr>
        <w:spacing w:after="0" w:line="169" w:lineRule="exact"/>
        <w:rPr>
          <w:sz w:val="20"/>
          <w:szCs w:val="20"/>
          <w:color w:val="auto"/>
        </w:rPr>
      </w:pPr>
    </w:p>
    <w:p>
      <w:pPr>
        <w:ind w:left="660" w:right="5320" w:hanging="652"/>
        <w:spacing w:after="0" w:line="474" w:lineRule="auto"/>
        <w:tabs>
          <w:tab w:leader="none" w:pos="457"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and Redeemable Non-Controlling Interests Stockholders’ Equity</w:t>
      </w: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auto"/>
        </w:rPr>
        <w:t>The Class C and Class D (further described below) limited partnership interests of the Partnership have substantially the same rights and obligations as are applicable to the existing holders of Class B units of the Partnership. The Company has no ownership interest in the Class C and Class D units, which are held by certain employees of the Company. The Company has entered into agreements with the Class C limited partners of the Partnership (the “Class C Exchange Agreement”) and Class D limited partners of the Partnership (the “Class D Exchange Agreement”) to allow for the exchange of Class C units and Class D units, respectively, to shares of Class A common stock of the Company on a one-for-one basis, subject to certain restrictions, as further described below in respect of the Class D Exchange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a rollforward of the Company’s shares of common stock outstanding since March 31,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65,614,902</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45,030,959</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B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1,731,807</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(1,731,807)</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C partnership units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71,766</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for purchase of asset class non-controlling interests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513,394</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2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purchased at par value in connection with vesting of Class</w:t>
            </w:r>
          </w:p>
        </w:tc>
        <w:tc>
          <w:tcPr>
            <w:tcW w:w="2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243"/>
        </w:trPr>
        <w:tc>
          <w:tcPr>
            <w:tcW w:w="6280" w:type="dxa"/>
            <w:vAlign w:val="bottom"/>
            <w:shd w:val="clear" w:color="auto" w:fill="CCEEFF"/>
          </w:tcPr>
          <w:p>
            <w:pPr>
              <w:ind w:left="460"/>
              <w:spacing w:after="0" w:line="243" w:lineRule="exact"/>
              <w:rPr>
                <w:sz w:val="20"/>
                <w:szCs w:val="20"/>
                <w:color w:val="auto"/>
              </w:rPr>
            </w:pPr>
            <w:r>
              <w:rPr>
                <w:rFonts w:ascii="Times New Roman" w:cs="Times New Roman" w:eastAsia="Times New Roman" w:hAnsi="Times New Roman"/>
                <w:sz w:val="18"/>
                <w:szCs w:val="18"/>
                <w:color w:val="auto"/>
              </w:rPr>
              <w:t>B2 units</w:t>
            </w:r>
            <w:r>
              <w:rPr>
                <w:rFonts w:ascii="Times New Roman" w:cs="Times New Roman" w:eastAsia="Times New Roman" w:hAnsi="Times New Roman"/>
                <w:sz w:val="23"/>
                <w:szCs w:val="23"/>
                <w:color w:val="auto"/>
                <w:vertAlign w:val="superscript"/>
              </w:rPr>
              <w:t>(1)</w:t>
            </w:r>
          </w:p>
        </w:tc>
        <w:tc>
          <w:tcPr>
            <w:tcW w:w="2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2,589,983</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67,931,869</w:t>
            </w:r>
          </w:p>
        </w:tc>
        <w:tc>
          <w:tcPr>
            <w:tcW w:w="140" w:type="dxa"/>
            <w:vAlign w:val="bottom"/>
          </w:tcPr>
          <w:p>
            <w:pPr>
              <w:spacing w:after="0"/>
              <w:rPr>
                <w:sz w:val="19"/>
                <w:szCs w:val="19"/>
                <w:color w:val="auto"/>
              </w:rPr>
            </w:pPr>
          </w:p>
        </w:tc>
        <w:tc>
          <w:tcPr>
            <w:tcW w:w="2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45,889,135</w:t>
            </w:r>
          </w:p>
        </w:tc>
      </w:tr>
      <w:tr>
        <w:trPr>
          <w:trHeight w:val="20"/>
        </w:trPr>
        <w:tc>
          <w:tcPr>
            <w:tcW w:w="62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23,417 Class B units issuable pursuant to anti-dilution rights in connection with the vesting of Class B2 units.</w:t>
      </w:r>
    </w:p>
    <w:p>
      <w:pPr>
        <w:spacing w:after="0" w:line="202"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The Company has 25,000,000 authorized shares of preferred stock, par value of $0.001 per share, and as of June 30, 2024, no shares of preferred stock were issued or outstanding.</w:t>
      </w:r>
    </w:p>
    <w:p>
      <w:pPr>
        <w:spacing w:after="0" w:line="173"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In June 2024, the Company issued 1,731,807 shares of Class A common stock to certain limited partners of the Partnership in exchange for 1,731,807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The Company also issued 71,766 shares of Class A common stock to certain limited partners of the Partnership in exchange for 71,766 Class C units in accordance with the elective exchange notices submitted pursuant to the Class C Exchange Agreement and a corresponding number of Class A units of the Partnership were issued to the Company.</w:t>
      </w:r>
    </w:p>
    <w:p>
      <w:pPr>
        <w:spacing w:after="0" w:line="222"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0"/>
          <w:szCs w:val="20"/>
          <w:color w:val="auto"/>
        </w:rPr>
        <w:t xml:space="preserve">On April 1, 2024, certain of the Company’s subsidiaries underwent transactions to effect unitization of the outstanding classes of limited partnership interests. The economic rights and obligations of limited partnership interest holders were the same immediately prior to the unitization as immediately after the unitization. The outstanding classes of limited partnership interests, including the class of interests relating to awards of carried interest allocations granted to employees, were essentially combined into a single class of limited partnership interest and redesignated into units. The class of interests relating to awards of carried interest allocations granted to employees were previously accounted for as compensation arrangements under ASC 710,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and presented as carried interest-related compensation expense. The transaction was considered to be a transaction amongst equity holders, and the Company did not recognize any incremental compensation cost related to settlement of the accrued carried interest-related compensation.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Also on April 1, 2024, the Company exchanged certain ordinary shares in the SPD subsidiary and paid $5.4 million to purchase certain preferred shares in SPD with liquidation preference rights in connection with the Transaction Agreements (defined below). There was no change in the Company’s economic interest in SPD as a result of the transaction.</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SSG and the Partnership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7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The Transaction Agreements provide for, among other things and subject to the terms and conditions therein, the exchange of the sellers’ equity interests in the Asset Class Entities, as applicable, for a combination of (i) newly-created Class D equity interests (“Class D units”) in the Partnership with terms substantially similar to the Partnership’s existing Class C units, in the case of SRA and SRE, or shares of the Company’s Class A common stock, in the case of SPD and (ii) cash (at the discretion of the Company for all exchanges except the initial exchange), in up to ten annual exchanges (increased to up to fifteen annual exchanges in certain circumstances in case of the sellers of SRA equity interests). The Transaction Agreements allow for issuance of up to 75 million shares as consideration for settlement of the transaction.</w:t>
      </w:r>
    </w:p>
    <w:p>
      <w:pPr>
        <w:spacing w:after="0" w:line="17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portion of the equity interests to be acquired in each annual exchange is set forth in an exchange schedule attached to each Transaction Agreement and is approximately 5% of each Asset Class Entity on each contemplated annual exchange date. The amount of consideration to be delivered will be calculated using exchange ratios determined each year based on a formula establishing an assumed value of each Asset Class Entity based on its estimated adjusted net income, relative to an adjusted trading multiple for the Company’s Class A common stock relative to the Company’s estimated adjusted net income. The Transaction Agreement specifies a minimum adjusted trading multiple for the exchange to take place, in which case if not met the exchange would be skipped and combined in a subsequent year if and when the minimum adjusted trading multiple was met. For all of the exchanges after the initial exchange, the settlement by cash or equity is at the discretion of the Company. Therefore, the non-controlling interests subject to the Transaction Agreements are not mandatorily redeemable as of June 30, 2024.</w:t>
      </w:r>
    </w:p>
    <w:p>
      <w:pPr>
        <w:spacing w:after="0" w:line="193"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0"/>
          <w:szCs w:val="20"/>
          <w:color w:val="auto"/>
        </w:rPr>
        <w:t>Pursuant to each Transaction Agreement, and subject to receipt of required regulatory and other approvals, the consideration for the first exchange was calculated using a reference date of April 1, 2024 (the “Initial Reference Date”) and the first exchange was consummated promptly following the Initial Reference Date upon the satisfaction or waiver of the conditions set forth in such Transaction Agreement applicable to the first exchange, including publication of the Company’s audited financial statements for the fiscal year ended March 31, 2024. The Transaction Agreements also provide for up to nine subsequent annual exchanges (or up to 14 subsequent exchanges in certain circumstances in the case of SRA), in each case with a calculation reference date of April 1 and consummation promptly following satisfaction or waiver of the conditions set forth in such Transaction Agreement, including delivery of audited financial statements of the Company. Each Transaction Agreement provides that beginning after the fifth annual exchange, future exchanges may be accelerated into one final exchange in certain circumstances.</w:t>
      </w:r>
    </w:p>
    <w:p>
      <w:pPr>
        <w:spacing w:after="0" w:line="176" w:lineRule="exact"/>
        <w:rPr>
          <w:sz w:val="20"/>
          <w:szCs w:val="20"/>
          <w:color w:val="auto"/>
        </w:rPr>
      </w:pPr>
    </w:p>
    <w:p>
      <w:pPr>
        <w:ind w:right="300" w:firstLine="648"/>
        <w:spacing w:after="0" w:line="274" w:lineRule="auto"/>
        <w:rPr>
          <w:sz w:val="20"/>
          <w:szCs w:val="20"/>
          <w:color w:val="auto"/>
        </w:rPr>
      </w:pPr>
      <w:r>
        <w:rPr>
          <w:rFonts w:ascii="Times New Roman" w:cs="Times New Roman" w:eastAsia="Times New Roman" w:hAnsi="Times New Roman"/>
          <w:sz w:val="19"/>
          <w:szCs w:val="19"/>
          <w:color w:val="auto"/>
        </w:rPr>
        <w:t>On May 31, 2024, the Company completed the first annual exchange (the “2024 Exchange”) to acquire approximately 5% of the equity interests of each of SRA, SRE and SPD pursuant to the Transaction Agreements. As a result of the 2024 Exchange, the Partnership now owns approximately 54% of the outstanding equity interests of SRA, 56% of the outstanding equity interests of SRE and 54% of the outstanding equity interests of SPD. The aggregate consideration paid by the Company in the 2024 Exchange was approximately (i) $13 million in cash, (ii) 513,394 shares of the Company’s Class A common stock and (iii) 2,239,185 Class D units of the Partnership.</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transactions contemplated by the SRA Transaction Agreement and SRE Transaction Agreement, SSG and the Partnership entered into a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in connection with the SRA Transaction Agreement and SRE Transaction Agreement on a one-for-one basis with shares of the Company’s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195"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In April 2024, the carrying value of the non-controlling interests purchased in the 2024 Exchange were reclassified from redeemable equity to liabilities at the redemption value of $110.4 million once it was determined that the exchange was certain to occur.</w:t>
      </w:r>
    </w:p>
    <w:p>
      <w:pPr>
        <w:spacing w:after="0" w:line="173"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0"/>
          <w:szCs w:val="20"/>
          <w:color w:val="auto"/>
        </w:rPr>
        <w:t>The Company accounts for adjustments to the redemption value of a redeemable equity instrument that is currently redeemable by adjusting the carrying value of the equity instrument to the maximum redemption value at each reporting period based on conditions that exist as of the reporting date. If the redeemable equity instrument is probable of becoming redeemable in the near future, the carrying value of a redeemable equity instrument is adjusted to the redemption value immediately as changes occur based on conditions that exist at that date or at each reporting date. For redeemable equity instruments either not redeemable or probable of becoming redeemable in the near future, no adjustment to the carrying value is made until it is probable that the equity instrument will become redeemable. The Company recognizes adjustments to the carrying value of redeemable equity instruments with charges against retained earnings, or to additional paid-in-capital in the absence of retained earnings.</w:t>
      </w:r>
    </w:p>
    <w:p>
      <w:pPr>
        <w:spacing w:after="0" w:line="19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As of June 30, 2024, the Company determined that redemption of the redeemable non-controlling interests in subsidiaries was probable and presented the carrying value at the redemption amount based on the conditions that existed as of that date of $5.9 million in the condensed consolidated balance sheets within redeemable non-controlling interests in subsidiaries.</w:t>
      </w:r>
    </w:p>
    <w:p>
      <w:pPr>
        <w:spacing w:after="0" w:line="168" w:lineRule="exact"/>
        <w:rPr>
          <w:sz w:val="20"/>
          <w:szCs w:val="20"/>
          <w:color w:val="auto"/>
        </w:rPr>
      </w:pPr>
    </w:p>
    <w:p>
      <w:pPr>
        <w:jc w:val="both"/>
        <w:ind w:right="460" w:firstLine="648"/>
        <w:spacing w:after="0" w:line="268" w:lineRule="auto"/>
        <w:rPr>
          <w:sz w:val="20"/>
          <w:szCs w:val="20"/>
          <w:color w:val="auto"/>
        </w:rPr>
      </w:pPr>
      <w:r>
        <w:rPr>
          <w:rFonts w:ascii="Times New Roman" w:cs="Times New Roman" w:eastAsia="Times New Roman" w:hAnsi="Times New Roman"/>
          <w:sz w:val="20"/>
          <w:szCs w:val="20"/>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6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8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On May 23, 2024, the Company announced a quarterly cash dividend of $0.21 per share of Class A common stock and a supplemental cash dividend of $0.15 per share of Class A common stock, both of which were paid on June 28, 2024 to holders of record at the close of business on June 14, 2024.</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Redeemable Non-Controlling Interests</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Consolidated Funds: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6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r>
      <w:tr>
        <w:trPr>
          <w:trHeight w:val="229"/>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15,535</w:t>
            </w: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142,547</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41,618</w:t>
            </w:r>
          </w:p>
        </w:tc>
      </w:tr>
      <w:tr>
        <w:trPr>
          <w:trHeight w:val="21"/>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subsidiaries: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6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115,920</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 redeemable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(110,351)</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June 30, 2024.</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 Commitments</w:t>
      </w:r>
    </w:p>
    <w:p>
      <w:pPr>
        <w:spacing w:after="0" w:line="220" w:lineRule="exact"/>
        <w:rPr>
          <w:sz w:val="20"/>
          <w:szCs w:val="20"/>
          <w:color w:val="auto"/>
        </w:rPr>
      </w:pPr>
    </w:p>
    <w:p>
      <w:pPr>
        <w:ind w:right="480" w:firstLine="648"/>
        <w:spacing w:after="0" w:line="268" w:lineRule="auto"/>
        <w:rPr>
          <w:sz w:val="20"/>
          <w:szCs w:val="20"/>
          <w:color w:val="auto"/>
        </w:rPr>
      </w:pPr>
      <w:r>
        <w:rPr>
          <w:rFonts w:ascii="Times New Roman" w:cs="Times New Roman" w:eastAsia="Times New Roman" w:hAnsi="Times New Roman"/>
          <w:sz w:val="20"/>
          <w:szCs w:val="20"/>
          <w:color w:val="auto"/>
        </w:rPr>
        <w:t>The Company leases offices in 27 cities in North America, South America, Europe, Asia and Australia, and certain equipment subject to operating lease agreements expiring through 2039, some of which may include options to extend or terminate the lease. As of June 30, 2024, there were no finance leases outstanding.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The components of lease expense included in general, administrative and other expenses in the condensed consolidated statements of income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tcBorders>
              <w:bottom w:val="single" w:sz="8" w:color="auto"/>
            </w:tcBorders>
            <w:gridSpan w:val="8"/>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220" w:type="dxa"/>
            <w:vAlign w:val="bottom"/>
            <w:tcBorders>
              <w:bottom w:val="single" w:sz="8" w:color="CCEEFF"/>
            </w:tcBorders>
          </w:tcPr>
          <w:p>
            <w:pPr>
              <w:spacing w:after="0"/>
              <w:rPr>
                <w:sz w:val="19"/>
                <w:szCs w:val="19"/>
                <w:color w:val="auto"/>
              </w:rPr>
            </w:pPr>
          </w:p>
        </w:tc>
        <w:tc>
          <w:tcPr>
            <w:tcW w:w="7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1"/>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76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(1)</w:t>
            </w: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 cost includes an immaterial amount of short-term leases.</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20" w:type="dxa"/>
            <w:vAlign w:val="bottom"/>
          </w:tcPr>
          <w:p>
            <w:pPr>
              <w:spacing w:after="0"/>
              <w:rPr>
                <w:sz w:val="24"/>
                <w:szCs w:val="24"/>
                <w:color w:val="auto"/>
              </w:rPr>
            </w:pPr>
          </w:p>
        </w:tc>
        <w:tc>
          <w:tcPr>
            <w:tcW w:w="7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220" w:type="dxa"/>
            <w:vAlign w:val="bottom"/>
            <w:tcBorders>
              <w:bottom w:val="single" w:sz="8" w:color="CCEEFF"/>
            </w:tcBorders>
          </w:tcPr>
          <w:p>
            <w:pPr>
              <w:spacing w:after="0"/>
              <w:rPr>
                <w:sz w:val="19"/>
                <w:szCs w:val="19"/>
                <w:color w:val="auto"/>
              </w:rPr>
            </w:pPr>
          </w:p>
        </w:tc>
        <w:tc>
          <w:tcPr>
            <w:tcW w:w="73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1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2,985</w:t>
            </w:r>
          </w:p>
        </w:tc>
        <w:tc>
          <w:tcPr>
            <w:tcW w:w="40" w:type="dxa"/>
            <w:vAlign w:val="bottom"/>
          </w:tcPr>
          <w:p>
            <w:pPr>
              <w:spacing w:after="0"/>
              <w:rPr>
                <w:sz w:val="19"/>
                <w:szCs w:val="19"/>
                <w:color w:val="auto"/>
              </w:rPr>
            </w:pPr>
          </w:p>
        </w:tc>
        <w:tc>
          <w:tcPr>
            <w:tcW w:w="5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 (in years)</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541"/>
        </w:trPr>
        <w:tc>
          <w:tcPr>
            <w:tcW w:w="220" w:type="dxa"/>
            <w:vAlign w:val="bottom"/>
          </w:tcPr>
          <w:p>
            <w:pPr>
              <w:spacing w:after="0"/>
              <w:rPr>
                <w:sz w:val="24"/>
                <w:szCs w:val="24"/>
                <w:color w:val="auto"/>
              </w:rPr>
            </w:pPr>
          </w:p>
        </w:tc>
        <w:tc>
          <w:tcPr>
            <w:tcW w:w="73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As of June 30, 2024, maturities of operating lease liabilities were as follows: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76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FY2025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FY2026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16,529</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13,139</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84,804</w:t>
            </w:r>
          </w:p>
        </w:tc>
        <w:tc>
          <w:tcPr>
            <w:tcW w:w="0" w:type="dxa"/>
            <w:vAlign w:val="bottom"/>
          </w:tcPr>
          <w:p>
            <w:pPr>
              <w:spacing w:after="0"/>
              <w:rPr>
                <w:sz w:val="1"/>
                <w:szCs w:val="1"/>
                <w:color w:val="auto"/>
              </w:rPr>
            </w:pPr>
          </w:p>
        </w:tc>
      </w:tr>
      <w:tr>
        <w:trPr>
          <w:trHeight w:val="223"/>
        </w:trPr>
        <w:tc>
          <w:tcPr>
            <w:tcW w:w="220" w:type="dxa"/>
            <w:vAlign w:val="bottom"/>
            <w:shd w:val="clear" w:color="auto" w:fill="CCEEFF"/>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157,186</w:t>
            </w:r>
          </w:p>
        </w:tc>
        <w:tc>
          <w:tcPr>
            <w:tcW w:w="0" w:type="dxa"/>
            <w:vAlign w:val="bottom"/>
          </w:tcPr>
          <w:p>
            <w:pPr>
              <w:spacing w:after="0"/>
              <w:rPr>
                <w:sz w:val="1"/>
                <w:szCs w:val="1"/>
                <w:color w:val="auto"/>
              </w:rPr>
            </w:pPr>
          </w:p>
        </w:tc>
      </w:tr>
      <w:tr>
        <w:trPr>
          <w:trHeight w:val="229"/>
        </w:trPr>
        <w:tc>
          <w:tcPr>
            <w:tcW w:w="220" w:type="dxa"/>
            <w:vAlign w:val="bottom"/>
            <w:tcBorders>
              <w:bottom w:val="single" w:sz="8" w:color="CCEEFF"/>
            </w:tcBorders>
          </w:tcPr>
          <w:p>
            <w:pPr>
              <w:spacing w:after="0"/>
              <w:rPr>
                <w:sz w:val="19"/>
                <w:szCs w:val="19"/>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(39,118)</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118,068</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Unfunded Capital Commitments</w:t>
      </w:r>
    </w:p>
    <w:p>
      <w:pPr>
        <w:spacing w:after="0" w:line="233" w:lineRule="exact"/>
        <w:rPr>
          <w:sz w:val="20"/>
          <w:szCs w:val="20"/>
          <w:color w:val="auto"/>
        </w:rPr>
      </w:pPr>
    </w:p>
    <w:p>
      <w:pPr>
        <w:ind w:right="520" w:firstLine="648"/>
        <w:spacing w:after="0" w:line="253" w:lineRule="auto"/>
        <w:rPr>
          <w:sz w:val="20"/>
          <w:szCs w:val="20"/>
          <w:color w:val="auto"/>
        </w:rPr>
      </w:pPr>
      <w:r>
        <w:rPr>
          <w:rFonts w:ascii="Times New Roman" w:cs="Times New Roman" w:eastAsia="Times New Roman" w:hAnsi="Times New Roman"/>
          <w:sz w:val="20"/>
          <w:szCs w:val="20"/>
          <w:color w:val="auto"/>
        </w:rPr>
        <w:t>As of June 30, 2024 and March 31, 2024, the Company, generally in its capacity as general partner or managing member of the StepStone Funds, had unfunded commitments totaling $109.2 million and $115.7 million, respectively. The $109.2 million and $115.7 million of unfunded commitments as of June 30, 2024 and March 31, 2024, respectively, exclude $70.7 million and $67.8 million, respectively, related to commitments held by general partner entities for certain funds in which the Company does not hold any direct economic interests, including the legacy Greenspring funds.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Carried Interest Allocations</w:t>
      </w:r>
    </w:p>
    <w:p>
      <w:pPr>
        <w:spacing w:after="0" w:line="23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9"/>
          <w:szCs w:val="19"/>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June 30, 2024 and March 31, 2024, no material amounts for potential clawback obligations had been accrued. This contingent obligation is normally reduced by income taxes that the Company has paid related to the carried interest allocations. As of</w:t>
      </w:r>
    </w:p>
    <w:p>
      <w:pPr>
        <w:spacing w:after="0" w:line="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June 30, 2024, the maximum amount of carried interest allocations (excluding legacy Greenspring carried interest allocations) attributable to the Company subject to contingent repayment was an estimated $297.0 million, net of tax, assuming the fair value of all investments was zero, a possibility that the Company views as remote.</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Indemnification Arrangements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June 30, 2024 and March 31, 2024. Based on past experience, management believes that the risk of loss related to these indemnities is remote.</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Subsequent Events</w:t>
      </w:r>
    </w:p>
    <w:p>
      <w:pPr>
        <w:spacing w:after="0" w:line="233"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On August 8, 2024, the Company announced a quarterly cash dividend of $0.24 per share of Class A common stock, payable on September 13, 2024 to holders of record as of the close of business on August 30, 2024.</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44" w:name="page45"/>
    <w:bookmarkEnd w:id="44"/>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2024 filed with the SEC. In this quarterly report, references to “we,” “us,” “our,” “StepStone” and similar terms refer to SSG and its consolidated subsidiaries, including the Partnership.</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20"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0"/>
          <w:szCs w:val="20"/>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June 30, 2024, we were responsible for approximately $701 billion of total capital, including $169 billion of AUM and $531 billion of AUA.</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27 cities across 16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June 30, 2024, we had approximately 1,010 total employees, including 340 investment professionals and approximately 670 employees across our operating team and implementation teams dedicated to sourcing, executing, analyzing and monitoring private markets opportunities.</w:t>
      </w:r>
    </w:p>
    <w:p>
      <w:pPr>
        <w:spacing w:after="0" w:line="182"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69" w:lineRule="exact"/>
        <w:rPr>
          <w:sz w:val="20"/>
          <w:szCs w:val="20"/>
          <w:color w:val="auto"/>
        </w:rPr>
      </w:pPr>
    </w:p>
    <w:p>
      <w:pPr>
        <w:ind w:left="660" w:right="60" w:hanging="328"/>
        <w:spacing w:after="0" w:line="260"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Separately managed accounts (“SMAs”)</w:t>
      </w:r>
      <w:r>
        <w:rPr>
          <w:rFonts w:ascii="Times New Roman" w:cs="Times New Roman" w:eastAsia="Times New Roman" w:hAnsi="Times New Roman"/>
          <w:sz w:val="20"/>
          <w:szCs w:val="20"/>
          <w:color w:val="000000"/>
        </w:rPr>
        <w:t>. Owned by one client and managed according to their specific preferences, SMAs integrate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$103 billion of our AUM as of June 30, 2024</w:t>
      </w:r>
      <w:r>
        <w:rPr>
          <w:rFonts w:ascii="Times New Roman" w:cs="Times New Roman" w:eastAsia="Times New Roman" w:hAnsi="Times New Roman"/>
          <w:sz w:val="20"/>
          <w:szCs w:val="20"/>
          <w:color w:val="231F20"/>
        </w:rPr>
        <w:t>.</w:t>
      </w:r>
    </w:p>
    <w:p>
      <w:pPr>
        <w:spacing w:after="0" w:line="164" w:lineRule="exact"/>
        <w:rPr>
          <w:rFonts w:ascii="Times New Roman" w:cs="Times New Roman" w:eastAsia="Times New Roman" w:hAnsi="Times New Roman"/>
          <w:sz w:val="20"/>
          <w:szCs w:val="20"/>
          <w:color w:val="auto"/>
        </w:rPr>
      </w:pPr>
    </w:p>
    <w:p>
      <w:pPr>
        <w:ind w:left="660" w:right="180" w:hanging="328"/>
        <w:spacing w:after="0" w:line="287"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Focused commingled funds. </w:t>
      </w:r>
      <w:r>
        <w:rPr>
          <w:rFonts w:ascii="Times New Roman" w:cs="Times New Roman" w:eastAsia="Times New Roman" w:hAnsi="Times New Roman"/>
          <w:sz w:val="20"/>
          <w:szCs w:val="20"/>
          <w:color w:val="231F20"/>
        </w:rPr>
        <w:t>Owned by multiple clients, our focused commingled funds deploy capital in specific asset classes with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defined investment strategies. Focused commingled funds comprised $52 billion of our AUM as of </w:t>
      </w:r>
      <w:r>
        <w:rPr>
          <w:rFonts w:ascii="Times New Roman" w:cs="Times New Roman" w:eastAsia="Times New Roman" w:hAnsi="Times New Roman"/>
          <w:sz w:val="20"/>
          <w:szCs w:val="20"/>
          <w:color w:val="000000"/>
        </w:rPr>
        <w:t>June 30, 2024</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347" w:lineRule="exact"/>
        <w:rPr>
          <w:sz w:val="20"/>
          <w:szCs w:val="20"/>
          <w:color w:val="auto"/>
        </w:rPr>
      </w:pPr>
    </w:p>
    <w:p>
      <w:pPr>
        <w:ind w:left="660" w:right="40" w:hanging="328"/>
        <w:spacing w:after="0" w:line="270" w:lineRule="auto"/>
        <w:tabs>
          <w:tab w:leader="none" w:pos="648"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231F20"/>
        </w:rPr>
        <w:t xml:space="preserve">Advisory and data services. </w:t>
      </w:r>
      <w:r>
        <w:rPr>
          <w:rFonts w:ascii="Times New Roman" w:cs="Times New Roman" w:eastAsia="Times New Roman" w:hAnsi="Times New Roman"/>
          <w:sz w:val="19"/>
          <w:szCs w:val="19"/>
          <w:color w:val="231F20"/>
        </w:rPr>
        <w:t>These services include one or more of the following for our clients: (i) recurring support of portfolio</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xml:space="preserve">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StepStone Private Markets Intelligence (“SPI”) Research and our other proprietary tools. Advisory relationships comprised </w:t>
      </w:r>
      <w:r>
        <w:rPr>
          <w:rFonts w:ascii="Times New Roman" w:cs="Times New Roman" w:eastAsia="Times New Roman" w:hAnsi="Times New Roman"/>
          <w:sz w:val="19"/>
          <w:szCs w:val="19"/>
          <w:color w:val="000000"/>
        </w:rPr>
        <w:t>$531 billion</w:t>
      </w:r>
      <w:r>
        <w:rPr>
          <w:rFonts w:ascii="Times New Roman" w:cs="Times New Roman" w:eastAsia="Times New Roman" w:hAnsi="Times New Roman"/>
          <w:sz w:val="19"/>
          <w:szCs w:val="19"/>
          <w:color w:val="231F20"/>
        </w:rPr>
        <w:t xml:space="preserve"> of our AUA and $15 billion of our AUM as of </w:t>
      </w:r>
      <w:r>
        <w:rPr>
          <w:rFonts w:ascii="Times New Roman" w:cs="Times New Roman" w:eastAsia="Times New Roman" w:hAnsi="Times New Roman"/>
          <w:sz w:val="19"/>
          <w:szCs w:val="19"/>
          <w:color w:val="000000"/>
        </w:rPr>
        <w:t>June 30, 2024</w:t>
      </w:r>
      <w:r>
        <w:rPr>
          <w:rFonts w:ascii="Times New Roman" w:cs="Times New Roman" w:eastAsia="Times New Roman" w:hAnsi="Times New Roman"/>
          <w:sz w:val="19"/>
          <w:szCs w:val="19"/>
          <w:color w:val="231F20"/>
        </w:rPr>
        <w:t>.</w:t>
      </w:r>
    </w:p>
    <w:p>
      <w:pPr>
        <w:spacing w:after="0" w:line="172" w:lineRule="exact"/>
        <w:rPr>
          <w:rFonts w:ascii="Times New Roman" w:cs="Times New Roman" w:eastAsia="Times New Roman" w:hAnsi="Times New Roman"/>
          <w:sz w:val="19"/>
          <w:szCs w:val="19"/>
          <w:color w:val="auto"/>
        </w:rPr>
      </w:pPr>
    </w:p>
    <w:p>
      <w:pPr>
        <w:ind w:left="660" w:right="60" w:hanging="328"/>
        <w:spacing w:after="0" w:line="254"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Portfolio analytics and reporting. </w:t>
      </w:r>
      <w:r>
        <w:rPr>
          <w:rFonts w:ascii="Times New Roman" w:cs="Times New Roman" w:eastAsia="Times New Roman" w:hAnsi="Times New Roman"/>
          <w:sz w:val="20"/>
          <w:szCs w:val="20"/>
          <w:color w:val="231F20"/>
        </w:rPr>
        <w:t>We provide clients with tailored reporting packages, including customized performance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benchmarks as well as associated compliance, administrative and tax capabilities. Mandates for portfolio analytics and reporting services typically include licensed access to our proprietary performance monitoring software, SPI Reporting. SPI Reporting tracked detailed information on over $710 billion of client commitments as of </w:t>
      </w:r>
      <w:r>
        <w:rPr>
          <w:rFonts w:ascii="Times New Roman" w:cs="Times New Roman" w:eastAsia="Times New Roman" w:hAnsi="Times New Roman"/>
          <w:sz w:val="20"/>
          <w:szCs w:val="20"/>
          <w:color w:val="000000"/>
        </w:rPr>
        <w:t>June 30, 2024</w:t>
      </w:r>
      <w:r>
        <w:rPr>
          <w:rFonts w:ascii="Times New Roman" w:cs="Times New Roman" w:eastAsia="Times New Roman" w:hAnsi="Times New Roman"/>
          <w:sz w:val="20"/>
          <w:szCs w:val="20"/>
          <w:color w:val="231F20"/>
        </w:rPr>
        <w:t>, inclusive of our total capital responsibility, previously exited investments and investments of former clients.</w:t>
      </w:r>
    </w:p>
    <w:p>
      <w:pPr>
        <w:spacing w:after="0" w:line="191"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20"/>
          <w:szCs w:val="20"/>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Our business is affected by a variety of factors, including conditions in the financial markets, regulatory environment, and economic and political conditions. Changes in global economic conditions and regulatory or other governmental policies or actions can materially affect the values of the StepStone Funds’ holdings, our ability to source attractive investments and completely utilize the capital that we have raised, and result in increased compliance costs and administrative burdens.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231F20"/>
        </w:rPr>
        <w:t>In addition to these macroeconomic trends and market factors, we believe our future performance will be influenced by the following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factors:</w:t>
      </w:r>
    </w:p>
    <w:p>
      <w:pPr>
        <w:spacing w:after="0" w:line="203" w:lineRule="exact"/>
        <w:rPr>
          <w:sz w:val="20"/>
          <w:szCs w:val="20"/>
          <w:color w:val="auto"/>
        </w:rPr>
      </w:pPr>
    </w:p>
    <w:p>
      <w:pPr>
        <w:ind w:left="660" w:hanging="328"/>
        <w:spacing w:after="0" w:line="254"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The extent to which clients favor private markets investments. </w:t>
      </w:r>
      <w:r>
        <w:rPr>
          <w:rFonts w:ascii="Times New Roman" w:cs="Times New Roman" w:eastAsia="Times New Roman" w:hAnsi="Times New Roman"/>
          <w:sz w:val="20"/>
          <w:szCs w:val="20"/>
          <w:color w:val="231F20"/>
        </w:rPr>
        <w:t>Our ability to attract new capital is partially dependent on clients’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73" w:lineRule="exact"/>
        <w:rPr>
          <w:rFonts w:ascii="Times New Roman" w:cs="Times New Roman" w:eastAsia="Times New Roman" w:hAnsi="Times New Roman"/>
          <w:sz w:val="20"/>
          <w:szCs w:val="20"/>
          <w:color w:val="auto"/>
        </w:rPr>
      </w:pPr>
    </w:p>
    <w:p>
      <w:pPr>
        <w:ind w:left="660" w:hanging="328"/>
        <w:spacing w:after="0" w:line="258"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generate strong, stable returns. </w:t>
      </w:r>
      <w:r>
        <w:rPr>
          <w:rFonts w:ascii="Times New Roman" w:cs="Times New Roman" w:eastAsia="Times New Roman" w:hAnsi="Times New Roman"/>
          <w:sz w:val="20"/>
          <w:szCs w:val="20"/>
          <w:color w:val="231F20"/>
        </w:rPr>
        <w:t>Our ability to raise and retain capital is partially dependent on the investment returns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347" w:lineRule="exact"/>
        <w:rPr>
          <w:sz w:val="20"/>
          <w:szCs w:val="20"/>
          <w:color w:val="auto"/>
        </w:rPr>
      </w:pPr>
    </w:p>
    <w:p>
      <w:pPr>
        <w:ind w:left="660" w:right="60" w:hanging="328"/>
        <w:spacing w:after="0" w:line="254"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maintain our data advantage relative to competitors. </w:t>
      </w:r>
      <w:r>
        <w:rPr>
          <w:rFonts w:ascii="Times New Roman" w:cs="Times New Roman" w:eastAsia="Times New Roman" w:hAnsi="Times New Roman"/>
          <w:sz w:val="20"/>
          <w:szCs w:val="20"/>
          <w:color w:val="231F20"/>
        </w:rPr>
        <w:t>Our proprietary data and technology platforms, analytical tools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87"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source investments with attractive risk-adjusted returns. </w:t>
      </w:r>
      <w:r>
        <w:rPr>
          <w:rFonts w:ascii="Times New Roman" w:cs="Times New Roman" w:eastAsia="Times New Roman" w:hAnsi="Times New Roman"/>
          <w:sz w:val="20"/>
          <w:szCs w:val="20"/>
          <w:color w:val="231F20"/>
        </w:rPr>
        <w:t>The continued growth in our revenues is dependent on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72" w:lineRule="exact"/>
        <w:rPr>
          <w:rFonts w:ascii="Times New Roman" w:cs="Times New Roman" w:eastAsia="Times New Roman" w:hAnsi="Times New Roman"/>
          <w:sz w:val="20"/>
          <w:szCs w:val="20"/>
          <w:color w:val="auto"/>
        </w:rPr>
      </w:pPr>
    </w:p>
    <w:p>
      <w:pPr>
        <w:ind w:left="660" w:right="40" w:hanging="328"/>
        <w:spacing w:after="0" w:line="258"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Increased competition and clients’ desire to work with fewer managers. </w:t>
      </w:r>
      <w:r>
        <w:rPr>
          <w:rFonts w:ascii="Times New Roman" w:cs="Times New Roman" w:eastAsia="Times New Roman" w:hAnsi="Times New Roman"/>
          <w:sz w:val="20"/>
          <w:szCs w:val="20"/>
          <w:color w:val="231F20"/>
        </w:rPr>
        <w:t>There has been an increasing desire on the part of larger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231F20"/>
        </w:rPr>
        <w:t xml:space="preserve">In the first half of 2024, signs of easing inflation coupled with the expansion of economic activity at a sustained pace and low unemployment rates contributed to positive returns in most financial markets </w:t>
      </w:r>
      <w:r>
        <w:rPr>
          <w:rFonts w:ascii="Times New Roman" w:cs="Times New Roman" w:eastAsia="Times New Roman" w:hAnsi="Times New Roman"/>
          <w:sz w:val="20"/>
          <w:szCs w:val="20"/>
          <w:color w:val="000000"/>
        </w:rPr>
        <w:t>despite inflation remaining elevated with a sustained period of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higher interest rates.</w:t>
      </w:r>
    </w:p>
    <w:p>
      <w:pPr>
        <w:spacing w:after="0" w:line="16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 xml:space="preserve">We are continuing to closely monitor developments related to inflation, higher interest rates, </w:t>
      </w:r>
      <w:r>
        <w:rPr>
          <w:rFonts w:ascii="Times New Roman" w:cs="Times New Roman" w:eastAsia="Times New Roman" w:hAnsi="Times New Roman"/>
          <w:sz w:val="20"/>
          <w:szCs w:val="20"/>
          <w:color w:val="000000"/>
        </w:rPr>
        <w:t>potential regulatory developments as 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result of U.S. elections</w:t>
      </w:r>
      <w:r>
        <w:rPr>
          <w:rFonts w:ascii="Times New Roman" w:cs="Times New Roman" w:eastAsia="Times New Roman" w:hAnsi="Times New Roman"/>
          <w:sz w:val="20"/>
          <w:szCs w:val="20"/>
          <w:color w:val="231F20"/>
        </w:rPr>
        <w:t>, banking system volatility,</w:t>
      </w:r>
      <w:r>
        <w:rPr>
          <w:rFonts w:ascii="Times New Roman" w:cs="Times New Roman" w:eastAsia="Times New Roman" w:hAnsi="Times New Roman"/>
          <w:sz w:val="20"/>
          <w:szCs w:val="20"/>
          <w:color w:val="000000"/>
        </w:rPr>
        <w:t xml:space="preserve"> geopolitical tension, unrest or conflicts, including in Russia, Ukraine, and the Middle East</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and assess the impact on financial markets and on our business. Our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w:t>
      </w:r>
      <w:r>
        <w:rPr>
          <w:rFonts w:ascii="Times New Roman" w:cs="Times New Roman" w:eastAsia="Times New Roman" w:hAnsi="Times New Roman"/>
          <w:sz w:val="20"/>
          <w:szCs w:val="20"/>
          <w:color w:val="000000"/>
        </w:rPr>
        <w:t>t is currently not possible to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predict the ultimate effects of these events on the financial markets, overall economy and our condensed consolidated financial statements. See “Risk Factors—Risks Related to Our Industry—Difficult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 and “Risk Factors—Banking system volatility may adversely affect the results and financial condition of the StepStone Funds or StepStone generally” included in our annual report on Form 10-K for the fiscal year ended March 31, 2024.</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34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Corporate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Purchase of Asset Class Non-Controlling Interests</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we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 Transaction Agreements provide for, among other things and subject to the terms and conditions therein, the exchange of the sellers’ equity interests in the Asset Class Entities, as applicable, for a combination of (i) newly-created Class D equity interests (“Class D units”) in the Partnership with terms substantially similar to the Partnership’s existing Class C units, in the case of SRA and SRE, or shares of Class A common stock, in the case of SPD, and (ii) cash (at our discretion for all exchanges except the initial exchange), in up to ten annual exchanges (or up to fifteen annual exchanges in certain circumstances in the case of the sellers of SRA equity interests).</w:t>
      </w:r>
    </w:p>
    <w:p>
      <w:pPr>
        <w:spacing w:after="0" w:line="192"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The portion of the equity interests to be acquired in each annual exchange is set forth in an exchange schedule attached to each Transaction Agreement and is approximately 5% of each Asset Class Entity on each contemplated annual exchange date. The amount of consideration to be delivered will be calculated using exchange ratios determined each year based on a formula establishing an assumed value of each Asset Class Entity based on its estimated adjusted net income, relative to an adjusted trading multiple for our Class A common stock relative to our estimated adjusted net income. The Transaction Agreement specifies a minimum adjusted trading multiple for the exchange to take place, in which case if not met the exchange would be skipped and combined in a subsequent year if and when the minimum adjusted trading multiple was met. For all of the exchanges after the initial exchange, the settlement by cash or equity is at our discretion.</w:t>
      </w:r>
    </w:p>
    <w:p>
      <w:pPr>
        <w:spacing w:after="0" w:line="18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Pursuant to each Transaction Agreement, and subject to receipt of required regulatory and other approvals, the consideration for the first exchange was calculated using a reference date of April 1, 2024 (the “Initial Reference Date”) and the first exchange was consummated promptly following the Initial Reference Date upon the satisfaction or waiver of the conditions set forth in such Transaction Agreement applicable to the first exchange, including publication of our audited financial statements for the fiscal year ended March 31, 2024. The Transaction Agreements also provide for up to nine subsequent annual exchanges (or up to 14 subsequent exchanges in certain circumstances in the case of SRA), in each case with a calculation reference date of April 1 and consummation promptly following satisfaction or waiver of the conditions set forth in such Transaction Agreement, including delivery of our audited financial statements. Each Transaction Agreement provides that beginning after the fifth annual exchange, future exchanges may be accelerated into one final exchange in certain circumstances.</w:t>
      </w:r>
    </w:p>
    <w:p>
      <w:pPr>
        <w:spacing w:after="0" w:line="189"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9"/>
          <w:szCs w:val="19"/>
          <w:color w:val="auto"/>
        </w:rPr>
        <w:t>On May 31, 2024, we completed the first annual exchange (the “2024 Exchange”) to acquire approximately 5% of the equity interests of each of SRA, SRE and SPD pursuant to the Transaction Agreements dated as of February 7, 2024. As a result of the 2024 Exchange, the Partnership now owns approximately 54% of the outstanding equity interests of SRA, 56% of the outstanding equity interests of SRE and 54% of the outstanding equity interests of SPD. The aggregate consideration paid by us in the 2024 Exchange was approximately</w:t>
      </w:r>
    </w:p>
    <w:p>
      <w:pPr>
        <w:spacing w:after="0" w:line="3" w:lineRule="exact"/>
        <w:rPr>
          <w:sz w:val="20"/>
          <w:szCs w:val="20"/>
          <w:color w:val="auto"/>
        </w:rPr>
      </w:pPr>
    </w:p>
    <w:p>
      <w:pPr>
        <w:ind w:left="5520" w:right="1660" w:hanging="5512"/>
        <w:spacing w:after="0" w:line="858" w:lineRule="auto"/>
        <w:tabs>
          <w:tab w:leader="none" w:pos="23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million in cash, (ii) 513,394 shares of Class A common stock and (iii) 2,239,185 Class D units of the Partnership.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5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9"/>
          <w:szCs w:val="19"/>
          <w:color w:val="auto"/>
        </w:rPr>
        <w:t>In connection with the transactions contemplated by the SRA Transaction Agreement and SRE Transaction Agreement, we entered into a Class D Exchange Agreement (the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in connection with the SRA Transaction Agreement and SRE Transaction Agreement on a one-for-one basis with shares of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2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9"/>
          <w:szCs w:val="19"/>
          <w:color w:val="auto"/>
        </w:rPr>
        <w:t>In June 2024, we issued 1,731,807 shares of Class A common stock to certain limited partners of the Partnership in exchange for 1,731,807 Class B units in accordance with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 On the same date, we also issued 71,766 shares of Class A common stock to certain limited partners of the Partnership in exchange for 71,766 Class C units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 A corresponding number of Class A units of the Partnership were issued to us.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2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0"/>
          <w:szCs w:val="20"/>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Class C units and Class D units held by partners of the Partnership in our consolidated financial statements.</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Pursuant to the StepStone Limited Partnership Agreement, the Class B Exchange Agreement, the Class C Exchange Agreement and the Class D Exchange Agreement that SSG and the Partnership entered into with partners holding Class B units, Class C units and Class D units of the Partnership, respectively, each Class B unit, Class C unit or Class D unit is exchangeable for one share of SSG’s Class A common stock or, at SSG’s election, for cash, subject to certain restrictions specified in the relevant exchange agreement. When a Class B unit, Class C unit or Class D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and Class D units.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diagram below illustrates our organizational structure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160020</wp:posOffset>
            </wp:positionV>
            <wp:extent cx="5452110" cy="2357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sum to 100% due to rounding.</w:t>
      </w:r>
    </w:p>
    <w:p>
      <w:pPr>
        <w:spacing w:after="0" w:line="27"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 of the Partnership other than StepStone Group Inc. are: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which holds a 100% general partner interest and no economic interests;</w:t>
      </w:r>
    </w:p>
    <w:p>
      <w:pPr>
        <w:spacing w:after="0" w:line="9" w:lineRule="exact"/>
        <w:rPr>
          <w:rFonts w:ascii="Times New Roman" w:cs="Times New Roman" w:eastAsia="Times New Roman" w:hAnsi="Times New Roman"/>
          <w:sz w:val="18"/>
          <w:szCs w:val="18"/>
          <w:color w:val="auto"/>
        </w:rPr>
      </w:pPr>
    </w:p>
    <w:p>
      <w:pPr>
        <w:ind w:left="1300" w:right="260" w:hanging="644"/>
        <w:spacing w:after="0" w:line="250" w:lineRule="auto"/>
        <w:tabs>
          <w:tab w:leader="none" w:pos="12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employee owners and outside investors, all of whom own Class B units and an equivalent number of shares of Class B common stock;</w:t>
      </w:r>
    </w:p>
    <w:p>
      <w:pPr>
        <w:ind w:left="1300" w:hanging="644"/>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C units;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D units.</w:t>
      </w:r>
    </w:p>
    <w:p>
      <w:pPr>
        <w:spacing w:after="0" w:line="9" w:lineRule="exact"/>
        <w:rPr>
          <w:rFonts w:ascii="Times New Roman" w:cs="Times New Roman" w:eastAsia="Times New Roman" w:hAnsi="Times New Roman"/>
          <w:sz w:val="18"/>
          <w:szCs w:val="18"/>
          <w:color w:val="auto"/>
        </w:rPr>
      </w:pPr>
    </w:p>
    <w:p>
      <w:pPr>
        <w:ind w:left="660" w:right="100" w:hanging="652"/>
        <w:spacing w:after="0" w:line="250"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100" w:hanging="652"/>
        <w:spacing w:after="0" w:line="255"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pacing w:after="0" w:line="18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June 30, 2024 the Sunset Holders collectively maintained direct or indirect beneficial ownership of approximately 30.4% of the Class A common stock (determined assuming all outstanding Class B units have been exchanged for Class A common stock) and approximately 57.1% of the aggregate voting power of our outstanding Class A common stock and Class B common stock.</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generate revenues primarily from management and advisory fees, incentive fees and allocations of carried interest.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 xml:space="preserve">Management and advisory fees, net, consist of fees received from managing SMAs and focused commingled funds, advisory, data and administrative services, and portfolio analytics and reporting. Management fees include income-based incentive fees, which are predictable and recurring in nature and paid quarterly based on net investment income of certain funds that are regulated as a business development company (“BDC”). </w:t>
      </w:r>
      <w:r>
        <w:rPr>
          <w:rFonts w:ascii="Times New Roman" w:cs="Times New Roman" w:eastAsia="Times New Roman" w:hAnsi="Times New Roman"/>
          <w:sz w:val="20"/>
          <w:szCs w:val="20"/>
          <w:color w:val="000000"/>
        </w:rPr>
        <w:t>Capital gains-based incentive fees from BDC funds are recognized as performance fees. There have been no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capital-gains based incentive fees recognized to date.</w:t>
      </w:r>
    </w:p>
    <w:p>
      <w:pPr>
        <w:spacing w:after="0" w:line="192" w:lineRule="exact"/>
        <w:rPr>
          <w:sz w:val="20"/>
          <w:szCs w:val="20"/>
          <w:color w:val="auto"/>
        </w:rPr>
      </w:pPr>
    </w:p>
    <w:p>
      <w:pPr>
        <w:ind w:left="660" w:right="20" w:hanging="328"/>
        <w:spacing w:after="0" w:line="276" w:lineRule="auto"/>
        <w:tabs>
          <w:tab w:leader="none" w:pos="64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0.40% and 0.39% of average FEAUM for the twelve months ended June 30, 2023 and 2024, respectively.</w:t>
      </w:r>
    </w:p>
    <w:p>
      <w:pPr>
        <w:spacing w:after="0" w:line="156" w:lineRule="exact"/>
        <w:rPr>
          <w:rFonts w:ascii="Times New Roman" w:cs="Times New Roman" w:eastAsia="Times New Roman" w:hAnsi="Times New Roman"/>
          <w:sz w:val="19"/>
          <w:szCs w:val="19"/>
          <w:color w:val="auto"/>
        </w:rPr>
      </w:pPr>
    </w:p>
    <w:p>
      <w:pPr>
        <w:ind w:left="660" w:hanging="328"/>
        <w:spacing w:after="0" w:line="253"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0.84% and 0.99% of average FEAUM for the twelve months ended June 30, 2023 and 2024, respectively, and primarily reflected the timing of new funds, and shifts in asset class mix.</w:t>
      </w:r>
    </w:p>
    <w:p>
      <w:pPr>
        <w:spacing w:after="0" w:line="192" w:lineRule="exact"/>
        <w:rPr>
          <w:rFonts w:ascii="Times New Roman" w:cs="Times New Roman" w:eastAsia="Times New Roman" w:hAnsi="Times New Roman"/>
          <w:sz w:val="20"/>
          <w:szCs w:val="20"/>
          <w:color w:val="auto"/>
        </w:rPr>
      </w:pPr>
    </w:p>
    <w:p>
      <w:pPr>
        <w:ind w:left="660" w:right="100" w:hanging="328"/>
        <w:spacing w:after="0" w:line="261"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The weighted-average management fee rate across SMAs and focused commingled funds was approximately 0.55% and 0.61% of average FEAUM for the twelve months ended June 30, 2023 and 2024, respectively, and primarily reflected the timing of new funds and shifts in mix between SMAs and focused commingled funds.</w:t>
      </w:r>
    </w:p>
    <w:p>
      <w:pPr>
        <w:spacing w:after="0" w:line="167" w:lineRule="exact"/>
        <w:rPr>
          <w:rFonts w:ascii="Times New Roman" w:cs="Times New Roman" w:eastAsia="Times New Roman" w:hAnsi="Times New Roman"/>
          <w:sz w:val="20"/>
          <w:szCs w:val="20"/>
          <w:color w:val="auto"/>
        </w:rPr>
      </w:pPr>
    </w:p>
    <w:p>
      <w:pPr>
        <w:ind w:left="660" w:right="40" w:hanging="328"/>
        <w:spacing w:after="0" w:line="257" w:lineRule="auto"/>
        <w:tabs>
          <w:tab w:leader="none" w:pos="648"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Fee revenues from advisory, StepStone Portfolio Analytics &amp; Reporting (“SPAR”), SPI Research or administrative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72" w:lineRule="exact"/>
        <w:rPr>
          <w:rFonts w:ascii="Times New Roman" w:cs="Times New Roman" w:eastAsia="Times New Roman" w:hAnsi="Times New Roman"/>
          <w:sz w:val="20"/>
          <w:szCs w:val="20"/>
          <w:color w:val="231F20"/>
        </w:rPr>
      </w:pPr>
    </w:p>
    <w:p>
      <w:pPr>
        <w:ind w:left="660" w:right="20" w:hanging="328"/>
        <w:spacing w:after="0" w:line="258"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8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jc w:val="both"/>
        <w:ind w:right="300" w:firstLine="648"/>
        <w:spacing w:after="0" w:line="310" w:lineRule="auto"/>
        <w:rPr>
          <w:sz w:val="20"/>
          <w:szCs w:val="20"/>
          <w:color w:val="auto"/>
        </w:rPr>
      </w:pPr>
      <w:r>
        <w:rPr>
          <w:rFonts w:ascii="Times New Roman" w:cs="Times New Roman" w:eastAsia="Times New Roman" w:hAnsi="Times New Roman"/>
          <w:sz w:val="19"/>
          <w:szCs w:val="19"/>
          <w:color w:val="auto"/>
        </w:rPr>
        <w:t>We earn two types of performance fee revenues: incentive fees and carried interest allocations, as described below. As of June 30, 2024, we had over $80 billion of performance fee-eligible capital (excluding certain legacy Greenspring funds) across over 200 programs.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34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 xml:space="preserve">Incentive fees </w:t>
      </w:r>
      <w:r>
        <w:rPr>
          <w:rFonts w:ascii="Times New Roman" w:cs="Times New Roman" w:eastAsia="Times New Roman" w:hAnsi="Times New Roman"/>
          <w:sz w:val="20"/>
          <w:szCs w:val="20"/>
          <w:color w:val="231F20"/>
        </w:rPr>
        <w:t>comprise fees earned from certain client investment mandates for which we do not have a general partnership interest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 a StepStone Fund. Incentive fees 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231F20"/>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7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Carried interest allocations </w:t>
      </w:r>
      <w:r>
        <w:rPr>
          <w:rFonts w:ascii="Times New Roman" w:cs="Times New Roman" w:eastAsia="Times New Roman" w:hAnsi="Times New Roman"/>
          <w:sz w:val="20"/>
          <w:szCs w:val="20"/>
          <w:color w:val="231F20"/>
        </w:rPr>
        <w:t>include the allocation of performance-based fees, commonly referred to as carried interest, to us from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limited partners in the StepStone Funds in 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w:t>
      </w:r>
    </w:p>
    <w:p>
      <w:pPr>
        <w:spacing w:after="0" w:line="188"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19"/>
          <w:szCs w:val="19"/>
          <w:i w:val="1"/>
          <w:iCs w:val="1"/>
          <w:color w:val="231F20"/>
        </w:rPr>
        <w:t xml:space="preserve">Legacy Greenspring carried interest allocations </w:t>
      </w:r>
      <w:r>
        <w:rPr>
          <w:rFonts w:ascii="Times New Roman" w:cs="Times New Roman" w:eastAsia="Times New Roman" w:hAnsi="Times New Roman"/>
          <w:sz w:val="19"/>
          <w:szCs w:val="19"/>
          <w:color w:val="231F20"/>
        </w:rPr>
        <w:t>include the allocation of carried interest to legacy Greenspring general partner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w:t>
      </w:r>
    </w:p>
    <w:p>
      <w:pPr>
        <w:spacing w:after="0" w:line="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231F20"/>
        </w:rPr>
        <w:t>interest allocations in respect of such legacy Greenspring funds are payable to employees who are considered affiliates to us and are therefore reflected as legacy Greenspring performance fee-related compensation in the consolidated statements of income.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35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17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June 30, 2024 and March 31, 2024, no material amounts for potential clawback obligations had been accrued.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primarily includes salaries, bonuses, employee benefits and employer-related payroll taxes.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 related awards or arrangements to certain employees and directors.</w:t>
      </w:r>
    </w:p>
    <w:p>
      <w:pPr>
        <w:spacing w:after="0" w:line="229"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Performance fee-related compensation </w:t>
      </w:r>
      <w:r>
        <w:rPr>
          <w:rFonts w:ascii="Times New Roman" w:cs="Times New Roman" w:eastAsia="Times New Roman" w:hAnsi="Times New Roman"/>
          <w:sz w:val="19"/>
          <w:szCs w:val="19"/>
          <w:color w:val="auto"/>
        </w:rPr>
        <w:t>represents the portion of carried interest allocation revenue and incentive fees that have been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awarded to employees as a form of long-term incentive compensation. Performance fee-related compensation is generally tied to the investment performance of the StepStone Funds. </w:t>
      </w:r>
      <w:r>
        <w:rPr>
          <w:rFonts w:ascii="Times New Roman" w:cs="Times New Roman" w:eastAsia="Times New Roman" w:hAnsi="Times New Roman"/>
          <w:sz w:val="19"/>
          <w:szCs w:val="19"/>
          <w:color w:val="231F20"/>
        </w:rPr>
        <w:t>Approximately 50% of carried interest allocation revenue is awarded to employees as part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31F20"/>
        </w:rPr>
        <w:t>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On April 1, 2024, certain of our non-wholly 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 The class of interests relating to awards of carried interest allocations granted to employees were previously presented as carried interest-related compensation expense.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3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Legacy Greenspring performance fee-related compensation </w:t>
      </w:r>
      <w:r>
        <w:rPr>
          <w:rFonts w:ascii="Times New Roman" w:cs="Times New Roman" w:eastAsia="Times New Roman" w:hAnsi="Times New Roman"/>
          <w:sz w:val="20"/>
          <w:szCs w:val="20"/>
          <w:color w:val="auto"/>
        </w:rPr>
        <w:t>represents the legacy Greenspring carried interest allocations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entirely payable to certain employees. Legacy Greenspring </w:t>
      </w:r>
      <w:r>
        <w:rPr>
          <w:rFonts w:ascii="Times New Roman" w:cs="Times New Roman" w:eastAsia="Times New Roman" w:hAnsi="Times New Roman"/>
          <w:sz w:val="20"/>
          <w:szCs w:val="20"/>
          <w:color w:val="231F20"/>
        </w:rPr>
        <w:t>carried interest-related compensation is accounted for as compensation expense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General, administrative and other </w:t>
      </w:r>
      <w:r>
        <w:rPr>
          <w:rFonts w:ascii="Times New Roman" w:cs="Times New Roman" w:eastAsia="Times New Roman" w:hAnsi="Times New Roman"/>
          <w:sz w:val="20"/>
          <w:szCs w:val="20"/>
          <w:color w:val="auto"/>
        </w:rPr>
        <w:t>includes occupancy, travel and related costs, insurance, legal and other professional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amortization of intangible assets, system-related costs, and other general costs associated with operating our business. General, administrative and other includes costs associated with the Consolidated Funds. Expenses of the Consolidated Funds have no impact on net income or loss attributable to us to the extent such expenses are borne by third-party investors.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Investment income (loss) </w:t>
      </w:r>
      <w:r>
        <w:rPr>
          <w:rFonts w:ascii="Times New Roman" w:cs="Times New Roman" w:eastAsia="Times New Roman" w:hAnsi="Times New Roman"/>
          <w:sz w:val="20"/>
          <w:szCs w:val="20"/>
          <w:color w:val="231F20"/>
        </w:rPr>
        <w:t>primarily represents our share of earnings (losses) from the investments we make in our SMAs and focused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78"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231F20"/>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177" w:lineRule="exact"/>
        <w:rPr>
          <w:sz w:val="20"/>
          <w:szCs w:val="20"/>
          <w:color w:val="auto"/>
        </w:rPr>
      </w:pPr>
    </w:p>
    <w:p>
      <w:pPr>
        <w:ind w:right="460"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 xml:space="preserve">Legacy Greenspring investment income (loss) </w:t>
      </w:r>
      <w:r>
        <w:rPr>
          <w:rFonts w:ascii="Times New Roman" w:cs="Times New Roman" w:eastAsia="Times New Roman" w:hAnsi="Times New Roman"/>
          <w:sz w:val="20"/>
          <w:szCs w:val="20"/>
          <w:color w:val="231F20"/>
        </w:rPr>
        <w:t>represents our share of earnings (losses) from the investments we make in certain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Investment income (loss) of Consolidated Funds </w:t>
      </w:r>
      <w:r>
        <w:rPr>
          <w:rFonts w:ascii="Times New Roman" w:cs="Times New Roman" w:eastAsia="Times New Roman" w:hAnsi="Times New Roman"/>
          <w:sz w:val="20"/>
          <w:szCs w:val="20"/>
          <w:color w:val="auto"/>
        </w:rPr>
        <w:t>represents gains (losses) from the investments held by the Consolidated Funds.</w:t>
      </w:r>
    </w:p>
    <w:p>
      <w:pPr>
        <w:spacing w:after="0" w:line="229" w:lineRule="exact"/>
        <w:rPr>
          <w:sz w:val="20"/>
          <w:szCs w:val="20"/>
          <w:color w:val="auto"/>
        </w:rPr>
      </w:pPr>
    </w:p>
    <w:p>
      <w:pPr>
        <w:ind w:right="1020" w:firstLine="648"/>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income earned on cash and cash equivalents, restricted cash,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primarily consists of the interest expense on the Revolver, as well as the related amortization of deferred financing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w:t>
      </w:r>
    </w:p>
    <w:p>
      <w:pPr>
        <w:spacing w:after="0" w:line="210"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Other income (loss) </w:t>
      </w:r>
      <w:r>
        <w:rPr>
          <w:rFonts w:ascii="Times New Roman" w:cs="Times New Roman" w:eastAsia="Times New Roman" w:hAnsi="Times New Roman"/>
          <w:sz w:val="20"/>
          <w:szCs w:val="20"/>
          <w:color w:val="auto"/>
        </w:rPr>
        <w:t>includes foreign currency transaction gains and losses, non-operating activities,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0"/>
          <w:szCs w:val="20"/>
          <w:color w:val="231F20"/>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condensed consolidated statements of income. As a result, the Partnership does not record U.S. federal and state income taxes on income generated by the Partnership or its subsidiaries, except for certain local and foreign income taxes discussed above.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3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4"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legacy Greenspring entities </w:t>
      </w:r>
      <w:r>
        <w:rPr>
          <w:rFonts w:ascii="Times New Roman" w:cs="Times New Roman" w:eastAsia="Times New Roman" w:hAnsi="Times New Roman"/>
          <w:sz w:val="19"/>
          <w:szCs w:val="19"/>
          <w:color w:val="auto"/>
        </w:rPr>
        <w:t>represent the economic interests in the legacy Greenspring general partner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entities. We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59"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the Partnership </w:t>
      </w:r>
      <w:r>
        <w:rPr>
          <w:rFonts w:ascii="Times New Roman" w:cs="Times New Roman" w:eastAsia="Times New Roman" w:hAnsi="Times New Roman"/>
          <w:sz w:val="19"/>
          <w:szCs w:val="19"/>
          <w:color w:val="auto"/>
        </w:rPr>
        <w:t>represent the economic interests in the Partnership held by the Class B, Class C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Class D 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45"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78" w:lineRule="exact"/>
        <w:rPr>
          <w:sz w:val="20"/>
          <w:szCs w:val="20"/>
          <w:color w:val="auto"/>
        </w:rPr>
      </w:pPr>
    </w:p>
    <w:p>
      <w:pPr>
        <w:ind w:right="80" w:firstLine="648"/>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Redeemable non-controlling interests in subsidiaries </w:t>
      </w:r>
      <w:r>
        <w:rPr>
          <w:rFonts w:ascii="Times New Roman" w:cs="Times New Roman" w:eastAsia="Times New Roman" w:hAnsi="Times New Roman"/>
          <w:sz w:val="19"/>
          <w:szCs w:val="19"/>
          <w:color w:val="auto"/>
        </w:rPr>
        <w:t>represent the redeemable economic interests in the consolidated subsidiaries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Partnership held by third parties and employees in those entities that were established in connection with the Transaction Agreements.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5" w:name="page56"/>
    <w:bookmarkEnd w:id="55"/>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33"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We monitor certain operating metrics that are either common to the asset management industry or that we believe provide important data regarding our business.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20"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8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June 30, 2024 reflects final data for the prior period (March 31, 2024), adjusted for net new client account activity through June 30, 2024. NAV data for underlying investments is as of March 31, 2024, as reported by underlying managers up to the business day occurring on or after 100 days following March 31, 2024. When NAV data is not available by the business day occurring on or after 100 days following March 31, 2024, such NAVs are adjusted for cash activity following the last available reported NAV.</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We believe AUA is a useful metric for assessing the relative size of our advisory business.</w:t>
      </w:r>
    </w:p>
    <w:p>
      <w:pPr>
        <w:spacing w:after="0" w:line="17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231F20"/>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June 30, 2024 reflects final data for the prior period (March 31, 2024), adjusted for net new client account activity through June 30, 2024. NAV data for underlying investments is as of March 31, 2024, as reported by underlying managers up to the business day occurring on or after 100 days following March 31, 2024. When NAV data is not available by the business day occurring on or after 100 days following March 31, 2024, such NAVs are adjusted for cash activity following the last available reported NAV.</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We believe FEAUM is a useful metric in order to assess assets forming the basis of our management fee revenue.</w:t>
      </w:r>
    </w:p>
    <w:p>
      <w:pPr>
        <w:spacing w:after="0" w:line="193"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231F20"/>
        </w:rPr>
        <w:t>Our calculation of FEAUM may differ from the calculations of other asset managers and, as a result, may not be comparable to similar measures presented by other asset managers.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Undeployed Fee-Earning Capital</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Undeployed fee-earning capital represents the amount of capital commitments to StepStone Funds that has not yet been invested or considered active but will generate management fee revenue once this capital is invested or activated. We believe undeployed fee-earning capital is a useful metric for measuring the amount of capital that we can put to work in the future and thus earn management fee revenue thereon.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 of StepStone Funds</w:t>
      </w:r>
    </w:p>
    <w:p>
      <w:pPr>
        <w:spacing w:after="0" w:line="2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The activity of the Consolidated Funds is reflected within the condensed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condensed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7" w:name="page58"/>
    <w:bookmarkEnd w:id="57"/>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33"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0"/>
          <w:szCs w:val="20"/>
          <w:color w:val="auto"/>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unaudited consolidated results of operations for the periods presented. The information is derived from our accompanying condensed consolidated financial statements prepared in accordance with GAAP.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3"/>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178,015</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138,115</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Incentive fees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Realized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Unrealized</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(25,170)</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49,364</w:t>
            </w:r>
          </w:p>
        </w:tc>
        <w:tc>
          <w:tcPr>
            <w:tcW w:w="0" w:type="dxa"/>
            <w:vAlign w:val="bottom"/>
          </w:tcPr>
          <w:p>
            <w:pPr>
              <w:spacing w:after="0"/>
              <w:rPr>
                <w:sz w:val="1"/>
                <w:szCs w:val="1"/>
                <w:color w:val="auto"/>
              </w:rPr>
            </w:pPr>
          </w:p>
        </w:tc>
      </w:tr>
      <w:tr>
        <w:trPr>
          <w:trHeight w:val="195"/>
        </w:trPr>
        <w:tc>
          <w:tcPr>
            <w:tcW w:w="83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63,837</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(9,089)</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(23,947)</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performance fees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8,386</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39,896</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revenues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186,401</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178,011</w:t>
            </w:r>
          </w:p>
        </w:tc>
        <w:tc>
          <w:tcPr>
            <w:tcW w:w="0" w:type="dxa"/>
            <w:vAlign w:val="bottom"/>
          </w:tcPr>
          <w:p>
            <w:pPr>
              <w:spacing w:after="0"/>
              <w:rPr>
                <w:sz w:val="1"/>
                <w:szCs w:val="1"/>
                <w:color w:val="auto"/>
              </w:rPr>
            </w:pPr>
          </w:p>
        </w:tc>
      </w:tr>
      <w:tr>
        <w:trPr>
          <w:trHeight w:val="151"/>
        </w:trPr>
        <w:tc>
          <w:tcPr>
            <w:tcW w:w="8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78,224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70,081</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8,472</w:t>
            </w:r>
          </w:p>
        </w:tc>
        <w:tc>
          <w:tcPr>
            <w:tcW w:w="0" w:type="dxa"/>
            <w:vAlign w:val="bottom"/>
          </w:tcPr>
          <w:p>
            <w:pPr>
              <w:spacing w:after="0"/>
              <w:rPr>
                <w:sz w:val="1"/>
                <w:szCs w:val="1"/>
                <w:color w:val="auto"/>
              </w:rPr>
            </w:pPr>
          </w:p>
        </w:tc>
      </w:tr>
      <w:tr>
        <w:trPr>
          <w:trHeight w:val="164"/>
        </w:trPr>
        <w:tc>
          <w:tcPr>
            <w:tcW w:w="83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Unrealized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Total expenses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Investment income</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Legacy Greenspring investment loss</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Interest expense</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Total other income</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Income before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Income tax expense</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Less: Net loss attributable to non-controlling interests in legacy Greenspring entities</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the Partnership</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Less: Net income attributable to redeemable non-controlling interests in Consolidated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subsidiaries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 attributable to StepStone Group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20,848</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9,102</w:t>
            </w:r>
          </w:p>
        </w:tc>
      </w:tr>
      <w:tr>
        <w:trPr>
          <w:trHeight w:val="203"/>
        </w:trPr>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24,211</w:t>
            </w:r>
          </w:p>
        </w:tc>
      </w:tr>
      <w:tr>
        <w:trPr>
          <w:trHeight w:val="23"/>
        </w:trPr>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2"/>
        </w:trPr>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9,925</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33,313</w:t>
            </w:r>
          </w:p>
        </w:tc>
      </w:tr>
      <w:tr>
        <w:trPr>
          <w:trHeight w:val="193"/>
        </w:trPr>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(9,089)</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(23,947)</w:t>
            </w:r>
          </w:p>
        </w:tc>
      </w:tr>
      <w:tr>
        <w:trPr>
          <w:trHeight w:val="23"/>
        </w:trPr>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2"/>
        </w:trPr>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98,239</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87,919</w:t>
            </w:r>
          </w:p>
        </w:tc>
      </w:tr>
      <w:tr>
        <w:trPr>
          <w:trHeight w:val="193"/>
        </w:trPr>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41,011</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33,277</w:t>
            </w:r>
          </w:p>
        </w:tc>
      </w:tr>
      <w:tr>
        <w:trPr>
          <w:trHeight w:val="23"/>
        </w:trPr>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139,250</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121,196</w:t>
            </w:r>
          </w:p>
        </w:tc>
      </w:tr>
      <w:tr>
        <w:trPr>
          <w:trHeight w:val="341"/>
        </w:trPr>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w:t>
            </w:r>
          </w:p>
        </w:tc>
      </w:tr>
      <w:tr>
        <w:trPr>
          <w:trHeight w:val="203"/>
        </w:trPr>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r>
      <w:tr>
        <w:trPr>
          <w:trHeight w:val="203"/>
        </w:trPr>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r>
      <w:tr>
        <w:trPr>
          <w:trHeight w:val="203"/>
        </w:trPr>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03"/>
        </w:trPr>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r>
      <w:tr>
        <w:trPr>
          <w:trHeight w:val="202"/>
        </w:trPr>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23"/>
        </w:trPr>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w:t>
            </w:r>
          </w:p>
        </w:tc>
      </w:tr>
      <w:tr>
        <w:trPr>
          <w:trHeight w:val="188"/>
        </w:trPr>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54,842</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58,043</w:t>
            </w:r>
          </w:p>
        </w:tc>
      </w:tr>
      <w:tr>
        <w:trPr>
          <w:trHeight w:val="193"/>
        </w:trPr>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6,797</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8,597</w:t>
            </w:r>
          </w:p>
        </w:tc>
      </w:tr>
      <w:tr>
        <w:trPr>
          <w:trHeight w:val="23"/>
        </w:trPr>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2"/>
        </w:trPr>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48,045</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49,446</w:t>
            </w:r>
          </w:p>
        </w:tc>
      </w:tr>
      <w:tr>
        <w:trPr>
          <w:trHeight w:val="193"/>
        </w:trPr>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16,615</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9,630</w:t>
            </w:r>
          </w:p>
        </w:tc>
      </w:tr>
      <w:tr>
        <w:trPr>
          <w:trHeight w:val="203"/>
        </w:trPr>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r>
      <w:tr>
        <w:trPr>
          <w:trHeight w:val="203"/>
        </w:trPr>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19,860</w:t>
            </w:r>
          </w:p>
        </w:tc>
      </w:tr>
      <w:tr>
        <w:trPr>
          <w:trHeight w:val="202"/>
        </w:trPr>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w:t>
            </w:r>
          </w:p>
        </w:tc>
      </w:tr>
      <w:tr>
        <w:trPr>
          <w:trHeight w:val="203"/>
        </w:trPr>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13,328</w:t>
            </w:r>
          </w:p>
        </w:tc>
        <w:tc>
          <w:tcPr>
            <w:tcW w:w="24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21,269</w:t>
            </w:r>
          </w:p>
        </w:tc>
      </w:tr>
      <w:tr>
        <w:trPr>
          <w:trHeight w:val="27"/>
        </w:trPr>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54" w:lineRule="exact"/>
        <w:rPr>
          <w:sz w:val="20"/>
          <w:szCs w:val="20"/>
          <w:color w:val="auto"/>
        </w:rPr>
      </w:pPr>
    </w:p>
    <w:p>
      <w:pPr>
        <w:sectPr>
          <w:pgSz w:w="11900" w:h="16838" w:orient="portrait"/>
          <w:cols w:equalWidth="0" w:num="2">
            <w:col w:w="7640" w:space="720"/>
            <w:col w:w="288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_______________________________</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8" w:name="page59"/>
    <w:bookmarkEnd w:id="58"/>
    <w:p>
      <w:pPr>
        <w:spacing w:after="0" w:line="351" w:lineRule="exact"/>
        <w:rPr>
          <w:sz w:val="20"/>
          <w:szCs w:val="20"/>
          <w:color w:val="auto"/>
        </w:rPr>
      </w:pPr>
    </w:p>
    <w:p>
      <w:pPr>
        <w:ind w:left="660" w:right="200" w:hanging="652"/>
        <w:spacing w:after="0" w:line="302" w:lineRule="auto"/>
        <w:tabs>
          <w:tab w:leader="none" w:pos="65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amounts attributable to consolidated VIEs for which we did not acquire any direct economic interests. See notes 3 and 5 to our condensed consolidated financial statements included elsewhere in this quarterly report.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2024 Compared to Three Months Ended June 30, 2023</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Total revenues increased $8.4 million, or 5%, to $186.4 million for the three months ended June 30, 2024 as compared to the three months ended June 30, 2023. The overall increase was driven by higher management and advisory fees, net, a lower reversal of legacy Greenspring carried interest allocations in the current period as compared to the prior year period and higher incentive fees, partially offset by a decrease in carried interest allocations, in each case, as described below.</w:t>
      </w:r>
    </w:p>
    <w:p>
      <w:pPr>
        <w:spacing w:after="0" w:line="17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Management and advisory fees, net increased $39.9 million, or 29%, to $178.0 million for the three months ended June 30, 2024 as compared to the three months ended June 30, 2023. The increase was driven by new client activity and 12% growth in average FEAUM across the platform. The three months ended June 30, 2024 included retroactive fees of $19.1 million from the closings of StepStone’s private equity secondaries, special situation real estate secondaries and infrastructure co-investment funds. The three months ended June 30, 2023 included retroactive fees of $2.8 million from the closings of StepStone’s private equity secondaries, infrastructure co-investment and StepStone VC Global Partners XI funds.</w:t>
      </w:r>
    </w:p>
    <w:p>
      <w:pPr>
        <w:spacing w:after="0" w:line="192"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Incentive fees were $0.8 million for the three months ended June 30, 2024 as compared to six thousand dollars for the three months ended June 30, 2023, reflecting positive investment performance and higher realization activity.</w:t>
      </w:r>
    </w:p>
    <w:p>
      <w:pPr>
        <w:spacing w:after="0" w:line="173"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Realized carried interest allocation revenues increased $27.3 million, or 189%, to $41.8 million for the three months ended June 30, 2024 as compared to the three months ended June 30, 2023, reflecting higher realization activity within our private equity and infrastructure funds. Unrealized carried interest allocation revenues include the reversal of realized carried interest allocation revenues. Excluding the reversal of $41.8 million, unrealized carried interest allocation revenues decreased $47.2 million, or 74%, to $16.6 million for the three months ended June 30, 2024 as compared to the three months ended June 30, 2023. The decrease in unrealized carried interest allocations for the three months ended June 30, 2024 primarily reflected a smaller net increase in the cumulative allocation of gains associated with the underlying portfolios within our private equity funds.</w:t>
      </w:r>
    </w:p>
    <w:p>
      <w:pPr>
        <w:spacing w:after="0" w:line="19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Legacy Greenspring carried interest allocation revenues increased $14.9 million, or 62%, to $(9.1) million for the three months ended June 30, 2024 as compared to the three months ended June 30, 2023 as a result of lower net unrealized depreciation in the fair value of certain underlying fund investments in the current year period as compared to the prior year period. The three months ended June 30, 2024 reflect gross realized carried interest allocations of $6.6 million and unrealized carried interest allocations, net of the reversal of realized carried interest allocations, of $(15.7) million. The three months ended June 30, 2023 reflect gross realized carried interest allocations of $0.9 million and unrealized carried interest allocations, net of the reversal of realized carried interest allocations, of $(24.9) million.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2024 Compared to Three Months Ended June 30, 2023</w:t>
      </w:r>
    </w:p>
    <w:p>
      <w:pPr>
        <w:spacing w:after="0" w:line="23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Total expenses increased $18.1 million, or 15%, to $139.3 million for the three months ended June 30, 2024 as compared to the three months ended June 30, 2023. The overall increase resulted from a lower reversal of legacy Greenspring performance fee-related compensation in the current year period as compared to the prior year period, and increases in equity-based compensation, cash-based compensation, and general, administrative and other expenses, partially offset by a decrease in performance fee-related compensation in each case, as described below.</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35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$8.1 million, or 12%, to $78.2 million for the three months ended June 30, 2024 as compared to the three months ended June 30, 2023, due to increased staffing and compensation levels. Our average full-time headcount increased 4% in the current year period as compared to the prior year period.</w:t>
      </w:r>
    </w:p>
    <w:p>
      <w:pPr>
        <w:spacing w:after="0" w:line="181"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auto"/>
        </w:rPr>
        <w:t>Equity-based compensation increased $10.7 million, or 126%, to $19.2 million for the three months ended June 30, 2024 as compared to the three months ended June 30, 2023. The increase was primarily attributable to a $9.6 million increase in expenses related to liability classified awards in the current year period as compared to the prior year period, additional grants of RSUs made in February 2024 and no comparable expense for these grants in the prior year period, and expense related to the first offering period for the employee stock purchase plan.</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Performance fee-related compensation expense decreased $23.4 million, or 70%, to $9.9 million for the three months ended June 30, 2024 as compared to the three months ended June 30, 2023, primarily reflecting the decrease in carried interest allocation revenue. Realized performance fee-related compensation increased $11.7 million, or 129%, to $20.8 million for the three months ended June 30, 2024 as compared to the three months ended June 30, 2023, primarily reflecting higher realization activity.</w:t>
      </w:r>
    </w:p>
    <w:p>
      <w:pPr>
        <w:spacing w:after="0" w:line="17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performance fee-related compensation expense increased $14.9 million, or 62%, to $(9.1) million for the three months ended June 30, 2024 as compared to the three months ended June 30, 2023. The three months ended June 30, 2024 reflect gross realized performance fee-related compensation expense of $6.6 million and unrealized performance fee-related compensation expense, net of the reversal of realized performance fee-related compensation expense, of $(15.7) million. The three months ended June 30, 2023 reflect gross realized performance fee-related compensation expense of $0.9 million and unrealized performance fee-related compensation expense, net of the reversal of realized performance fee-related compensation expense, of $(24.9) million.</w:t>
      </w:r>
    </w:p>
    <w:p>
      <w:pPr>
        <w:spacing w:after="0" w:line="192"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increased $7.7 million, or 23%, to $41.0 million for the three months ended June 30, 2024 as compared to the three months ended June 30, 2023. The overall increase primarily reflected increases of $4.2 million due to loss on change in fair value for contingent consideration obligation as compared to gain on change in fair value for contingent consideration obligation in the prior period, $1.6 million in travel and associated costs for investment evaluation and client service, $0.9 million in marketing expenses, $0.7 million in professional fees and other general operating expenses.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2024 Compared to Three Months Ended June 30, 2023</w:t>
      </w:r>
    </w:p>
    <w:p>
      <w:pPr>
        <w:spacing w:after="0" w:line="233" w:lineRule="exact"/>
        <w:rPr>
          <w:sz w:val="20"/>
          <w:szCs w:val="20"/>
          <w:color w:val="auto"/>
        </w:rPr>
      </w:pPr>
    </w:p>
    <w:p>
      <w:pPr>
        <w:jc w:val="both"/>
        <w:ind w:right="42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decreased $0.5 million, or 16%, to $2.6 million for the three months ended June 30, 2024 as compared to the three months ended June 30, 2023, primarily reflecting overall changes in the valuations of the underlying investments in the StepStone Funds.</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investment loss decreased $1.6 million, or 56%, to $1.3 million for the three months ended June 30, 2024 as compared to the three months ended June 30, 2023. The three months ended June 30, 2024 reflected gross realized investment income of $0.9 million and unrealized investment loss, net of the reversal of realized investment income, of $2.1 million. The three months ended June 30, 2023 reflected gross realized investment income of $0.2 million and unrealized investment loss, net of the reversal of realized investment income, of $3.1 million.</w:t>
      </w:r>
    </w:p>
    <w:p>
      <w:pPr>
        <w:spacing w:after="0" w:line="19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of Consolidated Funds increased $5.3 million, or 223%, to $7.6 million for the three months ended June 30, 2024 as compared to the three months ended June 30, 2023, primarily reflecting overall changes in the valuations of the underlying investments of the Consolidated Funds.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351"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20"/>
          <w:szCs w:val="20"/>
          <w:color w:val="auto"/>
        </w:rPr>
        <w:t>Interest income increased $1.6 million, or 377%, to $2.1 million for the three months ended June 30, 2024 as compared to the three months ended June 30, 2023, primarily due to higher average interest rates earned on cash and cash equivalent balances and higher average cash and cash equivalent balances during the current year period, as compared with the prior year period. Interest income attributable to the Consolidated Funds was $0.9 million in the current year period as compared to $0.2 million in the prior year period.</w:t>
      </w:r>
    </w:p>
    <w:p>
      <w:pPr>
        <w:spacing w:after="0" w:line="172"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20"/>
          <w:szCs w:val="20"/>
          <w:color w:val="auto"/>
        </w:rPr>
        <w:t>Interest expense increased $1.0 million, or 49%, to $3.0 million for the three months ended June 30, 2024 as compared to the three months ended June 30, 2023. The increase was due to higher average interest rates and higher average outstanding balances under the Revolver during the current year period, as compared with the prior year period.</w:t>
      </w:r>
    </w:p>
    <w:p>
      <w:pPr>
        <w:spacing w:after="0" w:line="161"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20"/>
          <w:szCs w:val="20"/>
          <w:color w:val="auto"/>
        </w:rPr>
        <w:t>Other income (loss) decreased $0.6 million to a loss of $0.4 million for the three months ended June 30, 2024 as compared to the three months ended June 30, 2023, primarily reflecting net foreign currency transaction losses in the current period as compared with net foreign currency transaction gains in the prior year period.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right="880" w:firstLine="648"/>
        <w:spacing w:after="0" w:line="269" w:lineRule="auto"/>
        <w:rPr>
          <w:sz w:val="20"/>
          <w:szCs w:val="20"/>
          <w:color w:val="auto"/>
        </w:rPr>
      </w:pPr>
      <w:r>
        <w:rPr>
          <w:rFonts w:ascii="Times New Roman" w:cs="Times New Roman" w:eastAsia="Times New Roman" w:hAnsi="Times New Roman"/>
          <w:sz w:val="20"/>
          <w:szCs w:val="20"/>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17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Our effective income tax rate was 12.4% and 14.8% for the three months ended June 30, 2024 and 2023, respectively. Our overall effective tax rate in each of the periods described above is less than the statutory rate as a portion of income was allocated to non-controlling interests and the tax liability on such income is borne by the holders of non-controlling interests. For the three months ended June 30, 2024 as compared to the three months ended June 30, 2023, the primary rate difference was due to a decrease in tax expense associated with income allocated to non-controlling interests, partially offset by certain tax expense adjustments that were recorded to our outside tax basis difference in the Partnership for the three months ended June 30, 2023 that did not reoccur during the three months ended June 30, 2024.</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2024 Compared to Three Months Ended June 30, 2023</w:t>
      </w:r>
    </w:p>
    <w:p>
      <w:pPr>
        <w:spacing w:after="0" w:line="23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Income tax expense decreased $1.8 million, or 21%, to $6.8 million for the three months ended June 30, 2024 as compared to the three months ended June 30, 2023. The decrease in income tax expense was primarily driven by lower pre-tax income for the three months ended June 30, 2024 compared to the three months ended June 30, 2023.</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Non-Controlling Interests in Subsidiaries</w:t>
      </w:r>
    </w:p>
    <w:p>
      <w:pPr>
        <w:spacing w:after="0" w:line="22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$7.0 million, or 73%, to $16.6 million for the three months ended June 30, 2024 as compared to the three months ended June 30, 2023. The increase was primarily attributable to an increase in income generated by our consolidated subsidiaries not wholly-owned by us and an increase in our economic interests in the Asset Class Entities as a result of the Transaction Agreements.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Loss Attributable to Non-Controlling Interests in Legacy Greenspring Entities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loss attributable to non-controlling interests in legacy Greenspring entities was $1.3 million and $2.9 million for the three months ended June 30, 2024 and 2023, respectively.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Non-Controlling Interests in the Partnership</w:t>
      </w:r>
    </w:p>
    <w:p>
      <w:pPr>
        <w:spacing w:after="0" w:line="2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the Partnership represents the portion of net income or loss attributable to the interests held by the Class B, Class C and Class D unitholders of the Partnership. Net income attributable to non-controlling interests in the Partnership was $13.3 million and $19.9 million for the three months ended June 30, 2024 and 2023, respectively.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Consolidated Funds</w:t>
      </w:r>
    </w:p>
    <w:p>
      <w:pPr>
        <w:spacing w:after="0" w:line="233" w:lineRule="exact"/>
        <w:rPr>
          <w:sz w:val="20"/>
          <w:szCs w:val="20"/>
          <w:color w:val="auto"/>
        </w:rPr>
      </w:pPr>
    </w:p>
    <w:p>
      <w:pPr>
        <w:jc w:val="both"/>
        <w:ind w:right="42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Consolidated Funds was $5.7 million and $1.6 million for the three months ended June 30, 2024 and 2023, respectively, which represents income of the Consolidated Funds attributable to third-party investors.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Subsidiaries</w:t>
      </w:r>
    </w:p>
    <w:p>
      <w:pPr>
        <w:spacing w:after="0" w:line="233"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subsidiaries was $0.4 million for the three months ended June 30, 2024. There were no redeemable non-controlling interests in subsidiaries for the three months ended June 30, 2023.</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AUM was $169 billion as of June 30, 2024, $157 billion as of March 31, 2024 and $143 billion as of June 30,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20"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20"/>
          <w:szCs w:val="20"/>
          <w:color w:val="auto"/>
        </w:rPr>
        <w:t>Assets related to our advisory accounts were $531 billion as of June 30, 2024, $521 billion as of March 31, 2024 and $497 billion as of June 30, 2023.</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2024</w:t>
      </w:r>
    </w:p>
    <w:p>
      <w:pPr>
        <w:spacing w:after="0" w:line="233" w:lineRule="exact"/>
        <w:rPr>
          <w:sz w:val="20"/>
          <w:szCs w:val="20"/>
          <w:color w:val="auto"/>
        </w:rPr>
      </w:pPr>
    </w:p>
    <w:p>
      <w:pPr>
        <w:jc w:val="both"/>
        <w:ind w:right="460" w:firstLine="648"/>
        <w:spacing w:after="0" w:line="261" w:lineRule="auto"/>
        <w:rPr>
          <w:sz w:val="20"/>
          <w:szCs w:val="20"/>
          <w:color w:val="auto"/>
        </w:rPr>
      </w:pPr>
      <w:r>
        <w:rPr>
          <w:rFonts w:ascii="Times New Roman" w:cs="Times New Roman" w:eastAsia="Times New Roman" w:hAnsi="Times New Roman"/>
          <w:sz w:val="20"/>
          <w:szCs w:val="20"/>
          <w:color w:val="auto"/>
        </w:rPr>
        <w:t>FEAUM increased approximately $6.5 billion to $100.4 billion as of June 30, 2024 as compared to March 31, 2024. During the period, FEAUM from SMAs increased approximately $1.4 billion and FEAUM from commingled funds increased approximately $5.1 billion.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0" w:type="dxa"/>
            <w:vAlign w:val="bottom"/>
          </w:tcPr>
          <w:p>
            <w:pPr>
              <w:spacing w:after="0"/>
              <w:rPr>
                <w:sz w:val="1"/>
                <w:szCs w:val="1"/>
                <w:color w:val="auto"/>
              </w:rPr>
            </w:pPr>
          </w:p>
        </w:tc>
      </w:tr>
      <w:tr>
        <w:trPr>
          <w:trHeight w:val="169"/>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Focused</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5"/>
                <w:szCs w:val="1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SMAs</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rPr>
              <w:t>Commingled</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7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2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93,858</w:t>
            </w:r>
          </w:p>
        </w:tc>
        <w:tc>
          <w:tcPr>
            <w:tcW w:w="0" w:type="dxa"/>
            <w:vAlign w:val="bottom"/>
          </w:tcPr>
          <w:p>
            <w:pPr>
              <w:spacing w:after="0"/>
              <w:rPr>
                <w:sz w:val="1"/>
                <w:szCs w:val="1"/>
                <w:color w:val="auto"/>
              </w:rPr>
            </w:pPr>
          </w:p>
        </w:tc>
      </w:tr>
      <w:tr>
        <w:trPr>
          <w:trHeight w:val="229"/>
        </w:trPr>
        <w:tc>
          <w:tcPr>
            <w:tcW w:w="70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300" w:hanging="652"/>
        <w:spacing w:after="0" w:line="250"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65" w:lineRule="auto"/>
        <w:tabs>
          <w:tab w:leader="none" w:pos="65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ind w:left="660" w:right="200" w:hanging="652"/>
        <w:spacing w:after="0" w:line="260"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tables set forth FEAUM by asset class and selected weighted-average management fee rate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FEAUM</w:t>
            </w: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46,539</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debt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r>
      <w:tr>
        <w:trPr>
          <w:trHeight w:val="223"/>
        </w:trPr>
        <w:tc>
          <w:tcPr>
            <w:tcW w:w="6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87,407</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58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Weighted-average fee rate</w:t>
            </w:r>
            <w:r>
              <w:rPr>
                <w:rFonts w:ascii="Times New Roman" w:cs="Times New Roman" w:eastAsia="Times New Roman" w:hAnsi="Times New Roman"/>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5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w:t>
            </w:r>
          </w:p>
        </w:tc>
      </w:tr>
      <w:tr>
        <w:trPr>
          <w:trHeight w:val="230"/>
        </w:trPr>
        <w:tc>
          <w:tcPr>
            <w:tcW w:w="5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infrastructure and private debt asset classes</w:t>
            </w:r>
            <w:r>
              <w:rPr>
                <w:rFonts w:ascii="Times New Roman" w:cs="Times New Roman" w:eastAsia="Times New Roman" w:hAnsi="Times New Roman"/>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r>
      <w:tr>
        <w:trPr>
          <w:trHeight w:val="223"/>
        </w:trPr>
        <w:tc>
          <w:tcPr>
            <w:tcW w:w="5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0.55 %</w:t>
            </w:r>
          </w:p>
        </w:tc>
      </w:tr>
      <w:tr>
        <w:trPr>
          <w:trHeight w:val="20"/>
        </w:trPr>
        <w:tc>
          <w:tcPr>
            <w:tcW w:w="58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80" w:hanging="652"/>
        <w:spacing w:after="0" w:line="250"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fee rates reflect the applicable management fees for the last 12 months ending on each period presented, and is inclusive of any retroactive fees for such period.</w:t>
      </w:r>
    </w:p>
    <w:p>
      <w:pPr>
        <w:ind w:left="660" w:right="200" w:hanging="652"/>
        <w:spacing w:after="0" w:line="250"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and shifts in mix between SMAs and focused commingled funds.</w:t>
      </w:r>
    </w:p>
    <w:p>
      <w:pPr>
        <w:ind w:left="640" w:hanging="63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and shifts in asset class mix.</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Undeployed Fee-Earning Capital</w:t>
      </w:r>
    </w:p>
    <w:p>
      <w:pPr>
        <w:spacing w:after="0" w:line="220"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As of June 30, 2024, we had $27.6 billion of undeployed fee-earning capital, which will generate management fee revenue once this capital is invested or activated.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3"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Net Income</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Adjusted net income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adjusted management and advisory fees, net, adjusted incentive fees (including the deferred portion)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SPW, (d) amortization of intangibles, (e) net income (loss) attributable to non-controlling interests in our subsidiaries and realized gains attributable to the profits interests issued in SPW, (f) charges associated with acquisitions and corporate transactions, and (g) certain other items that we believe are not indicative of our core operating performance (as listed in the below table). ANI is fully taxed at our blended statutory rate. We believe ANI and adjusted revenues are useful to investors because they enable investors to evaluate the performance of our business across reporting periods.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w:t>
      </w:r>
    </w:p>
    <w:p>
      <w:pPr>
        <w:spacing w:after="0" w:line="23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represents the components of revenues used in the determination of ANI and comprise adjusted management and advisory fees, net, adjusted incentive fees (including the deferred portion) and realized carried interest allocations. We believe adjusted revenues is useful to investors because it presents a measure of realized revenues.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33"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0"/>
          <w:szCs w:val="20"/>
          <w:color w:val="auto"/>
        </w:rPr>
        <w:t>Fee-related earnings (“FRE”) is a non-GAAP performance measure used to monitor our baseline earnings from recurring management and advisory fees. FRE is a component of ANI and comprises adjusted management and advisory fees, net,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SPW, (c) amortization of intangibles, (d) charges associated with acquisitions and corporate transactions, and (e) certain other items that we believe are not indicative of our core operating performance (as listed in the below table).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ANI per share measures our per-share earnings assuming all Class B units, Class C units and Class D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2024 Compared to Three Months Ended June 30, 2023</w:t>
      </w:r>
    </w:p>
    <w:p>
      <w:pPr>
        <w:spacing w:after="0" w:line="22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FRE increased $27.3 million, or 61%, to $71.7 million for the three months ended June 30, 2024 as compared to the three months ended June 30, 2023, primarily reflecting higher adjusted management and advisory fees, net, partially offset by higher adjusted cash-based compensation, adjusted general, administrative and other expenses, and adjusted equity-based compensation.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 and Adjusted Net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June 30, 2024 Compared to Three Months Ended June 30, 2023</w:t>
      </w:r>
    </w:p>
    <w:p>
      <w:pPr>
        <w:spacing w:after="0" w:line="22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increased $68.4 million, or 45%, to $221.2 million for the three months ended June 30, 2024 as compared to the three months ended June 30, 2023, primarily reflecting increases in adjusted management and advisory fees, net, realized carried interest allocation revenues, and adjusted incentive fees, including the deferred portion.</w:t>
      </w:r>
    </w:p>
    <w:p>
      <w:pPr>
        <w:spacing w:after="0" w:line="18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ANI increased $27.9 million, or 95%, to $57.2 million for the three months ended June 30, 2024 as compared to the three months ended June 30, 2023, primarily due to an increase in FRE as discussed above, higher net realized performance fee-related earnings (adjusted incentive fees, including the deferred portion, plus realized carried interest allocation revenues, less realized performance fee-related compensation) and higher realized investment income. The overall increase was partially offset by a higher allocation of income to non-controlling interests and higher interest expense.</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5" w:name="page66"/>
    <w:bookmarkEnd w:id="65"/>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right="420" w:firstLine="648"/>
        <w:spacing w:after="0" w:line="295" w:lineRule="auto"/>
        <w:rPr>
          <w:sz w:val="20"/>
          <w:szCs w:val="20"/>
          <w:color w:val="auto"/>
        </w:rPr>
      </w:pPr>
      <w:r>
        <w:rPr>
          <w:rFonts w:ascii="Times New Roman" w:cs="Times New Roman" w:eastAsia="Times New Roman" w:hAnsi="Times New Roman"/>
          <w:sz w:val="19"/>
          <w:szCs w:val="19"/>
          <w:color w:val="auto"/>
        </w:rPr>
        <w:t>The following table shows a reconciliation of diluted weighted-average shares of Class A common stock outstanding to adjusted weighted-average shares outstanding used in the computation of ANI per share for the three months ended June 30, 2024 and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29,388</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 Basic</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66,187,754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62,834,818</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400,034</w:t>
            </w:r>
          </w:p>
        </w:tc>
        <w:tc>
          <w:tcPr>
            <w:tcW w:w="0" w:type="dxa"/>
            <w:vAlign w:val="bottom"/>
          </w:tcPr>
          <w:p>
            <w:pPr>
              <w:spacing w:after="0"/>
              <w:rPr>
                <w:sz w:val="1"/>
                <w:szCs w:val="1"/>
                <w:color w:val="auto"/>
              </w:rPr>
            </w:pPr>
          </w:p>
        </w:tc>
      </w:tr>
      <w:tr>
        <w:trPr>
          <w:trHeight w:val="229"/>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vesting and exchange of Class B2 units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2,504,618</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B units in the Partnership</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45,827,707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46,420,141</w:t>
            </w:r>
          </w:p>
        </w:tc>
        <w:tc>
          <w:tcPr>
            <w:tcW w:w="0" w:type="dxa"/>
            <w:vAlign w:val="bottom"/>
          </w:tcPr>
          <w:p>
            <w:pPr>
              <w:spacing w:after="0"/>
              <w:rPr>
                <w:sz w:val="1"/>
                <w:szCs w:val="1"/>
                <w:color w:val="auto"/>
              </w:rPr>
            </w:pPr>
          </w:p>
        </w:tc>
      </w:tr>
      <w:tr>
        <w:trPr>
          <w:trHeight w:val="230"/>
        </w:trPr>
        <w:tc>
          <w:tcPr>
            <w:tcW w:w="762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C units in the Partnership</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1,849,846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2,514,085</w:t>
            </w:r>
          </w:p>
        </w:tc>
        <w:tc>
          <w:tcPr>
            <w:tcW w:w="0" w:type="dxa"/>
            <w:vAlign w:val="bottom"/>
          </w:tcPr>
          <w:p>
            <w:pPr>
              <w:spacing w:after="0"/>
              <w:rPr>
                <w:sz w:val="1"/>
                <w:szCs w:val="1"/>
                <w:color w:val="auto"/>
              </w:rPr>
            </w:pPr>
          </w:p>
        </w:tc>
      </w:tr>
      <w:tr>
        <w:trPr>
          <w:trHeight w:val="270"/>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Exchange of Class D units in the Partnership</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2,239,185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118,510,499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114,673,696</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 per share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7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60" w:hanging="652"/>
        <w:spacing w:after="0" w:line="260"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B units, Class C units or Class D units in the Partnership for Class A common stock of SSG pursuant to the Class B Exchange Agreement, Class C Exchange Agreement or Class D Exchange Agreement, respectively.</w:t>
      </w:r>
    </w:p>
    <w:p>
      <w:pPr>
        <w:spacing w:after="0" w:line="17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Reconciliation of GAAP to Non-GAAP Financial Measures</w:t>
      </w:r>
    </w:p>
    <w:p>
      <w:pPr>
        <w:spacing w:after="0" w:line="23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table below shows a reconciliation of revenues to adjusted revenues.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178,011</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(49,364)</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23,947</w:t>
            </w:r>
          </w:p>
        </w:tc>
      </w:tr>
      <w:tr>
        <w:trPr>
          <w:trHeight w:val="229"/>
        </w:trPr>
        <w:tc>
          <w:tcPr>
            <w:tcW w:w="7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Management and advisory fee revenues for the Consolidated Funds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221,165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152,780</w:t>
            </w: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management and advisory fee revenues for the Consolidated Funds, which have been eliminated in consolidation.</w:t>
      </w:r>
    </w:p>
    <w:p>
      <w:pPr>
        <w:spacing w:after="0" w:line="200" w:lineRule="exact"/>
        <w:rPr>
          <w:rFonts w:ascii="Times New Roman" w:cs="Times New Roman" w:eastAsia="Times New Roman" w:hAnsi="Times New Roman"/>
          <w:sz w:val="18"/>
          <w:szCs w:val="18"/>
          <w:color w:val="auto"/>
        </w:rPr>
      </w:pPr>
    </w:p>
    <w:p>
      <w:pPr>
        <w:spacing w:after="0" w:line="366"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51"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The table below shows a reconciliation of GAAP measures to additional non-GAAP measures. We use the non-GAAP measures presented below as components when calculating FRE and ANI.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management and advisory fees, net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138,115</w:t>
            </w:r>
          </w:p>
        </w:tc>
      </w:tr>
      <w:tr>
        <w:trPr>
          <w:trHeight w:val="229"/>
        </w:trPr>
        <w:tc>
          <w:tcPr>
            <w:tcW w:w="768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Management and advisory fee revenues for the Consolidated Funds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management and advisory fees,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incentive fees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Incentive fee revenues for the Consolidated Funds</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incentive fees</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interest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70"/>
        </w:trPr>
        <w:tc>
          <w:tcPr>
            <w:tcW w:w="7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Interest income earned by the Consolidated Funds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interest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other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768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(4)</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other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incentive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the impact of consolidation of the Consolidated Funds.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income before income tax to ANI and FRE.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w:t>
            </w:r>
          </w:p>
        </w:tc>
      </w:tr>
      <w:tr>
        <w:trPr>
          <w:trHeight w:val="230"/>
        </w:trPr>
        <w:tc>
          <w:tcPr>
            <w:tcW w:w="76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Net income attributable to non-controlling interests in subsidiaries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 attributable to non-controlling interests in legacy Greenspring entities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(49,364)</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Unrealized performance fee-related compensation</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investment (income) loss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Impact of Consolidated Funds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r>
      <w:tr>
        <w:trPr>
          <w:trHeight w:val="229"/>
        </w:trPr>
        <w:tc>
          <w:tcPr>
            <w:tcW w:w="7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Pre-tax ANI</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37,822</w:t>
            </w:r>
          </w:p>
        </w:tc>
      </w:tr>
      <w:tr>
        <w:trPr>
          <w:trHeight w:val="229"/>
        </w:trPr>
        <w:tc>
          <w:tcPr>
            <w:tcW w:w="7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29,388</w:t>
            </w:r>
          </w:p>
        </w:tc>
      </w:tr>
      <w:tr>
        <w:trPr>
          <w:trHeight w:val="229"/>
        </w:trPr>
        <w:tc>
          <w:tcPr>
            <w:tcW w:w="7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Realized carried interest allocations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(14,473)</w:t>
            </w:r>
          </w:p>
        </w:tc>
      </w:tr>
      <w:tr>
        <w:trPr>
          <w:trHeight w:val="229"/>
        </w:trPr>
        <w:tc>
          <w:tcPr>
            <w:tcW w:w="7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Realized performance fee-related compensation</w:t>
            </w:r>
            <w:r>
              <w:rPr>
                <w:rFonts w:ascii="Times New Roman" w:cs="Times New Roman" w:eastAsia="Times New Roman" w:hAnsi="Times New Roman"/>
                <w:sz w:val="23"/>
                <w:szCs w:val="23"/>
                <w:color w:val="auto"/>
                <w:vertAlign w:val="superscript"/>
              </w:rPr>
              <w:t>(5)</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7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incentive fees</w:t>
            </w:r>
            <w:r>
              <w:rPr>
                <w:rFonts w:ascii="Times New Roman" w:cs="Times New Roman" w:eastAsia="Times New Roman" w:hAnsi="Times New Roman"/>
                <w:sz w:val="23"/>
                <w:szCs w:val="23"/>
                <w:color w:val="auto"/>
                <w:vertAlign w:val="superscript"/>
              </w:rPr>
              <w:t>(6)</w:t>
            </w:r>
          </w:p>
        </w:tc>
        <w:tc>
          <w:tcPr>
            <w:tcW w:w="3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Adjusted interest income</w:t>
            </w:r>
            <w:r>
              <w:rPr>
                <w:rFonts w:ascii="Times New Roman" w:cs="Times New Roman" w:eastAsia="Times New Roman" w:hAnsi="Times New Roman"/>
                <w:sz w:val="23"/>
                <w:szCs w:val="23"/>
                <w:color w:val="auto"/>
                <w:vertAlign w:val="superscript"/>
              </w:rPr>
              <w:t>(6)</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30"/>
        </w:trPr>
        <w:tc>
          <w:tcPr>
            <w:tcW w:w="76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Adjusted other loss</w:t>
            </w:r>
            <w:r>
              <w:rPr>
                <w:rFonts w:ascii="Times New Roman" w:cs="Times New Roman" w:eastAsia="Times New Roman" w:hAnsi="Times New Roman"/>
                <w:sz w:val="23"/>
                <w:szCs w:val="23"/>
                <w:color w:val="auto"/>
                <w:vertAlign w:val="superscript"/>
              </w:rPr>
              <w:t>(6)</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768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Net income attributable to non-controlling interests in subsidiaries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10,540</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20" w:hanging="652"/>
        <w:spacing w:after="0" w:line="250"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pre-tax ANI attributable to non-controlling interests in our subsidiaries and realized gains attributable to the profits interests issued in the private wealth subsidiary.</w:t>
      </w:r>
    </w:p>
    <w:p>
      <w:pPr>
        <w:ind w:left="660" w:right="120" w:hanging="652"/>
        <w:spacing w:after="0" w:line="250"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ind w:left="660" w:right="60" w:hanging="652"/>
        <w:spacing w:after="0" w:line="250"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expense related to transaction costs ($0.7 million for the three months ended June 30, 2024), accelerated depreciation of leasehold improvements for changes in lease terms ($0.6 million for the three months ended June 30, 2023), (gain) loss on change in fair value for contingent consideration obligation ($3.0 million and $(1.2) million for the three months ended June 30, 2024 and 2023, respectively), compensation paid to certain employees as part of an acquisition earn-out ($0.5 million for the three months ended June 30, 2024 and 2023) and other non-core operating income and expenses.</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corporate income taxes at a blended statutory rate of 22.3% applied to pre-tax ANI for the three months ended June 30, 2024 and 2023, which is based on a federal statutory rate of 21.0% and a combined state, local and foreign rate net of federal benefits of 1.3%.</w:t>
      </w:r>
    </w:p>
    <w:p>
      <w:pPr>
        <w:ind w:left="660" w:right="20" w:hanging="652"/>
        <w:spacing w:after="0" w:line="243"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carried interest-related compensation expense related to the portion of net carried interest allocation revenue attributable to equity holders of the Company’s consolidated subsidiaries that are not 100% owned ($2.2 million for the three months ended June 30, 2023).</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consolidating the Consolidated Funds.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Investment Performance</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are generally presented from the inception date of each strategy and asset class through March 31, 2024 and have not been adjusted to reflect acquisitions or disposals of investments subsequent to that date.</w:t>
      </w:r>
    </w:p>
    <w:p>
      <w:pPr>
        <w:spacing w:after="0" w:line="187"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46"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investment opportunities may differ from those in the past;</w:t>
      </w:r>
    </w:p>
    <w:p>
      <w:pPr>
        <w:spacing w:after="0" w:line="229"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is largely based on the NAV (as defined below) of the funds’ investments, including unrealized gains, which may never be realized;</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newly-established funds may generate lower investment returns during the period that they initially deploy their capital;</w:t>
      </w:r>
    </w:p>
    <w:p>
      <w:pPr>
        <w:spacing w:after="0" w:line="229"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67" w:lineRule="exact"/>
        <w:rPr>
          <w:rFonts w:ascii="Times New Roman" w:cs="Times New Roman" w:eastAsia="Times New Roman" w:hAnsi="Times New Roman"/>
          <w:sz w:val="20"/>
          <w:szCs w:val="20"/>
          <w:color w:val="auto"/>
        </w:rPr>
      </w:pPr>
    </w:p>
    <w:p>
      <w:pPr>
        <w:ind w:left="660" w:right="340" w:hanging="328"/>
        <w:spacing w:after="0" w:line="310" w:lineRule="auto"/>
        <w:tabs>
          <w:tab w:leader="none" w:pos="648"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37"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Historical and future returns of investments included in our track record are not directly correlated to potential returns on our Class A common stock.</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the following table:</w:t>
      </w:r>
    </w:p>
    <w:p>
      <w:pPr>
        <w:spacing w:after="0" w:line="229" w:lineRule="exact"/>
        <w:rPr>
          <w:sz w:val="20"/>
          <w:szCs w:val="20"/>
          <w:color w:val="auto"/>
        </w:rPr>
      </w:pPr>
    </w:p>
    <w:p>
      <w:pPr>
        <w:ind w:left="660" w:right="1000" w:hanging="328"/>
        <w:spacing w:after="0" w:line="269"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“Invested capital” refers to the total amount of all investments made by a fund, including commitment-reducing and non-commitment-reducing capital calls;</w:t>
      </w:r>
    </w:p>
    <w:p>
      <w:pPr>
        <w:spacing w:after="0" w:line="172"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 refers to the estimated fair value of unrealized investments plus any net assets or liabilities associated with the investment as of March 31, 2024;</w:t>
      </w:r>
    </w:p>
    <w:p>
      <w:pPr>
        <w:spacing w:after="0" w:line="146"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“IRR” refers to the annualized internal rate of return for all investments within the relevant investment strategy on an inception-to-date basis as of March 31, 2024 (except as noted otherwise below), based on contributions, distributions and unrealized value;</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IRR” refers to IRR net of fees and expenses charged by both the underlying fund managers and StepStone; and</w:t>
      </w:r>
    </w:p>
    <w:p>
      <w:pPr>
        <w:spacing w:after="0" w:line="229" w:lineRule="exact"/>
        <w:rPr>
          <w:rFonts w:ascii="Times New Roman" w:cs="Times New Roman" w:eastAsia="Times New Roman" w:hAnsi="Times New Roman"/>
          <w:sz w:val="20"/>
          <w:szCs w:val="20"/>
          <w:color w:val="auto"/>
        </w:rPr>
      </w:pPr>
    </w:p>
    <w:p>
      <w:pPr>
        <w:ind w:left="660" w:right="32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StepStone Performance Summary by Asset Class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PRIVATE EQUITY</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PRIVATE DEBT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shd w:val="clear" w:color="auto" w:fill="CCEEFF"/>
          </w:tcPr>
          <w:p>
            <w:pPr>
              <w:jc w:val="center"/>
              <w:ind w:left="188"/>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20" w:type="dxa"/>
            <w:vAlign w:val="bottom"/>
            <w:shd w:val="clear" w:color="auto" w:fill="CCEEFF"/>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9"/>
                <w:szCs w:val="9"/>
                <w:b w:val="1"/>
                <w:bCs w:val="1"/>
                <w:color w:val="auto"/>
              </w:rPr>
              <w:t>(1,2,4)</w:t>
            </w:r>
          </w:p>
        </w:tc>
        <w:tc>
          <w:tcPr>
            <w:tcW w:w="900" w:type="dxa"/>
            <w:vAlign w:val="bottom"/>
            <w:shd w:val="clear" w:color="auto" w:fill="CCEEFF"/>
          </w:tcPr>
          <w:p>
            <w:pPr>
              <w:jc w:val="center"/>
              <w:ind w:left="188"/>
              <w:spacing w:after="0" w:line="202" w:lineRule="exact"/>
              <w:rPr>
                <w:sz w:val="20"/>
                <w:szCs w:val="20"/>
                <w:color w:val="auto"/>
              </w:rPr>
            </w:pPr>
            <w:r>
              <w:rPr>
                <w:rFonts w:ascii="Times New Roman" w:cs="Times New Roman" w:eastAsia="Times New Roman" w:hAnsi="Times New Roman"/>
                <w:sz w:val="14"/>
                <w:szCs w:val="14"/>
                <w:b w:val="1"/>
                <w:bCs w:val="1"/>
                <w:color w:val="auto"/>
                <w:w w:val="90"/>
              </w:rPr>
              <w:t>IRR</w:t>
            </w:r>
            <w:r>
              <w:rPr>
                <w:rFonts w:ascii="Times New Roman" w:cs="Times New Roman" w:eastAsia="Times New Roman" w:hAnsi="Times New Roman"/>
                <w:sz w:val="18"/>
                <w:szCs w:val="18"/>
                <w:b w:val="1"/>
                <w:bCs w:val="1"/>
                <w:color w:val="auto"/>
                <w:w w:val="90"/>
                <w:vertAlign w:val="superscript"/>
              </w:rPr>
              <w:t>(3)</w:t>
            </w:r>
          </w:p>
        </w:tc>
        <w:tc>
          <w:tcPr>
            <w:tcW w:w="76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4"/>
              </w:rPr>
              <w:t>TVM</w:t>
            </w:r>
            <w:r>
              <w:rPr>
                <w:rFonts w:ascii="Times New Roman" w:cs="Times New Roman" w:eastAsia="Times New Roman" w:hAnsi="Times New Roman"/>
                <w:sz w:val="18"/>
                <w:szCs w:val="18"/>
                <w:b w:val="1"/>
                <w:bCs w:val="1"/>
                <w:color w:val="auto"/>
                <w:w w:val="94"/>
                <w:vertAlign w:val="superscript"/>
              </w:rPr>
              <w:t>(3)</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9"/>
                <w:szCs w:val="9"/>
                <w:b w:val="1"/>
                <w:bCs w:val="1"/>
                <w:color w:val="auto"/>
              </w:rPr>
              <w:t>(1,4,5)</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IRR</w:t>
            </w:r>
            <w:r>
              <w:rPr>
                <w:rFonts w:ascii="Times New Roman" w:cs="Times New Roman" w:eastAsia="Times New Roman" w:hAnsi="Times New Roman"/>
                <w:sz w:val="18"/>
                <w:szCs w:val="18"/>
                <w:b w:val="1"/>
                <w:bCs w:val="1"/>
                <w:color w:val="auto"/>
                <w:w w:val="95"/>
                <w:vertAlign w:val="superscript"/>
              </w:rPr>
              <w:t>(3)</w:t>
            </w:r>
          </w:p>
        </w:tc>
        <w:tc>
          <w:tcPr>
            <w:tcW w:w="780" w:type="dxa"/>
            <w:vAlign w:val="bottom"/>
            <w:gridSpan w:val="2"/>
            <w:shd w:val="clear" w:color="auto" w:fill="CCEEFF"/>
          </w:tcPr>
          <w:p>
            <w:pPr>
              <w:jc w:val="center"/>
              <w:ind w:right="60"/>
              <w:spacing w:after="0" w:line="202" w:lineRule="exact"/>
              <w:rPr>
                <w:sz w:val="20"/>
                <w:szCs w:val="20"/>
                <w:color w:val="auto"/>
              </w:rPr>
            </w:pPr>
            <w:r>
              <w:rPr>
                <w:rFonts w:ascii="Times New Roman" w:cs="Times New Roman" w:eastAsia="Times New Roman" w:hAnsi="Times New Roman"/>
                <w:sz w:val="14"/>
                <w:szCs w:val="14"/>
                <w:b w:val="1"/>
                <w:bCs w:val="1"/>
                <w:color w:val="auto"/>
                <w:w w:val="94"/>
              </w:rPr>
              <w:t>TVM</w:t>
            </w:r>
            <w:r>
              <w:rPr>
                <w:rFonts w:ascii="Times New Roman" w:cs="Times New Roman" w:eastAsia="Times New Roman" w:hAnsi="Times New Roman"/>
                <w:sz w:val="18"/>
                <w:szCs w:val="18"/>
                <w:b w:val="1"/>
                <w:bCs w:val="1"/>
                <w:color w:val="auto"/>
                <w:w w:val="94"/>
                <w:vertAlign w:val="superscript"/>
              </w:rPr>
              <w:t>(3)</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9"/>
                <w:szCs w:val="9"/>
                <w:b w:val="1"/>
                <w:bCs w:val="1"/>
                <w:color w:val="auto"/>
              </w:rPr>
              <w:t>(1,4,6)</w:t>
            </w:r>
          </w:p>
        </w:tc>
        <w:tc>
          <w:tcPr>
            <w:tcW w:w="520" w:type="dxa"/>
            <w:vAlign w:val="bottom"/>
            <w:shd w:val="clear" w:color="auto" w:fill="CCEEFF"/>
          </w:tcPr>
          <w:p>
            <w:pPr>
              <w:jc w:val="center"/>
              <w:ind w:right="68"/>
              <w:spacing w:after="0" w:line="202" w:lineRule="exact"/>
              <w:rPr>
                <w:sz w:val="20"/>
                <w:szCs w:val="20"/>
                <w:color w:val="auto"/>
              </w:rPr>
            </w:pPr>
            <w:r>
              <w:rPr>
                <w:rFonts w:ascii="Times New Roman" w:cs="Times New Roman" w:eastAsia="Times New Roman" w:hAnsi="Times New Roman"/>
                <w:sz w:val="14"/>
                <w:szCs w:val="14"/>
                <w:b w:val="1"/>
                <w:bCs w:val="1"/>
                <w:color w:val="auto"/>
                <w:w w:val="95"/>
              </w:rPr>
              <w:t>IRR</w:t>
            </w:r>
            <w:r>
              <w:rPr>
                <w:rFonts w:ascii="Times New Roman" w:cs="Times New Roman" w:eastAsia="Times New Roman" w:hAnsi="Times New Roman"/>
                <w:sz w:val="18"/>
                <w:szCs w:val="18"/>
                <w:b w:val="1"/>
                <w:bCs w:val="1"/>
                <w:color w:val="auto"/>
                <w:w w:val="95"/>
                <w:vertAlign w:val="superscript"/>
              </w:rPr>
              <w:t>(3)</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9"/>
                <w:szCs w:val="9"/>
                <w:b w:val="1"/>
                <w:bCs w:val="1"/>
                <w:color w:val="auto"/>
              </w:rPr>
              <w:t>(1,4,8)</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IRR</w:t>
            </w:r>
            <w:r>
              <w:rPr>
                <w:rFonts w:ascii="Times New Roman" w:cs="Times New Roman" w:eastAsia="Times New Roman" w:hAnsi="Times New Roman"/>
                <w:sz w:val="18"/>
                <w:szCs w:val="18"/>
                <w:b w:val="1"/>
                <w:bCs w:val="1"/>
                <w:color w:val="auto"/>
                <w:w w:val="95"/>
                <w:vertAlign w:val="superscript"/>
              </w:rPr>
              <w:t>(3)</w:t>
            </w:r>
          </w:p>
        </w:tc>
        <w:tc>
          <w:tcPr>
            <w:tcW w:w="0" w:type="dxa"/>
            <w:vAlign w:val="bottom"/>
          </w:tcPr>
          <w:p>
            <w:pPr>
              <w:spacing w:after="0"/>
              <w:rPr>
                <w:sz w:val="1"/>
                <w:szCs w:val="1"/>
                <w:color w:val="auto"/>
              </w:rPr>
            </w:pPr>
          </w:p>
        </w:tc>
      </w:tr>
      <w:tr>
        <w:trPr>
          <w:trHeight w:val="189"/>
        </w:trPr>
        <w:tc>
          <w:tcPr>
            <w:tcW w:w="1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900" w:type="dxa"/>
            <w:vAlign w:val="bottom"/>
            <w:tcBorders>
              <w:top w:val="single" w:sz="8" w:color="auto"/>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w w:val="99"/>
              </w:rPr>
              <w:t>15.3%</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1.5x</w:t>
            </w:r>
          </w:p>
        </w:tc>
        <w:tc>
          <w:tcPr>
            <w:tcW w:w="80" w:type="dxa"/>
            <w:vAlign w:val="bottom"/>
            <w:tcBorders>
              <w:bottom w:val="single" w:sz="8" w:color="CCEEFF"/>
            </w:tcBorders>
          </w:tcPr>
          <w:p>
            <w:pPr>
              <w:spacing w:after="0"/>
              <w:rPr>
                <w:sz w:val="16"/>
                <w:szCs w:val="16"/>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1.3x</w:t>
            </w:r>
          </w:p>
        </w:tc>
        <w:tc>
          <w:tcPr>
            <w:tcW w:w="100" w:type="dxa"/>
            <w:vAlign w:val="bottom"/>
            <w:tcBorders>
              <w:bottom w:val="single" w:sz="8" w:color="CCEEFF"/>
            </w:tcBorders>
          </w:tcPr>
          <w:p>
            <w:pPr>
              <w:spacing w:after="0"/>
              <w:rPr>
                <w:sz w:val="16"/>
                <w:szCs w:val="16"/>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Core/debt</w:t>
            </w:r>
          </w:p>
        </w:tc>
        <w:tc>
          <w:tcPr>
            <w:tcW w:w="52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tcPr>
          <w:p>
            <w:pPr>
              <w:spacing w:after="0"/>
              <w:rPr>
                <w:sz w:val="16"/>
                <w:szCs w:val="16"/>
                <w:color w:val="auto"/>
              </w:rPr>
            </w:pPr>
          </w:p>
        </w:tc>
        <w:tc>
          <w:tcPr>
            <w:tcW w:w="1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Direct lending</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35"/>
        </w:trPr>
        <w:tc>
          <w:tcPr>
            <w:tcW w:w="1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900" w:type="dxa"/>
            <w:vAlign w:val="bottom"/>
            <w:vMerge w:val="restart"/>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w w:val="99"/>
              </w:rPr>
              <w:t>16.3%</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1.4x</w:t>
            </w:r>
          </w:p>
        </w:tc>
        <w:tc>
          <w:tcPr>
            <w:tcW w:w="8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1.3x</w:t>
            </w:r>
          </w:p>
        </w:tc>
        <w:tc>
          <w:tcPr>
            <w:tcW w:w="100" w:type="dxa"/>
            <w:vAlign w:val="bottom"/>
            <w:vMerge w:val="restart"/>
            <w:shd w:val="clear" w:color="auto" w:fill="CCEEFF"/>
          </w:tcPr>
          <w:p>
            <w:pPr>
              <w:spacing w:after="0"/>
              <w:rPr>
                <w:sz w:val="11"/>
                <w:szCs w:val="11"/>
                <w:color w:val="auto"/>
              </w:rPr>
            </w:pPr>
          </w:p>
        </w:tc>
        <w:tc>
          <w:tcPr>
            <w:tcW w:w="18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Core+/value-add - primary</w:t>
            </w:r>
          </w:p>
        </w:tc>
        <w:tc>
          <w:tcPr>
            <w:tcW w:w="52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Distressed debt</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Co-investments</w:t>
            </w:r>
            <w:r>
              <w:rPr>
                <w:rFonts w:ascii="Times New Roman" w:cs="Times New Roman" w:eastAsia="Times New Roman" w:hAnsi="Times New Roman"/>
                <w:sz w:val="18"/>
                <w:szCs w:val="18"/>
                <w:color w:val="auto"/>
                <w:vertAlign w:val="superscript"/>
              </w:rPr>
              <w:t>(7)</w:t>
            </w:r>
          </w:p>
        </w:tc>
        <w:tc>
          <w:tcPr>
            <w:tcW w:w="90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99"/>
              </w:rPr>
              <w:t>16.2%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1.6x</w:t>
            </w:r>
          </w:p>
        </w:tc>
        <w:tc>
          <w:tcPr>
            <w:tcW w:w="80" w:type="dxa"/>
            <w:vAlign w:val="bottom"/>
            <w:vMerge w:val="restart"/>
          </w:tcPr>
          <w:p>
            <w:pPr>
              <w:spacing w:after="0"/>
              <w:rPr>
                <w:sz w:val="11"/>
                <w:szCs w:val="11"/>
                <w:color w:val="auto"/>
              </w:rPr>
            </w:pPr>
          </w:p>
        </w:tc>
        <w:tc>
          <w:tcPr>
            <w:tcW w:w="1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Real estate debt fund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1.2x</w:t>
            </w:r>
          </w:p>
        </w:tc>
        <w:tc>
          <w:tcPr>
            <w:tcW w:w="100" w:type="dxa"/>
            <w:vAlign w:val="bottom"/>
            <w:vMerge w:val="restart"/>
          </w:tcPr>
          <w:p>
            <w:pPr>
              <w:spacing w:after="0"/>
              <w:rPr>
                <w:sz w:val="11"/>
                <w:szCs w:val="11"/>
                <w:color w:val="auto"/>
              </w:rPr>
            </w:pPr>
          </w:p>
        </w:tc>
        <w:tc>
          <w:tcPr>
            <w:tcW w:w="18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Core+/value-add - secondary</w:t>
            </w:r>
          </w:p>
        </w:tc>
        <w:tc>
          <w:tcPr>
            <w:tcW w:w="5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(9)</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3"/>
        </w:trPr>
        <w:tc>
          <w:tcPr>
            <w:tcW w:w="14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Value-add/opportunistic</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11.7%</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1.2x</w:t>
            </w:r>
          </w:p>
        </w:tc>
        <w:tc>
          <w:tcPr>
            <w:tcW w:w="100" w:type="dxa"/>
            <w:vAlign w:val="bottom"/>
            <w:vMerge w:val="restart"/>
            <w:shd w:val="clear" w:color="auto" w:fill="CCEEFF"/>
          </w:tcPr>
          <w:p>
            <w:pPr>
              <w:spacing w:after="0"/>
              <w:rPr>
                <w:sz w:val="11"/>
                <w:szCs w:val="11"/>
                <w:color w:val="auto"/>
              </w:rPr>
            </w:pPr>
          </w:p>
        </w:tc>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Core+/value-add - co-</w:t>
            </w:r>
          </w:p>
        </w:tc>
        <w:tc>
          <w:tcPr>
            <w:tcW w:w="52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 &amp; co-investments</w:t>
            </w: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120" w:hanging="652"/>
        <w:spacing w:after="0" w:line="250" w:lineRule="auto"/>
        <w:tabs>
          <w:tab w:leader="none" w:pos="654"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Investment returns reflect NAV data for underlying investments as of March 31, 2024, as reported by underlying managers up to </w:t>
      </w:r>
      <w:r>
        <w:rPr>
          <w:rFonts w:ascii="Times New Roman" w:cs="Times New Roman" w:eastAsia="Times New Roman" w:hAnsi="Times New Roman"/>
          <w:sz w:val="18"/>
          <w:szCs w:val="18"/>
          <w:color w:val="231F20"/>
        </w:rPr>
        <w:t>the business 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occurring on or after 100 </w:t>
      </w:r>
      <w:r>
        <w:rPr>
          <w:rFonts w:ascii="Times New Roman" w:cs="Times New Roman" w:eastAsia="Times New Roman" w:hAnsi="Times New Roman"/>
          <w:sz w:val="18"/>
          <w:szCs w:val="18"/>
          <w:color w:val="000000"/>
        </w:rPr>
        <w:t>days following March 31, 2024. For investment returns where NAV data is not available by</w:t>
      </w:r>
      <w:r>
        <w:rPr>
          <w:rFonts w:ascii="Times New Roman" w:cs="Times New Roman" w:eastAsia="Times New Roman" w:hAnsi="Times New Roman"/>
          <w:sz w:val="18"/>
          <w:szCs w:val="18"/>
          <w:color w:val="231F20"/>
        </w:rPr>
        <w:t xml:space="preserve"> the business day occurring on or after 100 </w:t>
      </w:r>
      <w:r>
        <w:rPr>
          <w:rFonts w:ascii="Times New Roman" w:cs="Times New Roman" w:eastAsia="Times New Roman" w:hAnsi="Times New Roman"/>
          <w:sz w:val="18"/>
          <w:szCs w:val="18"/>
          <w:color w:val="000000"/>
        </w:rPr>
        <w:t>days following March 31, 2024, such NAVs are adjusted for cash activity following the last available reported NAV. Investment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Times New Roman" w:cs="Times New Roman" w:eastAsia="Times New Roman" w:hAnsi="Times New Roman"/>
          <w:sz w:val="18"/>
          <w:szCs w:val="18"/>
          <w:color w:val="231F20"/>
        </w:rPr>
      </w:pPr>
    </w:p>
    <w:p>
      <w:pPr>
        <w:ind w:left="660" w:hanging="652"/>
        <w:spacing w:after="0" w:line="250"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includes 2,717 investments totaling $190.1 billion of capital commitments and excludes (i) two advisory co-investments, totaling $100.0 million of capital commitments, (ii) 252 client-directed private equity investments, totaling $30.2 billion of capital commitments, and (iii) investments for which StepStone does not provide monitoring and reporting services to the client that made the investment. Private equity includes buyout, venture capital, growth equity, fund-of-funds, and energy focused strategies. StepStone’s venture capital and growth equity strategy is composed of a) venture capital and growth equity focused commingled funds and separately managed accounts (the “StepStone VC Platform”) and b) underlying venture capital and growth equity investments within StepStone’s broader private equity funds.</w:t>
      </w:r>
    </w:p>
    <w:p>
      <w:pPr>
        <w:spacing w:after="0" w:line="2" w:lineRule="exact"/>
        <w:rPr>
          <w:rFonts w:ascii="Times New Roman" w:cs="Times New Roman" w:eastAsia="Times New Roman" w:hAnsi="Times New Roman"/>
          <w:sz w:val="18"/>
          <w:szCs w:val="18"/>
          <w:color w:val="auto"/>
        </w:rPr>
      </w:pPr>
    </w:p>
    <w:p>
      <w:pPr>
        <w:ind w:left="660" w:right="140" w:hanging="652"/>
        <w:spacing w:after="0" w:line="250"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charged quarterly):</w:t>
      </w:r>
    </w:p>
    <w:p>
      <w:pPr>
        <w:spacing w:after="0" w:line="1" w:lineRule="exact"/>
        <w:rPr>
          <w:rFonts w:ascii="Times New Roman" w:cs="Times New Roman" w:eastAsia="Times New Roman" w:hAnsi="Times New Roman"/>
          <w:sz w:val="18"/>
          <w:szCs w:val="18"/>
          <w:color w:val="auto"/>
        </w:rPr>
      </w:pPr>
    </w:p>
    <w:p>
      <w:pPr>
        <w:ind w:left="1300" w:right="200" w:hanging="644"/>
        <w:spacing w:after="0" w:line="250" w:lineRule="auto"/>
        <w:tabs>
          <w:tab w:leader="none" w:pos="128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Primaries management fee: 25 basis points of net invested capital for private equity, real estate and infrastructure; 25 basis points of net asset value for private debt; 75 basis points of committed capital for the StepStone VC Platform.</w:t>
      </w:r>
    </w:p>
    <w:p>
      <w:pPr>
        <w:ind w:left="1300" w:right="80" w:hanging="644"/>
        <w:spacing w:after="0" w:line="250" w:lineRule="auto"/>
        <w:tabs>
          <w:tab w:leader="none" w:pos="12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Secondaries management fee: 125 basis points, 125 basis points and 95 basis points of capital commitments for private equity, real estate and infrastructure, respectively, in years 1 through 4 for management fees, charged quarterly. In year 5, management fees step down to 90% of the previous year’s fee; 65 basis points of net asset value for private debt; 75 basis points of committed capital for the StepStone VC Platform.</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management fee: 100 basis points of net committed capital for private equity and real estate; 85 and 50 basis points of net committed capital for infrastructure co-investments and direct asset management investments, respectively; 65 basis points of net asset value for private debt; 200 basis points of net invested capital for the StepStone VC Platform.</w:t>
      </w:r>
    </w:p>
    <w:p>
      <w:pPr>
        <w:spacing w:after="0" w:line="1" w:lineRule="exact"/>
        <w:rPr>
          <w:rFonts w:ascii="Times New Roman" w:cs="Times New Roman" w:eastAsia="Times New Roman" w:hAnsi="Times New Roman"/>
          <w:sz w:val="18"/>
          <w:szCs w:val="18"/>
          <w:color w:val="auto"/>
        </w:rPr>
      </w:pPr>
    </w:p>
    <w:p>
      <w:pPr>
        <w:ind w:left="1300" w:right="880" w:hanging="644"/>
        <w:spacing w:after="0" w:line="250" w:lineRule="auto"/>
        <w:tabs>
          <w:tab w:leader="none" w:pos="12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assess 5 basis points of capital commitments for fund expenses, charged quarterly, and 1 basis point of capital commitments drawn down in the first cash flow quarter for organizational costs.</w:t>
      </w:r>
    </w:p>
    <w:p>
      <w:pPr>
        <w:ind w:left="1300" w:right="200" w:hanging="644"/>
        <w:spacing w:after="0" w:line="252" w:lineRule="auto"/>
        <w:tabs>
          <w:tab w:leader="none" w:pos="128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secondaries and co-investments include 12.5% and 10.0% of paid and unrealized carry, respectively, with an 8.0% preferred return hurdle; infrastructure secondaries and co-investments include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 5.0% preferred return hurdle; and the StepStone VC Platform primaries, secondaries and co-investments/directs include 5.0%, 5.0% and 20.0%, respectively, of paid and unrealized carry with no preferred return hurdle.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356" w:lineRule="exact"/>
        <w:rPr>
          <w:sz w:val="20"/>
          <w:szCs w:val="20"/>
          <w:color w:val="auto"/>
        </w:rPr>
      </w:pPr>
    </w:p>
    <w:p>
      <w:pPr>
        <w:ind w:left="660" w:right="300"/>
        <w:spacing w:after="0" w:line="261" w:lineRule="auto"/>
        <w:rPr>
          <w:sz w:val="20"/>
          <w:szCs w:val="20"/>
          <w:color w:val="auto"/>
        </w:rPr>
      </w:pPr>
      <w:r>
        <w:rPr>
          <w:rFonts w:ascii="Times New Roman" w:cs="Times New Roman" w:eastAsia="Times New Roman" w:hAnsi="Times New Roman"/>
          <w:sz w:val="18"/>
          <w:szCs w:val="18"/>
          <w:color w:val="auto"/>
        </w:rPr>
        <w:t>Net IRR and Net TVM for certain investments may have been impacted by StepStone’s, or the underlying fund manager’s, use of subscription backed credit facilities by such vehicles. Reinvested/recycled amounts increase contributed capital.</w:t>
      </w:r>
    </w:p>
    <w:p>
      <w:pPr>
        <w:ind w:left="660" w:hanging="652"/>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includes 474 investments totaling $78.3 billion of capital commitments and excludes (i) 89 client-directed real estate investments, totaling $14.0 billion of capital commitments, (ii) 14 secondary/co-investment core/core+ or credit investments, totaling $818.6 million of capital commitments, (iii) four advisory fund investments totaling $463.6 million of capital commitments, and (iv)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includes 273 investments totaling $54.9 billion of capital commitments and excludes (i) 11 infrastructure investments made by the Partnership prior to the formation of the infrastructure subsidiary in 2013 or made prior to StepStone’s acquisition of Courtland Partners, Ltd. on April 1, 2018 (the “Courtland acquisition”), totaling $501.9 million of capital commitments, (ii) 35 client-directed infrastructure investments, totaling $6.4 billion of capital commitments, and (iii)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include venture capital and growth equity direct investments for private equity.</w:t>
      </w:r>
    </w:p>
    <w:p>
      <w:pPr>
        <w:spacing w:after="0" w:line="9"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includes 925 investments totaling $47.4 billion of capital commitments and excludes (i) 42 client-directed debt investments, totaling $3.2 billion of capital commitments, (ii) 51 real estate credit investments that were recommended by Courtland Partners, Ltd. prior to the Courtland acquisition, totaling $5.1 billion of capital commitments, and (iii)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60" w:right="180" w:hanging="652"/>
        <w:spacing w:after="0" w:line="26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mezzanine debt, collateralized loan obligations, leasing, regulatory capital, trade finance, intellectual property/royalty, real estate debt and infrastructure debt.</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Sources and Uses of Liquidity</w:t>
      </w:r>
    </w:p>
    <w:p>
      <w:pPr>
        <w:spacing w:after="0" w:line="220"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0"/>
          <w:szCs w:val="20"/>
          <w:color w:val="auto"/>
        </w:rPr>
        <w:t>We generate cash primarily from management and advisory fees and performance fees.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for property, equipment, and acquisitions to expand into new businesses.</w:t>
      </w:r>
    </w:p>
    <w:p>
      <w:pPr>
        <w:spacing w:after="0" w:line="173"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9"/>
          <w:szCs w:val="19"/>
          <w:color w:val="auto"/>
        </w:rPr>
        <w:t>As of June 30, 2024, we had $142.4 million of cash, cash equivalents and restricted cash ($196.2 million including Consolidated Funds) and $1,474.4 million of investments in StepStone Funds, including $1,328.9 million of accrued carried interest allocations, against $172.1 million in debt obligations, net of debt issuance costs, and $652.1 million in accrued carried interest-related compensation payable.</w:t>
      </w:r>
    </w:p>
    <w:p>
      <w:pPr>
        <w:spacing w:after="0" w:line="15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Ongoing sources of cash include (a) management and advisory fees, which are collected monthly or quarterly, (b) performance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flows to meet our liquidity and capital resources requirements for the next 12 months.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33"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19"/>
          <w:szCs w:val="19"/>
          <w:color w:val="auto"/>
        </w:rPr>
        <w:t>The accompanying condensed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our cash flows attributable to operating, investing and financing activities: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57,587</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(14,486)</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(43,973)</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3" w:lineRule="exact"/>
        <w:rPr>
          <w:sz w:val="20"/>
          <w:szCs w:val="20"/>
          <w:color w:val="auto"/>
        </w:rPr>
      </w:pPr>
    </w:p>
    <w:p>
      <w:pPr>
        <w:jc w:val="both"/>
        <w:ind w:right="880" w:firstLine="648"/>
        <w:spacing w:after="0" w:line="295" w:lineRule="auto"/>
        <w:rPr>
          <w:sz w:val="20"/>
          <w:szCs w:val="20"/>
          <w:color w:val="auto"/>
        </w:rPr>
      </w:pPr>
      <w:r>
        <w:rPr>
          <w:rFonts w:ascii="Times New Roman" w:cs="Times New Roman" w:eastAsia="Times New Roman" w:hAnsi="Times New Roman"/>
          <w:sz w:val="19"/>
          <w:szCs w:val="19"/>
          <w:color w:val="auto"/>
        </w:rPr>
        <w:t>Operating activities provided $50.2 million and $57.6 million of cash for the three months ended June 30, 2024 and 2023, respectively. For the three months ended June 30, 2024 and 2023, respectively, these amounts primarily consisted of the following:</w:t>
      </w:r>
    </w:p>
    <w:p>
      <w:pPr>
        <w:spacing w:after="0" w:line="151" w:lineRule="exact"/>
        <w:rPr>
          <w:sz w:val="20"/>
          <w:szCs w:val="20"/>
          <w:color w:val="auto"/>
        </w:rPr>
      </w:pPr>
    </w:p>
    <w:p>
      <w:pPr>
        <w:ind w:left="980" w:right="220" w:hanging="324"/>
        <w:spacing w:after="0" w:line="261" w:lineRule="auto"/>
        <w:tabs>
          <w:tab w:leader="none" w:pos="96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after adjustments for non-cash items (including unrealized carried interest allocations, unrealized performance fee-related compensation, unrealized investment income and acquisition-related contingent consideration), of $97.1 million and $49.1 million;</w:t>
      </w:r>
    </w:p>
    <w:p>
      <w:pPr>
        <w:spacing w:after="0" w:line="18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$(20.4) million and $17.3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for unrealized investment income from Consolidated Funds of $7.3 million and $2.4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purchases of investments of Consolidated Funds of $19.1 million and $6.2 million;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Consolidated Funds of $(0.2) million and $(0.3) million.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33" w:lineRule="exact"/>
        <w:rPr>
          <w:sz w:val="20"/>
          <w:szCs w:val="20"/>
          <w:color w:val="auto"/>
        </w:rPr>
      </w:pPr>
    </w:p>
    <w:p>
      <w:pPr>
        <w:ind w:right="300" w:firstLine="648"/>
        <w:spacing w:after="0" w:line="269" w:lineRule="auto"/>
        <w:rPr>
          <w:sz w:val="20"/>
          <w:szCs w:val="20"/>
          <w:color w:val="auto"/>
        </w:rPr>
      </w:pPr>
      <w:r>
        <w:rPr>
          <w:rFonts w:ascii="Times New Roman" w:cs="Times New Roman" w:eastAsia="Times New Roman" w:hAnsi="Times New Roman"/>
          <w:sz w:val="20"/>
          <w:szCs w:val="20"/>
          <w:color w:val="auto"/>
        </w:rPr>
        <w:t>Investing activities used $13.2 million and $14.5 million of cash for the three months ended June 30, 2024 and 2023, respectively, and primarily consisted of the following amounts:</w:t>
      </w:r>
    </w:p>
    <w:p>
      <w:pPr>
        <w:spacing w:after="0" w:line="173" w:lineRule="exact"/>
        <w:rPr>
          <w:sz w:val="20"/>
          <w:szCs w:val="20"/>
          <w:color w:val="auto"/>
        </w:rPr>
      </w:pPr>
    </w:p>
    <w:p>
      <w:pPr>
        <w:ind w:left="960" w:hanging="304"/>
        <w:spacing w:after="0"/>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of $10.0 million and $4.4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in legacy Greenspring entities of $2.6 million and $2.3 million; and</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fixed assets of $0.6 million and $7.8 million.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33"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Financing activities used $22.9 million and $44.0 million of cash for the three months ended June 30, 2024 and 2023, respectively, and primarily consisted of the following:</w:t>
      </w:r>
    </w:p>
    <w:p>
      <w:pPr>
        <w:spacing w:after="0" w:line="173" w:lineRule="exact"/>
        <w:rPr>
          <w:sz w:val="20"/>
          <w:szCs w:val="20"/>
          <w:color w:val="auto"/>
        </w:rPr>
      </w:pPr>
    </w:p>
    <w:p>
      <w:pPr>
        <w:ind w:left="960" w:hanging="304"/>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borrowings on revolving credit facility of $25.0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financing costs of $1.8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of $30.1 million and $25.7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non-controlling interests of $5.4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of redeemable non-controlling interests of $13.0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to legacy Greenspring entities of $7.1 million and $2.6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in legacy Greenspring entities of $5.4 million and $0.5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paid to common stockholders of $23.8 million and $28.3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related parties under the Tax Receivable Agreements of $9.8 million and $7.7 million; and</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from redeemable non-controlling interests in Consolidated Funds of $34.3 million and $15.5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20"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0"/>
          <w:szCs w:val="20"/>
          <w:color w:val="auto"/>
        </w:rPr>
        <w:t>We are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administrative agent and collateral agent, and certain other lenders party thereto and provides for a $300.0 million multicurrency Revolver. As of June 30, 2024, we had $172.1 million outstanding on the Revolver, net of debt issuance costs.</w:t>
      </w:r>
    </w:p>
    <w:p>
      <w:pPr>
        <w:spacing w:after="0" w:line="17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We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June 30, 2024 was 7.48%.</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3" w:name="page74"/>
    <w:bookmarkEnd w:id="73"/>
    <w:p>
      <w:pPr>
        <w:spacing w:after="0" w:line="35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81"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As of June 30, 2024, we were in compliance with the total net leverage ratio and minimum fee-earning assets under management covenants.</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We can use available funding capacity under the Revolver to satisfy letters of credit in amounts up to $10.0 million. Amounts used to satisfy the letters of credit reduce the available capacity under the Revolver. As of June 30, 2024, we had outstanding letters of credit totaling $6.5 million.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33"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0"/>
          <w:szCs w:val="20"/>
          <w:color w:val="auto"/>
        </w:rPr>
        <w:t>In June 2024, we issued 1,731,807 shares of Class A common stock to certain limited partners of the Partnership in exchange for 1,731,807 Class B units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71,766 shares of Class A common stock to certain limited partners of the Partnership in exchange for 71,766 Class C units pursuant to the Class C Exchange Agreement and a corresponding number of Class A units of the partnership were issued to us.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Future Sources and Uses of Liquidity</w:t>
      </w:r>
    </w:p>
    <w:p>
      <w:pPr>
        <w:spacing w:after="0" w:line="233"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9"/>
          <w:szCs w:val="19"/>
          <w:color w:val="auto"/>
        </w:rPr>
        <w:t>In the future, we may issue additional equity or debt with the objective of increasing our available capital. For example, we intend to raise approximately $100 to $200 million in debt financing prior to the end of the calendar year to provide greater flexibility in respect of general corporate expenditures. We believe that we will be able to continue to meet our current and long-term liquidity and capital requirements through our cash flows from operating activities, existing cash and cash equivalents, and our ability to obtain future financing.</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Dividend and Distribution Policy</w:t>
      </w:r>
    </w:p>
    <w:p>
      <w:pPr>
        <w:spacing w:after="0" w:line="233" w:lineRule="exact"/>
        <w:rPr>
          <w:sz w:val="20"/>
          <w:szCs w:val="20"/>
          <w:color w:val="auto"/>
        </w:rPr>
      </w:pPr>
    </w:p>
    <w:p>
      <w:pPr>
        <w:ind w:right="560" w:firstLine="648"/>
        <w:spacing w:after="0" w:line="283" w:lineRule="auto"/>
        <w:rPr>
          <w:sz w:val="20"/>
          <w:szCs w:val="20"/>
          <w:color w:val="auto"/>
        </w:rPr>
      </w:pPr>
      <w:r>
        <w:rPr>
          <w:rFonts w:ascii="Times New Roman" w:cs="Times New Roman" w:eastAsia="Times New Roman" w:hAnsi="Times New Roman"/>
          <w:sz w:val="20"/>
          <w:szCs w:val="20"/>
          <w:color w:val="auto"/>
        </w:rPr>
        <w:t>On August 8, 2024, we announced a dividend of $0.24 per share of Class A common stock, payable on September 13, 2024 to holders of record at the close of business on August 30, 2024.</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information regarding cash quarterly dividends on Class A common shares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30, 2023</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FY2024</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3</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FY2025</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 2023.</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 2024.</w:t>
      </w:r>
    </w:p>
    <w:p>
      <w:pPr>
        <w:spacing w:after="0" w:line="20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Tax Receivable Agreements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We have entered into an Exchanges Tax Receivable Agreement with the Class B limited partners, Class C limited partners, and Class D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20"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64" w:lineRule="exact"/>
        <w:rPr>
          <w:sz w:val="20"/>
          <w:szCs w:val="20"/>
          <w:color w:val="auto"/>
        </w:rPr>
      </w:pPr>
    </w:p>
    <w:p>
      <w:pPr>
        <w:ind w:right="100" w:firstLine="648"/>
        <w:spacing w:after="0" w:line="310" w:lineRule="auto"/>
        <w:rPr>
          <w:sz w:val="20"/>
          <w:szCs w:val="20"/>
          <w:color w:val="auto"/>
        </w:rPr>
      </w:pPr>
      <w:r>
        <w:rPr>
          <w:rFonts w:ascii="Times New Roman" w:cs="Times New Roman" w:eastAsia="Times New Roman" w:hAnsi="Times New Roman"/>
          <w:sz w:val="19"/>
          <w:szCs w:val="19"/>
          <w:color w:val="auto"/>
        </w:rPr>
        <w:t>See note 2 to our condensed consolidated financial statements included elsewhere in this quarterly report, and note 2 to our audited consolidated financial statements in our Form 10-K for the year ended March 31, 2024 for a summary of our significant accounting policies.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Recent Accounting Developments</w:t>
      </w:r>
    </w:p>
    <w:p>
      <w:pPr>
        <w:spacing w:after="0" w:line="233"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2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1"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0"/>
          <w:szCs w:val="20"/>
          <w:color w:val="auto"/>
        </w:rPr>
        <w:t>Our management fee and advisory fee revenue is only marginally affected by changes in investment values because our management fees are generally based on commitments or net invested capital and our advisory fees are fixed. As of June 30, 2024, and March 31, 2024, NAV-based management fees represented approximately 11% and 9%, respectively, of total net management and advisory fees. We estimate that a 10% decline in market values of the investments held in our funds as of June 30, 2024 and March 31, 2024, would result in an approximate decrease to annual management fees of $7.0 million and $5.8 million, respectively.</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1" w:lineRule="exact"/>
        <w:rPr>
          <w:sz w:val="20"/>
          <w:szCs w:val="20"/>
          <w:color w:val="auto"/>
        </w:rPr>
      </w:pPr>
    </w:p>
    <w:p>
      <w:pPr>
        <w:ind w:left="660" w:right="220" w:hanging="328"/>
        <w:spacing w:after="0" w:line="258"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June 30, 2024 and March 31, 2024, we had $20.5 million of deferred incentive fee revenue recorded in accounts payable, accrued expenses and other liabilities in the condensed consolidated balance sheets.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351" w:lineRule="exact"/>
        <w:rPr>
          <w:sz w:val="20"/>
          <w:szCs w:val="20"/>
          <w:color w:val="auto"/>
        </w:rPr>
      </w:pPr>
    </w:p>
    <w:p>
      <w:pPr>
        <w:ind w:left="660" w:hanging="328"/>
        <w:spacing w:after="0" w:line="249"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June 30, 2024, and March 31, 2024, the maximum amount of carried interest allocations (excluding legacy Greenspring carried interest allocations) subject to contingent repayment, net of tax, was an estimated $297.0 million and $287.5 million, respectively, assuming the fair value of all investments was zero, a possibility that we view as remote. The primary driver for the change in the contingent repayment between periods is due to additional carried interest allocation realizations in fiscal 2025 that are potentially subject to clawback.</w:t>
      </w:r>
    </w:p>
    <w:p>
      <w:pPr>
        <w:spacing w:after="0" w:line="200" w:lineRule="exact"/>
        <w:rPr>
          <w:rFonts w:ascii="Times New Roman" w:cs="Times New Roman" w:eastAsia="Times New Roman" w:hAnsi="Times New Roman"/>
          <w:sz w:val="20"/>
          <w:szCs w:val="20"/>
          <w:color w:val="auto"/>
        </w:rPr>
      </w:pPr>
    </w:p>
    <w:p>
      <w:pPr>
        <w:ind w:left="660" w:right="60" w:hanging="328"/>
        <w:spacing w:after="0" w:line="258"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June 30, 2024 and March 31, 2024, we estimate that a 10% decline in fair value of the investments in funds would result in a decrease in investment income of $14.6 million and $13.5 million, respectively.</w:t>
      </w:r>
    </w:p>
    <w:p>
      <w:pPr>
        <w:spacing w:after="0" w:line="16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Exchange Rate Risk</w:t>
      </w:r>
    </w:p>
    <w:p>
      <w:pPr>
        <w:spacing w:after="0" w:line="23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172"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3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20"/>
          <w:szCs w:val="20"/>
          <w:color w:val="auto"/>
        </w:rPr>
        <w:t>As of June 30, 2024 and March 31, 2024, we had $175.0 million and $150.0 million, respectively, in borrowings outstanding under our Revolver. The Revolver accrues interest at a variable rate. As of June 30, 2024 and March 31, 2024, we estimate that interest expense would increase by $1.8 million and $1.5 million, respectively, on an annualized basis as a result of a 100 basis point increase in interest rates. Based on the $142.4 million and $144.1 million of cash, cash equivalents and restricted cash (excluding Consolidated Funds) as of June 30, 2024 and March 31, 2024, we estimate that interest income would increase by $1.4 million for both periods, on an annualized basis as a result of a 100 basis point increase in interest rates.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33" w:lineRule="exact"/>
        <w:rPr>
          <w:sz w:val="20"/>
          <w:szCs w:val="20"/>
          <w:color w:val="auto"/>
        </w:rPr>
      </w:pPr>
    </w:p>
    <w:p>
      <w:pPr>
        <w:jc w:val="both"/>
        <w:ind w:right="60" w:firstLine="648"/>
        <w:spacing w:after="0" w:line="253"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Disclosure Controls and Procedures</w:t>
      </w:r>
    </w:p>
    <w:p>
      <w:pPr>
        <w:spacing w:after="0" w:line="23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9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Changes in Internal Controls over Financial Reporting</w:t>
      </w:r>
    </w:p>
    <w:p>
      <w:pPr>
        <w:spacing w:after="0" w:line="2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such term is defined in Rules 13a-15(f) and 15d-15(f) under the Exchange Act) during our most recent quarter ended June 30, 2024, that have materially affected, or are reasonably likely to materially affect, our internal control over financial reporting.</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PART II—OTHER INFORMATION</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33" w:lineRule="exact"/>
        <w:rPr>
          <w:sz w:val="20"/>
          <w:szCs w:val="20"/>
          <w:color w:val="auto"/>
        </w:rPr>
      </w:pPr>
    </w:p>
    <w:p>
      <w:pPr>
        <w:jc w:val="both"/>
        <w:ind w:right="540" w:firstLine="648"/>
        <w:spacing w:after="0" w:line="261" w:lineRule="auto"/>
        <w:rPr>
          <w:sz w:val="20"/>
          <w:szCs w:val="20"/>
          <w:color w:val="auto"/>
        </w:rPr>
      </w:pPr>
      <w:r>
        <w:rPr>
          <w:rFonts w:ascii="Times New Roman" w:cs="Times New Roman" w:eastAsia="Times New Roman" w:hAnsi="Times New Roman"/>
          <w:sz w:val="20"/>
          <w:szCs w:val="20"/>
          <w:color w:val="auto"/>
        </w:rPr>
        <w:t>The information required with respect to this item can be found under the heading “Litigation” in note 14, Commitments and Contingencies, to our condensed consolidated financial statements included elsewhere in this quarterly report, and such information is incorporated by reference into this Part II, Item 1.</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8" w:name="page79"/>
    <w:bookmarkEnd w:id="78"/>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There have been no material changes from the risk factors previously disclosed in Part I, Item 1A of our annual report on Form 10-K for the fiscal year ended March 31, 2024.</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 Trading Arrangements.</w:t>
      </w:r>
    </w:p>
    <w:p>
      <w:pPr>
        <w:spacing w:after="0" w:line="21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During the period covered by this Quarterly Report on Form 10-Q, none of our directors or officers (as defined in Exchange Act Rule 16a-1(f))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vMerge w:val="continue"/>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62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40" w:type="dxa"/>
            <w:vAlign w:val="bottom"/>
            <w:gridSpan w:val="3"/>
          </w:tcPr>
          <w:p>
            <w:pPr>
              <w:ind w:left="20"/>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20" w:type="dxa"/>
            <w:vAlign w:val="bottom"/>
            <w:gridSpan w:val="22"/>
          </w:tcPr>
          <w:p>
            <w:pPr>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Certificate of Incorporation of</w:t>
              </w:r>
            </w:hyperlink>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3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9/18/2020</w:t>
            </w: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StepStone Group Inc.</w:t>
              </w:r>
            </w:hyperlink>
          </w:p>
        </w:tc>
        <w:tc>
          <w:tcPr>
            <w:tcW w:w="2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20" w:type="dxa"/>
            <w:vAlign w:val="bottom"/>
            <w:gridSpan w:val="22"/>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and Restated Bylaws of StepStone Group Inc.</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2/09/2023</w:t>
            </w: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0" w:type="dxa"/>
            <w:vAlign w:val="bottom"/>
          </w:tcPr>
          <w:p>
            <w:pPr>
              <w:spacing w:after="0"/>
              <w:rPr>
                <w:sz w:val="18"/>
                <w:szCs w:val="18"/>
                <w:color w:val="auto"/>
              </w:rPr>
            </w:pPr>
          </w:p>
        </w:tc>
        <w:tc>
          <w:tcPr>
            <w:tcW w:w="4620" w:type="dxa"/>
            <w:vAlign w:val="bottom"/>
            <w:gridSpan w:val="22"/>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Amended and Restated Credit Agreement, dated as of May 16,</w:t>
              </w:r>
            </w:hyperlink>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5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2024, by and among StepStone Group LP, JPMorgan Chase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20" w:type="dxa"/>
            <w:vAlign w:val="bottom"/>
            <w:gridSpan w:val="22"/>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Bank, N.A., as administrative agent and collateral agent, and</w:t>
              </w:r>
            </w:hyperlink>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5/17/2024</w:t>
            </w: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3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certain other lenders party thereto.</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gridSpan w:val="4"/>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gridSpan w:val="4"/>
          </w:tcPr>
          <w:p>
            <w:pPr>
              <w:ind w:left="20"/>
              <w:spacing w:after="0"/>
              <w:rPr>
                <w:rFonts w:ascii="Times New Roman" w:cs="Times New Roman" w:eastAsia="Times New Roman" w:hAnsi="Times New Roman"/>
                <w:sz w:val="18"/>
                <w:szCs w:val="18"/>
                <w:color w:val="0000FF"/>
                <w:w w:val="93"/>
              </w:rPr>
            </w:pPr>
            <w:hyperlink r:id="rId108">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w:t>
              </w:r>
            </w:hyperlink>
          </w:p>
        </w:tc>
        <w:tc>
          <w:tcPr>
            <w:tcW w:w="800" w:type="dxa"/>
            <w:vAlign w:val="bottom"/>
          </w:tcPr>
          <w:p>
            <w:pPr>
              <w:spacing w:after="0"/>
              <w:rPr>
                <w:sz w:val="18"/>
                <w:szCs w:val="18"/>
                <w:color w:val="auto"/>
              </w:rPr>
            </w:pPr>
          </w:p>
        </w:tc>
        <w:tc>
          <w:tcPr>
            <w:tcW w:w="4620" w:type="dxa"/>
            <w:vAlign w:val="bottom"/>
            <w:gridSpan w:val="22"/>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Tenth Amended and Restated Limited Partnership Agreement</w:t>
              </w:r>
            </w:hyperlink>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of StepStone Group LP, dated May 31, 2024, by and among</w:t>
              </w:r>
            </w:hyperlink>
          </w:p>
        </w:tc>
        <w:tc>
          <w:tcPr>
            <w:tcW w:w="1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20" w:type="dxa"/>
            <w:vAlign w:val="bottom"/>
            <w:gridSpan w:val="22"/>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StepStone Group Holdings, LLC, as General Partner, and each</w:t>
              </w:r>
            </w:hyperlink>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5/31/2024</w:t>
            </w: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5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of the other persons and entities party thereto.</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gridSpan w:val="4"/>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800" w:type="dxa"/>
            <w:vAlign w:val="bottom"/>
          </w:tcPr>
          <w:p>
            <w:pPr>
              <w:spacing w:after="0"/>
              <w:rPr>
                <w:sz w:val="18"/>
                <w:szCs w:val="18"/>
                <w:color w:val="auto"/>
              </w:rPr>
            </w:pPr>
          </w:p>
        </w:tc>
        <w:tc>
          <w:tcPr>
            <w:tcW w:w="4620" w:type="dxa"/>
            <w:vAlign w:val="bottom"/>
            <w:gridSpan w:val="22"/>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Second Amended &amp; Restated Registration Rights Agreement,</w:t>
              </w:r>
            </w:hyperlink>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7"/>
              </w:rPr>
            </w:pPr>
            <w:hyperlink r:id="rId109">
              <w:r>
                <w:rPr>
                  <w:rFonts w:ascii="Times New Roman" w:cs="Times New Roman" w:eastAsia="Times New Roman" w:hAnsi="Times New Roman"/>
                  <w:sz w:val="18"/>
                  <w:szCs w:val="18"/>
                  <w:color w:val="0000FF"/>
                  <w:w w:val="97"/>
                </w:rPr>
                <w:t>dated May 31, 2024, by and among the Company and the other</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5/31/2024</w:t>
            </w: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60" w:type="dxa"/>
            <w:vAlign w:val="bottom"/>
            <w:tcBorders>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persons and entities party thereto.</w:t>
              </w:r>
            </w:hyperlink>
          </w:p>
        </w:tc>
        <w:tc>
          <w:tcPr>
            <w:tcW w:w="360" w:type="dxa"/>
            <w:vAlign w:val="bottom"/>
          </w:tcPr>
          <w:p>
            <w:pPr>
              <w:spacing w:after="0"/>
              <w:rPr>
                <w:sz w:val="13"/>
                <w:szCs w:val="13"/>
                <w:color w:val="auto"/>
              </w:rPr>
            </w:pPr>
          </w:p>
        </w:tc>
        <w:tc>
          <w:tcPr>
            <w:tcW w:w="14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800" w:type="dxa"/>
            <w:vAlign w:val="bottom"/>
          </w:tcPr>
          <w:p>
            <w:pPr>
              <w:spacing w:after="0"/>
              <w:rPr>
                <w:sz w:val="19"/>
                <w:szCs w:val="19"/>
                <w:color w:val="auto"/>
              </w:rPr>
            </w:pPr>
          </w:p>
        </w:tc>
        <w:tc>
          <w:tcPr>
            <w:tcW w:w="4620" w:type="dxa"/>
            <w:vAlign w:val="bottom"/>
            <w:gridSpan w:val="22"/>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Class D Exchange Agreement, dated as of May 31, 2024, by</w:t>
              </w:r>
            </w:hyperlink>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20" w:type="dxa"/>
            <w:vAlign w:val="bottom"/>
            <w:gridSpan w:val="22"/>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and among the Company, the Partnership and the other persons</w:t>
              </w:r>
            </w:hyperlink>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3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5/31/2024</w:t>
            </w: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and entities party thereto.</w:t>
              </w:r>
            </w:hyperlink>
          </w:p>
        </w:tc>
        <w:tc>
          <w:tcPr>
            <w:tcW w:w="27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800" w:type="dxa"/>
            <w:vAlign w:val="bottom"/>
          </w:tcPr>
          <w:p>
            <w:pPr>
              <w:spacing w:after="0"/>
              <w:rPr>
                <w:sz w:val="19"/>
                <w:szCs w:val="19"/>
                <w:color w:val="auto"/>
              </w:rPr>
            </w:pPr>
          </w:p>
        </w:tc>
        <w:tc>
          <w:tcPr>
            <w:tcW w:w="4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8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amended</w:t>
            </w:r>
          </w:p>
        </w:tc>
        <w:tc>
          <w:tcPr>
            <w:tcW w:w="3700" w:type="dxa"/>
            <w:vAlign w:val="bottom"/>
            <w:tcBorders>
              <w:top w:val="single" w:sz="8" w:color="0000FF"/>
            </w:tcBorders>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800" w:type="dxa"/>
            <w:vAlign w:val="bottom"/>
          </w:tcPr>
          <w:p>
            <w:pPr>
              <w:spacing w:after="0"/>
              <w:rPr>
                <w:sz w:val="19"/>
                <w:szCs w:val="19"/>
                <w:color w:val="auto"/>
              </w:rPr>
            </w:pPr>
          </w:p>
        </w:tc>
        <w:tc>
          <w:tcPr>
            <w:tcW w:w="4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60" w:type="dxa"/>
            <w:vAlign w:val="bottom"/>
            <w:gridSpan w:val="8"/>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amended</w:t>
            </w:r>
          </w:p>
        </w:tc>
        <w:tc>
          <w:tcPr>
            <w:tcW w:w="3700" w:type="dxa"/>
            <w:vAlign w:val="bottom"/>
            <w:tcBorders>
              <w:top w:val="single" w:sz="8" w:color="0000FF"/>
            </w:tcBorders>
            <w:gridSpan w:val="10"/>
          </w:tcPr>
          <w:p>
            <w:pPr>
              <w:spacing w:after="0"/>
              <w:rPr>
                <w:sz w:val="13"/>
                <w:szCs w:val="13"/>
                <w:color w:val="auto"/>
              </w:rPr>
            </w:pPr>
          </w:p>
        </w:tc>
        <w:tc>
          <w:tcPr>
            <w:tcW w:w="240" w:type="dxa"/>
            <w:vAlign w:val="bottom"/>
            <w:gridSpan w:val="10"/>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800" w:type="dxa"/>
            <w:vAlign w:val="bottom"/>
          </w:tcPr>
          <w:p>
            <w:pPr>
              <w:spacing w:after="0"/>
              <w:rPr>
                <w:sz w:val="19"/>
                <w:szCs w:val="19"/>
                <w:color w:val="auto"/>
              </w:rPr>
            </w:pPr>
          </w:p>
        </w:tc>
        <w:tc>
          <w:tcPr>
            <w:tcW w:w="4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906 of the Sarbanes-Oxley Act of 2002</w:t>
            </w:r>
          </w:p>
        </w:tc>
        <w:tc>
          <w:tcPr>
            <w:tcW w:w="1480" w:type="dxa"/>
            <w:vAlign w:val="bottom"/>
            <w:tcBorders>
              <w:top w:val="single" w:sz="8" w:color="0000FF"/>
            </w:tcBorders>
            <w:gridSpan w:val="5"/>
          </w:tcPr>
          <w:p>
            <w:pPr>
              <w:spacing w:after="0"/>
              <w:rPr>
                <w:sz w:val="13"/>
                <w:szCs w:val="13"/>
                <w:color w:val="auto"/>
              </w:rPr>
            </w:pPr>
          </w:p>
        </w:tc>
        <w:tc>
          <w:tcPr>
            <w:tcW w:w="280" w:type="dxa"/>
            <w:vAlign w:val="bottom"/>
            <w:gridSpan w:val="11"/>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800" w:type="dxa"/>
            <w:vAlign w:val="bottom"/>
          </w:tcPr>
          <w:p>
            <w:pPr>
              <w:spacing w:after="0"/>
              <w:rPr>
                <w:sz w:val="19"/>
                <w:szCs w:val="19"/>
                <w:color w:val="auto"/>
              </w:rPr>
            </w:pPr>
          </w:p>
        </w:tc>
        <w:tc>
          <w:tcPr>
            <w:tcW w:w="4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580" w:type="dxa"/>
            <w:vAlign w:val="bottom"/>
            <w:tcBorders>
              <w:top w:val="single" w:sz="8" w:color="0000FF"/>
            </w:tcBorders>
            <w:gridSpan w:val="21"/>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200" w:right="5400" w:hanging="1181"/>
        <w:spacing w:after="0" w:line="225" w:lineRule="auto"/>
        <w:tabs>
          <w:tab w:leader="none" w:pos="12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our quarterly report on Form 10-Q for the quarter ended June 30, 2024 formatted in Inline XBRL (Extensible Business Reporting Language): (i) the Condensed Consolidated Balance Sheets; (ii) the Condensed Consolidated Statements of Income; (iii) the Condensed Consolidated Statements of Comprehensive Income; (iv) the</w:t>
      </w:r>
    </w:p>
    <w:p>
      <w:pPr>
        <w:ind w:left="1200"/>
        <w:spacing w:after="0" w:line="203" w:lineRule="auto"/>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ind w:left="1200"/>
        <w:spacing w:after="0" w:line="204" w:lineRule="auto"/>
        <w:rPr>
          <w:sz w:val="20"/>
          <w:szCs w:val="20"/>
          <w:color w:val="auto"/>
        </w:rPr>
      </w:pPr>
      <w:r>
        <w:rPr>
          <w:rFonts w:ascii="Times New Roman" w:cs="Times New Roman" w:eastAsia="Times New Roman" w:hAnsi="Times New Roman"/>
          <w:sz w:val="18"/>
          <w:szCs w:val="18"/>
          <w:color w:val="auto"/>
        </w:rPr>
        <w:t>(v) the Condensed Consolidated Statements of Cash Flows; (vi)</w:t>
      </w:r>
    </w:p>
    <w:p>
      <w:pPr>
        <w:ind w:left="1200"/>
        <w:spacing w:after="0" w:line="219" w:lineRule="auto"/>
        <w:rPr>
          <w:sz w:val="20"/>
          <w:szCs w:val="20"/>
          <w:color w:val="auto"/>
        </w:rPr>
      </w:pPr>
      <w:r>
        <w:rPr>
          <w:rFonts w:ascii="Times New Roman" w:cs="Times New Roman" w:eastAsia="Times New Roman" w:hAnsi="Times New Roman"/>
          <w:sz w:val="18"/>
          <w:szCs w:val="18"/>
          <w:color w:val="auto"/>
        </w:rPr>
        <w:t>Notes to Condensed Consolidated Financial Statements; and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20" w:type="dxa"/>
            <w:vAlign w:val="bottom"/>
          </w:tcPr>
          <w:p>
            <w:pPr>
              <w:spacing w:after="0"/>
              <w:rPr>
                <w:sz w:val="18"/>
                <w:szCs w:val="18"/>
                <w:color w:val="auto"/>
              </w:rPr>
            </w:pPr>
          </w:p>
        </w:tc>
        <w:tc>
          <w:tcPr>
            <w:tcW w:w="7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(vii) Part II, Item 5(c).</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180"/>
        </w:trPr>
        <w:tc>
          <w:tcPr>
            <w:tcW w:w="720" w:type="dxa"/>
            <w:vAlign w:val="bottom"/>
          </w:tcPr>
          <w:p>
            <w:pPr>
              <w:jc w:val="right"/>
              <w:ind w:right="370"/>
              <w:spacing w:after="0" w:line="181" w:lineRule="exact"/>
              <w:rPr>
                <w:sz w:val="20"/>
                <w:szCs w:val="20"/>
                <w:color w:val="auto"/>
              </w:rPr>
            </w:pPr>
            <w:r>
              <w:rPr>
                <w:rFonts w:ascii="Times New Roman" w:cs="Times New Roman" w:eastAsia="Times New Roman" w:hAnsi="Times New Roman"/>
                <w:sz w:val="18"/>
                <w:szCs w:val="18"/>
                <w:color w:val="auto"/>
                <w:w w:val="88"/>
              </w:rPr>
              <w:t>104</w:t>
            </w:r>
          </w:p>
        </w:tc>
        <w:tc>
          <w:tcPr>
            <w:tcW w:w="734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2640" w:type="dxa"/>
            <w:vAlign w:val="bottom"/>
          </w:tcPr>
          <w:p>
            <w:pPr>
              <w:spacing w:after="0"/>
              <w:rPr>
                <w:sz w:val="15"/>
                <w:szCs w:val="15"/>
                <w:color w:val="auto"/>
              </w:rPr>
            </w:pPr>
          </w:p>
        </w:tc>
      </w:tr>
      <w:tr>
        <w:trPr>
          <w:trHeight w:val="243"/>
        </w:trPr>
        <w:tc>
          <w:tcPr>
            <w:tcW w:w="720" w:type="dxa"/>
            <w:vAlign w:val="bottom"/>
          </w:tcPr>
          <w:p>
            <w:pPr>
              <w:spacing w:after="0"/>
              <w:rPr>
                <w:sz w:val="21"/>
                <w:szCs w:val="21"/>
                <w:color w:val="auto"/>
              </w:rPr>
            </w:pPr>
          </w:p>
        </w:tc>
        <w:tc>
          <w:tcPr>
            <w:tcW w:w="7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bl>
    <w:p>
      <w:pPr>
        <w:ind w:left="1200" w:right="460" w:hanging="1181"/>
        <w:spacing w:after="0" w:line="257" w:lineRule="auto"/>
        <w:tabs>
          <w:tab w:leader="none" w:pos="12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and exhibits have been omitted pursuant to Item 601(a)(5) of Regulation S-K. The Company hereby undertakes to furnish supplemental copies of any of the omitted schedules and exhibits upon request by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207010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80" w:name="page81"/>
    <w:bookmarkEnd w:id="80"/>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 on August 8, 2024</w:t>
      </w:r>
      <w:r>
        <w:rPr>
          <w:rFonts w:ascii="Times New Roman" w:cs="Times New Roman" w:eastAsia="Times New Roman" w:hAnsi="Times New Roman"/>
          <w:sz w:val="20"/>
          <w:szCs w:val="20"/>
          <w:b w:val="1"/>
          <w:bCs w:val="1"/>
          <w:color w:val="auto"/>
        </w:rPr>
        <w:t>.</w:t>
      </w:r>
    </w:p>
    <w:p>
      <w:pPr>
        <w:spacing w:after="0" w:line="2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0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0940"/>
          </w:cols>
          <w:pgMar w:left="320" w:top="1440" w:right="6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CERTIFICATION BY THE CHIEF EXECUTIVE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Scott W. Hart, certify that:</w:t>
      </w:r>
    </w:p>
    <w:p>
      <w:pPr>
        <w:spacing w:after="0" w:line="22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StepStone Group Inc.;</w:t>
      </w:r>
    </w:p>
    <w:p>
      <w:pPr>
        <w:spacing w:after="0" w:line="215"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89"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20"/>
          <w:szCs w:val="20"/>
          <w:color w:val="auto"/>
        </w:rPr>
      </w:pPr>
    </w:p>
    <w:p>
      <w:pPr>
        <w:ind w:left="1300" w:right="560" w:hanging="320"/>
        <w:spacing w:after="0" w:line="288" w:lineRule="auto"/>
        <w:tabs>
          <w:tab w:leader="none" w:pos="130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9"/>
          <w:szCs w:val="19"/>
          <w:color w:val="auto"/>
        </w:rPr>
      </w:pPr>
    </w:p>
    <w:p>
      <w:pPr>
        <w:ind w:left="1300" w:right="60" w:hanging="320"/>
        <w:spacing w:after="0" w:line="261" w:lineRule="auto"/>
        <w:tabs>
          <w:tab w:leader="none" w:pos="1289"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ind w:left="1300" w:right="600" w:hanging="320"/>
        <w:spacing w:after="0" w:line="269" w:lineRule="auto"/>
        <w:tabs>
          <w:tab w:leader="none" w:pos="13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w:t>
      </w:r>
    </w:p>
    <w:p>
      <w:pPr>
        <w:sectPr>
          <w:pgSz w:w="11900" w:h="16838" w:orient="portrait"/>
          <w:cols w:equalWidth="0" w:num="1">
            <w:col w:w="11240"/>
          </w:cols>
          <w:pgMar w:left="320" w:top="114" w:right="339" w:bottom="1440" w:gutter="0" w:footer="0" w:header="0"/>
        </w:sectPr>
      </w:pPr>
    </w:p>
    <w:bookmarkStart w:id="82" w:name="page83"/>
    <w:bookmarkEnd w:id="82"/>
    <w:p>
      <w:pPr>
        <w:spacing w:after="0" w:line="135" w:lineRule="exact"/>
        <w:rPr>
          <w:sz w:val="20"/>
          <w:szCs w:val="20"/>
          <w:color w:val="auto"/>
        </w:rPr>
      </w:pPr>
    </w:p>
    <w:p>
      <w:pPr>
        <w:ind w:left="1280" w:right="160"/>
        <w:spacing w:after="0" w:line="283" w:lineRule="auto"/>
        <w:rPr>
          <w:sz w:val="20"/>
          <w:szCs w:val="20"/>
          <w:color w:val="auto"/>
        </w:rPr>
      </w:pPr>
      <w:r>
        <w:rPr>
          <w:rFonts w:ascii="Times New Roman" w:cs="Times New Roman" w:eastAsia="Times New Roman" w:hAnsi="Times New Roman"/>
          <w:sz w:val="20"/>
          <w:szCs w:val="20"/>
          <w:color w:val="auto"/>
        </w:rPr>
        <w:t>the case of an annual report) that has materially affected, or is reasonably likely to materially affect, the registrant’s internal control over financial reporting; and</w:t>
      </w:r>
    </w:p>
    <w:p>
      <w:pPr>
        <w:spacing w:after="0" w:line="146" w:lineRule="exact"/>
        <w:rPr>
          <w:sz w:val="20"/>
          <w:szCs w:val="20"/>
          <w:color w:val="auto"/>
        </w:rPr>
      </w:pPr>
    </w:p>
    <w:p>
      <w:pPr>
        <w:ind w:left="640" w:right="60" w:hanging="328"/>
        <w:spacing w:after="0" w:line="261" w:lineRule="auto"/>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ind w:left="1280" w:right="340" w:hanging="320"/>
        <w:spacing w:after="0" w:line="261" w:lineRule="auto"/>
        <w:tabs>
          <w:tab w:leader="none" w:pos="1269"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20"/>
          <w:szCs w:val="20"/>
          <w:color w:val="auto"/>
        </w:rPr>
      </w:pPr>
    </w:p>
    <w:p>
      <w:pPr>
        <w:ind w:left="1280" w:right="740" w:hanging="320"/>
        <w:spacing w:after="0" w:line="269" w:lineRule="auto"/>
        <w:tabs>
          <w:tab w:leader="none" w:pos="12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August 8, 2024</w:t>
            </w:r>
          </w:p>
        </w:tc>
        <w:tc>
          <w:tcPr>
            <w:tcW w:w="7800" w:type="dxa"/>
            <w:vAlign w:val="bottom"/>
            <w:gridSpan w:val="2"/>
          </w:tcPr>
          <w:p>
            <w:pPr>
              <w:ind w:left="1740"/>
              <w:spacing w:after="0"/>
              <w:rPr>
                <w:sz w:val="20"/>
                <w:szCs w:val="20"/>
                <w:color w:val="auto"/>
              </w:rPr>
            </w:pPr>
            <w:r>
              <w:rPr>
                <w:rFonts w:ascii="Times New Roman" w:cs="Times New Roman" w:eastAsia="Times New Roman" w:hAnsi="Times New Roman"/>
                <w:sz w:val="20"/>
                <w:szCs w:val="20"/>
                <w:color w:val="auto"/>
              </w:rPr>
              <w:t>By: /s/ Scott W. Hart</w:t>
            </w:r>
          </w:p>
        </w:tc>
      </w:tr>
      <w:tr>
        <w:trPr>
          <w:trHeight w:val="244"/>
        </w:trPr>
        <w:tc>
          <w:tcPr>
            <w:tcW w:w="3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Scott W. Hart</w:t>
            </w:r>
          </w:p>
        </w:tc>
      </w:tr>
      <w:tr>
        <w:trPr>
          <w:trHeight w:val="253"/>
        </w:trPr>
        <w:tc>
          <w:tcPr>
            <w:tcW w:w="3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62"/>
        </w:trPr>
        <w:tc>
          <w:tcPr>
            <w:tcW w:w="34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ectPr>
          <w:pgSz w:w="11900" w:h="16838" w:orient="portrait"/>
          <w:cols w:equalWidth="0" w:num="1">
            <w:col w:w="11220"/>
          </w:cols>
          <w:pgMar w:left="340" w:top="1440" w:right="339" w:bottom="1440" w:gutter="0" w:footer="0" w:header="0"/>
        </w:sectPr>
      </w:pPr>
    </w:p>
    <w:bookmarkStart w:id="83" w:name="page84"/>
    <w:bookmarkEnd w:id="83"/>
    <w:p>
      <w:pPr>
        <w:ind w:left="10000"/>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CERTIFICATION BY THE CHIEF FINANCIAL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Y. Park, certify that:</w:t>
      </w:r>
    </w:p>
    <w:p>
      <w:pPr>
        <w:spacing w:after="0" w:line="229"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StepStone Group Inc.;</w:t>
      </w:r>
    </w:p>
    <w:p>
      <w:pPr>
        <w:spacing w:after="0" w:line="215"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89"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20"/>
          <w:szCs w:val="20"/>
          <w:color w:val="auto"/>
        </w:rPr>
      </w:pPr>
    </w:p>
    <w:p>
      <w:pPr>
        <w:ind w:left="1300" w:right="560" w:hanging="320"/>
        <w:spacing w:after="0" w:line="288" w:lineRule="auto"/>
        <w:tabs>
          <w:tab w:leader="none" w:pos="130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9"/>
          <w:szCs w:val="19"/>
          <w:color w:val="auto"/>
        </w:rPr>
      </w:pPr>
    </w:p>
    <w:p>
      <w:pPr>
        <w:ind w:left="1300" w:right="60" w:hanging="320"/>
        <w:spacing w:after="0" w:line="261" w:lineRule="auto"/>
        <w:tabs>
          <w:tab w:leader="none" w:pos="1289"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ind w:left="1300" w:right="80" w:hanging="320"/>
        <w:spacing w:after="0" w:line="261" w:lineRule="auto"/>
        <w:tabs>
          <w:tab w:leader="none" w:pos="130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14" w:right="339" w:bottom="1440" w:gutter="0" w:footer="0" w:header="0"/>
        </w:sectPr>
      </w:pPr>
    </w:p>
    <w:bookmarkStart w:id="84" w:name="page85"/>
    <w:bookmarkEnd w:id="84"/>
    <w:p>
      <w:pPr>
        <w:spacing w:after="0" w:line="351" w:lineRule="exact"/>
        <w:rPr>
          <w:sz w:val="20"/>
          <w:szCs w:val="20"/>
          <w:color w:val="auto"/>
        </w:rPr>
      </w:pPr>
    </w:p>
    <w:p>
      <w:pPr>
        <w:ind w:left="640" w:right="60" w:hanging="328"/>
        <w:spacing w:after="0" w:line="261" w:lineRule="auto"/>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ind w:left="1280" w:right="340" w:hanging="320"/>
        <w:spacing w:after="0" w:line="261" w:lineRule="auto"/>
        <w:tabs>
          <w:tab w:leader="none" w:pos="1269"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20"/>
          <w:szCs w:val="20"/>
          <w:color w:val="auto"/>
        </w:rPr>
      </w:pPr>
    </w:p>
    <w:p>
      <w:pPr>
        <w:ind w:left="1280" w:right="740" w:hanging="320"/>
        <w:spacing w:after="0" w:line="269" w:lineRule="auto"/>
        <w:tabs>
          <w:tab w:leader="none" w:pos="12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August 8, 2024</w:t>
            </w:r>
          </w:p>
        </w:tc>
        <w:tc>
          <w:tcPr>
            <w:tcW w:w="7800" w:type="dxa"/>
            <w:vAlign w:val="bottom"/>
            <w:gridSpan w:val="2"/>
          </w:tcPr>
          <w:p>
            <w:pPr>
              <w:ind w:left="1740"/>
              <w:spacing w:after="0"/>
              <w:rPr>
                <w:sz w:val="20"/>
                <w:szCs w:val="20"/>
                <w:color w:val="auto"/>
              </w:rPr>
            </w:pPr>
            <w:r>
              <w:rPr>
                <w:rFonts w:ascii="Times New Roman" w:cs="Times New Roman" w:eastAsia="Times New Roman" w:hAnsi="Times New Roman"/>
                <w:sz w:val="20"/>
                <w:szCs w:val="20"/>
                <w:color w:val="auto"/>
              </w:rPr>
              <w:t>By: /s/ David Y. Park</w:t>
            </w:r>
          </w:p>
        </w:tc>
      </w:tr>
      <w:tr>
        <w:trPr>
          <w:trHeight w:val="244"/>
        </w:trPr>
        <w:tc>
          <w:tcPr>
            <w:tcW w:w="3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David Y. Park</w:t>
            </w:r>
          </w:p>
        </w:tc>
      </w:tr>
      <w:tr>
        <w:trPr>
          <w:trHeight w:val="253"/>
        </w:trPr>
        <w:tc>
          <w:tcPr>
            <w:tcW w:w="3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2"/>
        </w:trPr>
        <w:tc>
          <w:tcPr>
            <w:tcW w:w="34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r>
    </w:tbl>
    <w:p>
      <w:pPr>
        <w:sectPr>
          <w:pgSz w:w="11900" w:h="16838" w:orient="portrait"/>
          <w:cols w:equalWidth="0" w:num="1">
            <w:col w:w="11220"/>
          </w:cols>
          <w:pgMar w:left="340" w:top="144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StepStone Group Inc. (the “Company”) on Form 10-Q for the three months ended June 30, 2024,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August 8, 2024</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Scott W. Hart</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StepStone Group Inc. (the “Company”) on Form 10-Q for the three months ended June 30, 2024, as filed with the Securities and Exchange Commission (the “SEC”) on or about the date hereof (the “Report”), I, David Y. Park, Chief Financial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August 8, 2024</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endash "/>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4"/>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3"/>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lowerRoman"/>
      <w:start w:val="1"/>
    </w:lvl>
  </w:abstractNum>
  <w:abstractNum w:abstractNumId="22">
    <w:nsid w:val="5072367"/>
    <w:multiLevelType w:val="hybridMultilevel"/>
    <w:lvl w:ilvl="0">
      <w:lvlJc w:val="left"/>
      <w:lvlText w:val="(%1)"/>
      <w:numFmt w:val="decimal"/>
      <w:start w:val="1"/>
    </w:lvl>
    <w:lvl w:ilvl="1">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decimal"/>
      <w:start w:val="1"/>
    </w:lvl>
    <w:lvl w:ilvl="1">
      <w:lvlJc w:val="left"/>
      <w:lvlText w:val="%2."/>
      <w:numFmt w:val="lowerRoman"/>
      <w:start w:val="1"/>
    </w:lvl>
  </w:abstractNum>
  <w:abstractNum w:abstractNumId="34">
    <w:nsid w:val="70A64E2A"/>
    <w:multiLevelType w:val="hybridMultilevel"/>
    <w:lvl w:ilvl="0">
      <w:lvlJc w:val="left"/>
      <w:lvlText w:val="(%1)"/>
      <w:numFmt w:val="decimal"/>
      <w:start w:val="4"/>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0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5"/>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5"/>
    </w:lvl>
    <w:lvl w:ilvl="1">
      <w:lvlJc w:val="left"/>
      <w:lvlText w:val="%2."/>
      <w:numFmt w:val="lowerLetter"/>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05" Type="http://schemas.openxmlformats.org/officeDocument/2006/relationships/hyperlink" Target="https://www.sec.gov/Archives/edgar/data/1796022/000119312520248881/d23934dex31.htm" TargetMode="External"/><Relationship Id="rId106" Type="http://schemas.openxmlformats.org/officeDocument/2006/relationships/hyperlink" Target="https://www.sec.gov/Archives/edgar/data/1796022/000179602223000011/exhibit32q3fy2023.htm" TargetMode="External"/><Relationship Id="rId107" Type="http://schemas.openxmlformats.org/officeDocument/2006/relationships/hyperlink" Target="https://www.sec.gov/Archives/edgar/data/1796022/000119312524141712/d817513dex101.htm" TargetMode="External"/><Relationship Id="rId108" Type="http://schemas.openxmlformats.org/officeDocument/2006/relationships/hyperlink" Target="https://www.sec.gov/Archives/edgar/data/1796022/000119312524151736/d810694dex101.htm" TargetMode="External"/><Relationship Id="rId109" Type="http://schemas.openxmlformats.org/officeDocument/2006/relationships/hyperlink" Target="https://www.sec.gov/Archives/edgar/data/1796022/000119312524151736/d810694dex102.htm" TargetMode="External"/><Relationship Id="rId110" Type="http://schemas.openxmlformats.org/officeDocument/2006/relationships/hyperlink" Target="https://www.sec.gov/Archives/edgar/data/1796022/000119312524151736/d81069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2024-08-08T15:48:58Z</dcterms:created>
  <dcterms:modified xsi:type="dcterms:W3CDTF">2024-08-08T15:48:58Z</dcterms:modified>
</cp:coreProperties>
</file>