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7"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2" w:lineRule="exact"/>
        <w:rPr>
          <w:sz w:val="24"/>
          <w:szCs w:val="24"/>
          <w:color w:val="auto"/>
        </w:rPr>
      </w:pPr>
    </w:p>
    <w:p>
      <w:pPr>
        <w:ind w:left="2520" w:right="2500" w:hanging="2454"/>
        <w:spacing w:after="0" w:line="416"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jc w:val="center"/>
        <w:ind w:right="-19"/>
        <w:spacing w:after="0"/>
        <w:rPr>
          <w:sz w:val="20"/>
          <w:szCs w:val="20"/>
          <w:color w:val="auto"/>
        </w:rPr>
      </w:pPr>
      <w:r>
        <w:rPr>
          <w:rFonts w:ascii="Arial" w:cs="Arial" w:eastAsia="Arial" w:hAnsi="Arial"/>
          <w:sz w:val="16"/>
          <w:szCs w:val="16"/>
          <w:color w:val="auto"/>
        </w:rPr>
        <w:t>Commission file number 001-39510</w:t>
      </w:r>
    </w:p>
    <w:p>
      <w:pPr>
        <w:spacing w:after="0" w:line="41" w:lineRule="exact"/>
        <w:rPr>
          <w:sz w:val="24"/>
          <w:szCs w:val="24"/>
          <w:color w:val="auto"/>
        </w:rPr>
      </w:pPr>
    </w:p>
    <w:tbl>
      <w:tblPr>
        <w:tblLayout w:type="fixed"/>
        <w:tblInd w:w="1540" w:type="dxa"/>
        <w:tblCellMar>
          <w:top w:w="0" w:type="dxa"/>
          <w:left w:w="0" w:type="dxa"/>
          <w:bottom w:w="0" w:type="dxa"/>
          <w:right w:w="0" w:type="dxa"/>
        </w:tblCellMar>
      </w:tblPr>
      <w:tr>
        <w:trPr>
          <w:trHeight w:val="421"/>
        </w:trPr>
        <w:tc>
          <w:tcPr>
            <w:tcW w:w="8200" w:type="dxa"/>
            <w:vAlign w:val="bottom"/>
            <w:gridSpan w:val="5"/>
          </w:tcPr>
          <w:p>
            <w:pPr>
              <w:jc w:val="right"/>
              <w:ind w:right="1928"/>
              <w:spacing w:after="0"/>
              <w:rPr>
                <w:sz w:val="20"/>
                <w:szCs w:val="20"/>
                <w:color w:val="auto"/>
              </w:rPr>
            </w:pPr>
            <w:r>
              <w:rPr>
                <w:rFonts w:ascii="Arial" w:cs="Arial" w:eastAsia="Arial" w:hAnsi="Arial"/>
                <w:sz w:val="32"/>
                <w:szCs w:val="32"/>
                <w:b w:val="1"/>
                <w:bCs w:val="1"/>
                <w:color w:val="auto"/>
              </w:rPr>
              <w:t>STEPSTONE GROUP INC.</w:t>
            </w:r>
          </w:p>
        </w:tc>
      </w:tr>
      <w:tr>
        <w:trPr>
          <w:trHeight w:val="203"/>
        </w:trPr>
        <w:tc>
          <w:tcPr>
            <w:tcW w:w="8200" w:type="dxa"/>
            <w:vAlign w:val="bottom"/>
            <w:gridSpan w:val="5"/>
          </w:tcPr>
          <w:p>
            <w:pPr>
              <w:jc w:val="right"/>
              <w:ind w:right="226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03"/>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508"/>
              <w:spacing w:after="0"/>
              <w:rPr>
                <w:sz w:val="20"/>
                <w:szCs w:val="20"/>
                <w:color w:val="auto"/>
              </w:rPr>
            </w:pPr>
            <w:r>
              <w:rPr>
                <w:rFonts w:ascii="Arial" w:cs="Arial" w:eastAsia="Arial" w:hAnsi="Arial"/>
                <w:sz w:val="14"/>
                <w:szCs w:val="14"/>
                <w:b w:val="1"/>
                <w:bCs w:val="1"/>
                <w:color w:val="auto"/>
              </w:rPr>
              <w:t>84-3868757</w:t>
            </w:r>
          </w:p>
        </w:tc>
      </w:tr>
      <w:tr>
        <w:trPr>
          <w:trHeight w:val="147"/>
        </w:trPr>
        <w:tc>
          <w:tcPr>
            <w:tcW w:w="3340" w:type="dxa"/>
            <w:vAlign w:val="bottom"/>
            <w:gridSpan w:val="2"/>
          </w:tcPr>
          <w:p>
            <w:pPr>
              <w:jc w:val="center"/>
              <w:ind w:right="92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jc w:val="right"/>
              <w:ind w:right="368"/>
              <w:spacing w:after="0" w:line="147" w:lineRule="exact"/>
              <w:rPr>
                <w:sz w:val="20"/>
                <w:szCs w:val="20"/>
                <w:color w:val="auto"/>
              </w:rPr>
            </w:pPr>
            <w:r>
              <w:rPr>
                <w:rFonts w:ascii="Arial" w:cs="Arial" w:eastAsia="Arial" w:hAnsi="Arial"/>
                <w:sz w:val="14"/>
                <w:szCs w:val="14"/>
                <w:color w:val="auto"/>
              </w:rPr>
              <w:t>(I.R.S. Employer</w:t>
            </w:r>
          </w:p>
        </w:tc>
      </w:tr>
      <w:tr>
        <w:trPr>
          <w:trHeight w:val="182"/>
        </w:trPr>
        <w:tc>
          <w:tcPr>
            <w:tcW w:w="3340" w:type="dxa"/>
            <w:vAlign w:val="bottom"/>
            <w:gridSpan w:val="2"/>
          </w:tcPr>
          <w:p>
            <w:pPr>
              <w:ind w:left="180"/>
              <w:spacing w:after="0"/>
              <w:rPr>
                <w:sz w:val="20"/>
                <w:szCs w:val="20"/>
                <w:color w:val="auto"/>
              </w:rPr>
            </w:pPr>
            <w:r>
              <w:rPr>
                <w:rFonts w:ascii="Arial" w:cs="Arial" w:eastAsia="Arial" w:hAnsi="Arial"/>
                <w:sz w:val="14"/>
                <w:szCs w:val="14"/>
                <w:color w:val="auto"/>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right"/>
              <w:ind w:right="488"/>
              <w:spacing w:after="0"/>
              <w:rPr>
                <w:sz w:val="20"/>
                <w:szCs w:val="20"/>
                <w:color w:val="auto"/>
              </w:rPr>
            </w:pPr>
            <w:r>
              <w:rPr>
                <w:rFonts w:ascii="Arial" w:cs="Arial" w:eastAsia="Arial" w:hAnsi="Arial"/>
                <w:sz w:val="14"/>
                <w:szCs w:val="14"/>
                <w:color w:val="auto"/>
              </w:rPr>
              <w:t>Identification No.)</w:t>
            </w:r>
          </w:p>
        </w:tc>
      </w:tr>
      <w:tr>
        <w:trPr>
          <w:trHeight w:val="332"/>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9"/>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688"/>
              <w:spacing w:after="0"/>
              <w:rPr>
                <w:sz w:val="20"/>
                <w:szCs w:val="20"/>
                <w:color w:val="auto"/>
              </w:rPr>
            </w:pPr>
            <w:r>
              <w:rPr>
                <w:rFonts w:ascii="Arial" w:cs="Arial" w:eastAsia="Arial" w:hAnsi="Arial"/>
                <w:sz w:val="14"/>
                <w:szCs w:val="14"/>
                <w:b w:val="1"/>
                <w:bCs w:val="1"/>
                <w:color w:val="auto"/>
              </w:rPr>
              <w:t>10017</w:t>
            </w:r>
          </w:p>
        </w:tc>
      </w:tr>
      <w:tr>
        <w:trPr>
          <w:trHeight w:val="189"/>
        </w:trPr>
        <w:tc>
          <w:tcPr>
            <w:tcW w:w="3340" w:type="dxa"/>
            <w:vAlign w:val="bottom"/>
            <w:gridSpan w:val="2"/>
          </w:tcPr>
          <w:p>
            <w:pPr>
              <w:jc w:val="center"/>
              <w:ind w:right="94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548"/>
              <w:spacing w:after="0"/>
              <w:rPr>
                <w:sz w:val="20"/>
                <w:szCs w:val="20"/>
                <w:color w:val="auto"/>
              </w:rPr>
            </w:pPr>
            <w:r>
              <w:rPr>
                <w:rFonts w:ascii="Arial" w:cs="Arial" w:eastAsia="Arial" w:hAnsi="Arial"/>
                <w:sz w:val="14"/>
                <w:szCs w:val="14"/>
                <w:color w:val="auto"/>
              </w:rPr>
              <w:t>(Zip Code)</w:t>
            </w:r>
          </w:p>
        </w:tc>
      </w:tr>
      <w:tr>
        <w:trPr>
          <w:trHeight w:val="236"/>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182"/>
        </w:trPr>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2"/>
        </w:trPr>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95"/>
        </w:trPr>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right"/>
              <w:ind w:right="388"/>
              <w:spacing w:after="0"/>
              <w:rPr>
                <w:sz w:val="20"/>
                <w:szCs w:val="20"/>
                <w:color w:val="auto"/>
              </w:rPr>
            </w:pPr>
            <w:r>
              <w:rPr>
                <w:rFonts w:ascii="Arial" w:cs="Arial" w:eastAsia="Arial" w:hAnsi="Arial"/>
                <w:sz w:val="14"/>
                <w:szCs w:val="14"/>
                <w:color w:val="auto"/>
              </w:rPr>
              <w:t>Name of each exchange on which registered</w:t>
            </w:r>
          </w:p>
        </w:tc>
      </w:tr>
      <w:tr>
        <w:trPr>
          <w:trHeight w:val="186"/>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14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6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140" w:type="dxa"/>
            <w:vAlign w:val="bottom"/>
          </w:tcPr>
          <w:p>
            <w:pPr>
              <w:spacing w:after="0"/>
              <w:rPr>
                <w:sz w:val="22"/>
                <w:szCs w:val="22"/>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140" w:type="dxa"/>
            <w:vAlign w:val="bottom"/>
            <w:vMerge w:val="restart"/>
          </w:tcPr>
          <w:p>
            <w:pPr>
              <w:spacing w:after="0"/>
              <w:rPr>
                <w:sz w:val="20"/>
                <w:szCs w:val="20"/>
                <w:color w:val="auto"/>
              </w:rPr>
            </w:pPr>
            <w:r>
              <w:rPr>
                <w:rFonts w:ascii="Arial" w:cs="Arial" w:eastAsia="Arial" w:hAnsi="Arial"/>
                <w:sz w:val="16"/>
                <w:szCs w:val="16"/>
                <w:color w:val="auto"/>
              </w:rPr>
              <w:t>Act.</w:t>
            </w:r>
          </w:p>
        </w:tc>
        <w:tc>
          <w:tcPr>
            <w:tcW w:w="312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1140" w:type="dxa"/>
            <w:vAlign w:val="bottom"/>
            <w:vMerge w:val="continue"/>
          </w:tcPr>
          <w:p>
            <w:pPr>
              <w:spacing w:after="0"/>
              <w:rPr>
                <w:sz w:val="7"/>
                <w:szCs w:val="7"/>
                <w:color w:val="auto"/>
              </w:rPr>
            </w:pPr>
          </w:p>
        </w:tc>
        <w:tc>
          <w:tcPr>
            <w:tcW w:w="3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100"/>
        <w:spacing w:after="0" w:line="349"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As of August 3, 2022, there were 61,399,082 shares of the registrant’s Class A common stock, par value $0.001, and 46,891,897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 w:name="page2"/>
    <w:bookmarkEnd w:id="1"/>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gridSpan w:val="5"/>
          </w:tcPr>
          <w:p>
            <w:pPr>
              <w:ind w:left="520"/>
              <w:spacing w:after="0"/>
              <w:rPr>
                <w:sz w:val="20"/>
                <w:szCs w:val="20"/>
                <w:color w:val="auto"/>
              </w:rPr>
            </w:pPr>
            <w:r>
              <w:rPr>
                <w:rFonts w:ascii="Arial" w:cs="Arial" w:eastAsia="Arial" w:hAnsi="Arial"/>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60" w:type="dxa"/>
            <w:vAlign w:val="bottom"/>
            <w:gridSpan w:val="10"/>
            <w:shd w:val="clear" w:color="auto" w:fill="CCEEFF"/>
          </w:tcPr>
          <w:p>
            <w:pPr>
              <w:jc w:val="center"/>
              <w:ind w:right="1600"/>
              <w:spacing w:after="0"/>
              <w:rPr>
                <w:sz w:val="20"/>
                <w:szCs w:val="20"/>
                <w:color w:val="auto"/>
              </w:rPr>
            </w:pPr>
            <w:r>
              <w:rPr>
                <w:rFonts w:ascii="Arial" w:cs="Arial" w:eastAsia="Arial" w:hAnsi="Arial"/>
                <w:sz w:val="18"/>
                <w:szCs w:val="18"/>
                <w:color w:val="auto"/>
                <w:w w:val="98"/>
              </w:rPr>
              <w:t>PART I - FINANCIAL INFORMATION</w:t>
            </w:r>
          </w:p>
        </w:tc>
        <w:tc>
          <w:tcPr>
            <w:tcW w:w="5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940" w:type="dxa"/>
            <w:vAlign w:val="bottom"/>
            <w:gridSpan w:val="19"/>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860" w:type="dxa"/>
            <w:vAlign w:val="bottom"/>
            <w:tcBorders>
              <w:bottom w:val="single" w:sz="8" w:color="0000FF"/>
            </w:tcBorders>
            <w:gridSpan w:val="12"/>
            <w:shd w:val="clear" w:color="auto" w:fill="CCEEFF"/>
          </w:tcPr>
          <w:p>
            <w:pPr>
              <w:spacing w:after="0" w:line="18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 xml:space="preserve">Condensed Consolidated Balance Sheets as of </w:t>
              </w:r>
            </w:hyperlink>
            <w:r>
              <w:rPr>
                <w:rFonts w:ascii="Arial" w:cs="Arial" w:eastAsia="Arial" w:hAnsi="Arial"/>
                <w:sz w:val="18"/>
                <w:szCs w:val="18"/>
                <w:color w:val="0000FF"/>
                <w:w w:val="88"/>
              </w:rPr>
              <w:t xml:space="preserve">June 30, 2022 </w:t>
            </w:r>
            <w:hyperlink w:anchor="page5">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March 31, 2022</w:t>
            </w:r>
          </w:p>
        </w:tc>
        <w:tc>
          <w:tcPr>
            <w:tcW w:w="3580" w:type="dxa"/>
            <w:vAlign w:val="bottom"/>
            <w:tcBorders>
              <w:bottom w:val="single" w:sz="8" w:color="CCEEFF"/>
            </w:tcBorders>
            <w:gridSpan w:val="6"/>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40" w:type="dxa"/>
            <w:vAlign w:val="bottom"/>
            <w:gridSpan w:val="18"/>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Income (Loss) for the </w:t>
              </w:r>
            </w:hyperlink>
            <w:r>
              <w:rPr>
                <w:rFonts w:ascii="Arial" w:cs="Arial" w:eastAsia="Arial" w:hAnsi="Arial"/>
                <w:sz w:val="18"/>
                <w:szCs w:val="18"/>
                <w:color w:val="0000FF"/>
              </w:rPr>
              <w:t xml:space="preserve">Three Months Ended June 30, 2022 </w:t>
            </w:r>
            <w:hyperlink w:anchor="page6">
              <w:r>
                <w:rPr>
                  <w:rFonts w:ascii="Arial" w:cs="Arial" w:eastAsia="Arial" w:hAnsi="Arial"/>
                  <w:sz w:val="18"/>
                  <w:szCs w:val="18"/>
                  <w:color w:val="0000FF"/>
                </w:rPr>
                <w:t xml:space="preserve">and </w:t>
              </w:r>
            </w:hyperlink>
            <w:r>
              <w:rPr>
                <w:rFonts w:ascii="Arial" w:cs="Arial" w:eastAsia="Arial" w:hAnsi="Arial"/>
                <w:sz w:val="18"/>
                <w:szCs w:val="18"/>
                <w:color w:val="0000FF"/>
              </w:rPr>
              <w:t>2021</w:t>
            </w:r>
          </w:p>
        </w:tc>
        <w:tc>
          <w:tcPr>
            <w:tcW w:w="780" w:type="dxa"/>
            <w:vAlign w:val="bottom"/>
            <w:gridSpan w:val="3"/>
          </w:tcPr>
          <w:p>
            <w:pPr>
              <w:jc w:val="center"/>
              <w:ind w:left="51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40" w:type="dxa"/>
            <w:vAlign w:val="bottom"/>
            <w:gridSpan w:val="18"/>
            <w:shd w:val="clear" w:color="auto" w:fill="CCEEFF"/>
          </w:tcPr>
          <w:p>
            <w:pPr>
              <w:spacing w:after="0" w:line="189" w:lineRule="exact"/>
              <w:rPr>
                <w:rFonts w:ascii="Arial" w:cs="Arial" w:eastAsia="Arial" w:hAnsi="Arial"/>
                <w:sz w:val="18"/>
                <w:szCs w:val="18"/>
                <w:color w:val="0000FF"/>
                <w:w w:val="94"/>
              </w:rPr>
            </w:pPr>
            <w:hyperlink w:anchor="page7">
              <w:r>
                <w:rPr>
                  <w:rFonts w:ascii="Arial" w:cs="Arial" w:eastAsia="Arial" w:hAnsi="Arial"/>
                  <w:sz w:val="18"/>
                  <w:szCs w:val="18"/>
                  <w:color w:val="0000FF"/>
                  <w:w w:val="94"/>
                </w:rPr>
                <w:t xml:space="preserve">Condensed Consolidated Statements of Comprehensive Income (Loss) for the </w:t>
              </w:r>
            </w:hyperlink>
            <w:r>
              <w:rPr>
                <w:rFonts w:ascii="Arial" w:cs="Arial" w:eastAsia="Arial" w:hAnsi="Arial"/>
                <w:sz w:val="18"/>
                <w:szCs w:val="18"/>
                <w:color w:val="0000FF"/>
                <w:w w:val="94"/>
              </w:rPr>
              <w:t xml:space="preserve">Three Months Ended June 30, 2022 </w:t>
            </w:r>
            <w:hyperlink w:anchor="page7">
              <w:r>
                <w:rPr>
                  <w:rFonts w:ascii="Arial" w:cs="Arial" w:eastAsia="Arial" w:hAnsi="Arial"/>
                  <w:sz w:val="18"/>
                  <w:szCs w:val="18"/>
                  <w:color w:val="0000FF"/>
                  <w:w w:val="94"/>
                </w:rPr>
                <w:t xml:space="preserve">and </w:t>
              </w:r>
            </w:hyperlink>
            <w:r>
              <w:rPr>
                <w:rFonts w:ascii="Arial" w:cs="Arial" w:eastAsia="Arial" w:hAnsi="Arial"/>
                <w:sz w:val="18"/>
                <w:szCs w:val="18"/>
                <w:color w:val="0000FF"/>
                <w:w w:val="94"/>
              </w:rPr>
              <w:t>2021</w:t>
            </w:r>
          </w:p>
        </w:tc>
        <w:tc>
          <w:tcPr>
            <w:tcW w:w="780" w:type="dxa"/>
            <w:vAlign w:val="bottom"/>
            <w:tcBorders>
              <w:right w:val="single" w:sz="8" w:color="CCEEFF"/>
            </w:tcBorders>
            <w:gridSpan w:val="3"/>
            <w:shd w:val="clear" w:color="auto" w:fill="CCEEFF"/>
          </w:tcPr>
          <w:p>
            <w:pPr>
              <w:jc w:val="center"/>
              <w:ind w:left="510"/>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8920" w:type="dxa"/>
            <w:vAlign w:val="bottom"/>
            <w:tcBorders>
              <w:top w:val="single" w:sz="8" w:color="0000FF"/>
            </w:tcBorders>
            <w:gridSpan w:val="17"/>
          </w:tcPr>
          <w:p>
            <w:pPr>
              <w:spacing w:after="0" w:line="189" w:lineRule="exact"/>
              <w:rPr>
                <w:rFonts w:ascii="Arial" w:cs="Arial" w:eastAsia="Arial" w:hAnsi="Arial"/>
                <w:sz w:val="18"/>
                <w:szCs w:val="18"/>
                <w:color w:val="0000FF"/>
                <w:w w:val="97"/>
              </w:rPr>
            </w:pPr>
            <w:hyperlink w:anchor="page8">
              <w:r>
                <w:rPr>
                  <w:rFonts w:ascii="Arial" w:cs="Arial" w:eastAsia="Arial" w:hAnsi="Arial"/>
                  <w:sz w:val="18"/>
                  <w:szCs w:val="18"/>
                  <w:color w:val="0000FF"/>
                  <w:w w:val="97"/>
                </w:rPr>
                <w:t xml:space="preserve">Condensed Consolidated Statements of Stockholders’ Equity for the </w:t>
              </w:r>
            </w:hyperlink>
            <w:r>
              <w:rPr>
                <w:rFonts w:ascii="Arial" w:cs="Arial" w:eastAsia="Arial" w:hAnsi="Arial"/>
                <w:sz w:val="18"/>
                <w:szCs w:val="18"/>
                <w:color w:val="0000FF"/>
                <w:w w:val="97"/>
              </w:rPr>
              <w:t xml:space="preserve">Three Months Ended June 30, 2022 </w:t>
            </w:r>
            <w:hyperlink w:anchor="page8">
              <w:r>
                <w:rPr>
                  <w:rFonts w:ascii="Arial" w:cs="Arial" w:eastAsia="Arial" w:hAnsi="Arial"/>
                  <w:sz w:val="18"/>
                  <w:szCs w:val="18"/>
                  <w:color w:val="0000FF"/>
                  <w:w w:val="97"/>
                </w:rPr>
                <w:t xml:space="preserve">and </w:t>
              </w:r>
            </w:hyperlink>
            <w:r>
              <w:rPr>
                <w:rFonts w:ascii="Arial" w:cs="Arial" w:eastAsia="Arial" w:hAnsi="Arial"/>
                <w:sz w:val="18"/>
                <w:szCs w:val="18"/>
                <w:color w:val="0000FF"/>
                <w:w w:val="97"/>
              </w:rPr>
              <w:t>2021</w:t>
            </w:r>
          </w:p>
        </w:tc>
        <w:tc>
          <w:tcPr>
            <w:tcW w:w="5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40" w:type="dxa"/>
            <w:vAlign w:val="bottom"/>
            <w:gridSpan w:val="18"/>
            <w:shd w:val="clear" w:color="auto" w:fill="CCEEFF"/>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 xml:space="preserve">Condensed Consolidated Statements of Cash Flows for the </w:t>
              </w:r>
            </w:hyperlink>
            <w:r>
              <w:rPr>
                <w:rFonts w:ascii="Arial" w:cs="Arial" w:eastAsia="Arial" w:hAnsi="Arial"/>
                <w:sz w:val="18"/>
                <w:szCs w:val="18"/>
                <w:color w:val="0000FF"/>
              </w:rPr>
              <w:t xml:space="preserve">Three Months Ended June 30, 2022 </w:t>
            </w:r>
            <w:hyperlink w:anchor="page9">
              <w:r>
                <w:rPr>
                  <w:rFonts w:ascii="Arial" w:cs="Arial" w:eastAsia="Arial" w:hAnsi="Arial"/>
                  <w:sz w:val="18"/>
                  <w:szCs w:val="18"/>
                  <w:color w:val="0000FF"/>
                </w:rPr>
                <w:t xml:space="preserve">and </w:t>
              </w:r>
            </w:hyperlink>
            <w:r>
              <w:rPr>
                <w:rFonts w:ascii="Arial" w:cs="Arial" w:eastAsia="Arial" w:hAnsi="Arial"/>
                <w:sz w:val="18"/>
                <w:szCs w:val="18"/>
                <w:color w:val="0000FF"/>
              </w:rPr>
              <w:t>2021</w:t>
            </w:r>
          </w:p>
        </w:tc>
        <w:tc>
          <w:tcPr>
            <w:tcW w:w="780" w:type="dxa"/>
            <w:vAlign w:val="bottom"/>
            <w:tcBorders>
              <w:right w:val="single" w:sz="8" w:color="CCEEFF"/>
            </w:tcBorders>
            <w:gridSpan w:val="3"/>
            <w:shd w:val="clear" w:color="auto" w:fill="CCEEFF"/>
          </w:tcPr>
          <w:p>
            <w:pPr>
              <w:jc w:val="center"/>
              <w:ind w:left="510"/>
              <w:spacing w:after="0" w:line="18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540" w:type="dxa"/>
            <w:vAlign w:val="bottom"/>
            <w:tcBorders>
              <w:top w:val="single" w:sz="8" w:color="0000FF"/>
            </w:tcBorders>
            <w:gridSpan w:val="14"/>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w:t>
              </w:r>
            </w:hyperlink>
          </w:p>
        </w:tc>
        <w:tc>
          <w:tcPr>
            <w:tcW w:w="1900" w:type="dxa"/>
            <w:vAlign w:val="bottom"/>
            <w:tcBorders>
              <w:top w:val="single" w:sz="8" w:color="CCEEFF"/>
            </w:tcBorders>
            <w:gridSpan w:val="4"/>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11">
              <w:r>
                <w:rPr>
                  <w:rFonts w:ascii="Arial" w:cs="Arial" w:eastAsia="Arial" w:hAnsi="Arial"/>
                  <w:sz w:val="17"/>
                  <w:szCs w:val="17"/>
                  <w:color w:val="0000FF"/>
                  <w:w w:val="73"/>
                </w:rPr>
                <w:t>12</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4"/>
            <w:shd w:val="clear" w:color="auto" w:fill="CCEEFF"/>
          </w:tcPr>
          <w:p>
            <w:pPr>
              <w:spacing w:after="0" w:line="189" w:lineRule="exact"/>
              <w:rPr>
                <w:rFonts w:ascii="Arial" w:cs="Arial" w:eastAsia="Arial" w:hAnsi="Arial"/>
                <w:sz w:val="18"/>
                <w:szCs w:val="18"/>
                <w:color w:val="0000FF"/>
                <w:w w:val="91"/>
              </w:rPr>
            </w:pPr>
            <w:hyperlink w:anchor="page39">
              <w:r>
                <w:rPr>
                  <w:rFonts w:ascii="Arial" w:cs="Arial" w:eastAsia="Arial" w:hAnsi="Arial"/>
                  <w:sz w:val="18"/>
                  <w:szCs w:val="18"/>
                  <w:color w:val="0000FF"/>
                  <w:w w:val="91"/>
                </w:rPr>
                <w:t>Item 2. Management’s Discussion and Analysis of Financial Condition and Results of Operations</w:t>
              </w:r>
            </w:hyperlink>
          </w:p>
        </w:tc>
        <w:tc>
          <w:tcPr>
            <w:tcW w:w="2920" w:type="dxa"/>
            <w:vAlign w:val="bottom"/>
            <w:tcBorders>
              <w:bottom w:val="single" w:sz="8" w:color="CCEEFF"/>
            </w:tcBorders>
            <w:gridSpan w:val="5"/>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39">
              <w:r>
                <w:rPr>
                  <w:rFonts w:ascii="Arial" w:cs="Arial" w:eastAsia="Arial" w:hAnsi="Arial"/>
                  <w:sz w:val="17"/>
                  <w:szCs w:val="17"/>
                  <w:color w:val="0000FF"/>
                  <w:w w:val="73"/>
                </w:rPr>
                <w:t>40</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940" w:type="dxa"/>
            <w:vAlign w:val="bottom"/>
            <w:gridSpan w:val="19"/>
          </w:tcPr>
          <w:p>
            <w:pPr>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Item 3. Qualitative and Quantitative Disclosures about Market Risk</w:t>
              </w:r>
            </w:hyperlink>
          </w:p>
        </w:tc>
        <w:tc>
          <w:tcPr>
            <w:tcW w:w="780" w:type="dxa"/>
            <w:vAlign w:val="bottom"/>
            <w:gridSpan w:val="3"/>
          </w:tcPr>
          <w:p>
            <w:pPr>
              <w:jc w:val="center"/>
              <w:ind w:left="510"/>
              <w:spacing w:after="0" w:line="189"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9"/>
            <w:shd w:val="clear" w:color="auto" w:fill="CCEEFF"/>
          </w:tcPr>
          <w:p>
            <w:pPr>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Item 4. Controls and Procedures</w:t>
              </w:r>
            </w:hyperlink>
          </w:p>
        </w:tc>
        <w:tc>
          <w:tcPr>
            <w:tcW w:w="780" w:type="dxa"/>
            <w:vAlign w:val="bottom"/>
            <w:tcBorders>
              <w:right w:val="single" w:sz="8" w:color="CCEEFF"/>
            </w:tcBorders>
            <w:gridSpan w:val="3"/>
            <w:shd w:val="clear" w:color="auto" w:fill="CCEEFF"/>
          </w:tcPr>
          <w:p>
            <w:pPr>
              <w:jc w:val="center"/>
              <w:ind w:left="510"/>
              <w:spacing w:after="0" w:line="189"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70</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060" w:type="dxa"/>
            <w:vAlign w:val="bottom"/>
            <w:tcBorders>
              <w:top w:val="single" w:sz="8" w:color="CCEEFF"/>
            </w:tcBorders>
            <w:gridSpan w:val="10"/>
          </w:tcPr>
          <w:p>
            <w:pPr>
              <w:jc w:val="center"/>
              <w:ind w:right="1620"/>
              <w:spacing w:after="0"/>
              <w:rPr>
                <w:sz w:val="20"/>
                <w:szCs w:val="20"/>
                <w:color w:val="auto"/>
              </w:rPr>
            </w:pPr>
            <w:r>
              <w:rPr>
                <w:rFonts w:ascii="Arial" w:cs="Arial" w:eastAsia="Arial" w:hAnsi="Arial"/>
                <w:sz w:val="18"/>
                <w:szCs w:val="18"/>
                <w:color w:val="auto"/>
                <w:w w:val="96"/>
              </w:rPr>
              <w:t>PART II - OTHER INFORMATION</w:t>
            </w: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Item 1. Legal Proceedings</w:t>
              </w:r>
            </w:hyperlink>
          </w:p>
        </w:tc>
        <w:tc>
          <w:tcPr>
            <w:tcW w:w="8040" w:type="dxa"/>
            <w:vAlign w:val="bottom"/>
            <w:tcBorders>
              <w:bottom w:val="single" w:sz="8" w:color="CCEEFF"/>
            </w:tcBorders>
            <w:gridSpan w:val="13"/>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71">
              <w:r>
                <w:rPr>
                  <w:rFonts w:ascii="Arial" w:cs="Arial" w:eastAsia="Arial" w:hAnsi="Arial"/>
                  <w:sz w:val="17"/>
                  <w:szCs w:val="17"/>
                  <w:color w:val="0000FF"/>
                  <w:w w:val="73"/>
                </w:rPr>
                <w:t>71</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940" w:type="dxa"/>
            <w:vAlign w:val="bottom"/>
            <w:gridSpan w:val="19"/>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1A. Risk Factors</w:t>
              </w:r>
            </w:hyperlink>
          </w:p>
        </w:tc>
        <w:tc>
          <w:tcPr>
            <w:tcW w:w="780" w:type="dxa"/>
            <w:vAlign w:val="bottom"/>
            <w:gridSpan w:val="3"/>
          </w:tcPr>
          <w:p>
            <w:pPr>
              <w:jc w:val="center"/>
              <w:ind w:left="51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940" w:type="dxa"/>
            <w:vAlign w:val="bottom"/>
            <w:gridSpan w:val="19"/>
            <w:shd w:val="clear" w:color="auto" w:fill="CCEEFF"/>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2. Unregistered Sales of Equity Securities and Use of Proceeds</w:t>
              </w:r>
            </w:hyperlink>
          </w:p>
        </w:tc>
        <w:tc>
          <w:tcPr>
            <w:tcW w:w="780" w:type="dxa"/>
            <w:vAlign w:val="bottom"/>
            <w:tcBorders>
              <w:right w:val="single" w:sz="8" w:color="CCEEFF"/>
            </w:tcBorders>
            <w:gridSpan w:val="3"/>
            <w:shd w:val="clear" w:color="auto" w:fill="CCEEFF"/>
          </w:tcPr>
          <w:p>
            <w:pPr>
              <w:jc w:val="center"/>
              <w:ind w:left="51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2"/>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3. Defaults Upon Senior Securities</w:t>
              </w:r>
            </w:hyperlink>
          </w:p>
        </w:tc>
        <w:tc>
          <w:tcPr>
            <w:tcW w:w="5040" w:type="dxa"/>
            <w:vAlign w:val="bottom"/>
            <w:tcBorders>
              <w:top w:val="single" w:sz="8" w:color="CCEEFF"/>
            </w:tcBorders>
            <w:gridSpan w:val="7"/>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71">
              <w:r>
                <w:rPr>
                  <w:rFonts w:ascii="Arial" w:cs="Arial" w:eastAsia="Arial" w:hAnsi="Arial"/>
                  <w:sz w:val="17"/>
                  <w:szCs w:val="17"/>
                  <w:color w:val="0000FF"/>
                  <w:w w:val="73"/>
                </w:rPr>
                <w:t>71</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9"/>
            <w:shd w:val="clear" w:color="auto" w:fill="CCEEFF"/>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4. Mine Safety Disclosures</w:t>
              </w:r>
            </w:hyperlink>
          </w:p>
        </w:tc>
        <w:tc>
          <w:tcPr>
            <w:tcW w:w="780" w:type="dxa"/>
            <w:vAlign w:val="bottom"/>
            <w:tcBorders>
              <w:right w:val="single" w:sz="8" w:color="CCEEFF"/>
            </w:tcBorders>
            <w:gridSpan w:val="3"/>
            <w:shd w:val="clear" w:color="auto" w:fill="CCEEFF"/>
          </w:tcPr>
          <w:p>
            <w:pPr>
              <w:jc w:val="center"/>
              <w:ind w:left="51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8"/>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5. Other Information</w:t>
              </w:r>
            </w:hyperlink>
          </w:p>
        </w:tc>
        <w:tc>
          <w:tcPr>
            <w:tcW w:w="7620" w:type="dxa"/>
            <w:vAlign w:val="bottom"/>
            <w:tcBorders>
              <w:top w:val="single" w:sz="8" w:color="CCEEFF"/>
            </w:tcBorders>
            <w:gridSpan w:val="11"/>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71">
              <w:r>
                <w:rPr>
                  <w:rFonts w:ascii="Arial" w:cs="Arial" w:eastAsia="Arial" w:hAnsi="Arial"/>
                  <w:sz w:val="17"/>
                  <w:szCs w:val="17"/>
                  <w:color w:val="0000FF"/>
                  <w:w w:val="73"/>
                </w:rPr>
                <w:t>71</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9"/>
            <w:shd w:val="clear" w:color="auto" w:fill="CCEEFF"/>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6. Exhibits</w:t>
              </w:r>
            </w:hyperlink>
          </w:p>
        </w:tc>
        <w:tc>
          <w:tcPr>
            <w:tcW w:w="780" w:type="dxa"/>
            <w:vAlign w:val="bottom"/>
            <w:tcBorders>
              <w:right w:val="single" w:sz="8" w:color="CCEEFF"/>
            </w:tcBorders>
            <w:gridSpan w:val="3"/>
            <w:shd w:val="clear" w:color="auto" w:fill="CCEEFF"/>
          </w:tcPr>
          <w:p>
            <w:pPr>
              <w:jc w:val="center"/>
              <w:ind w:left="51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72</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3"/>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Signatures</w:t>
              </w:r>
            </w:hyperlink>
          </w:p>
        </w:tc>
        <w:tc>
          <w:tcPr>
            <w:tcW w:w="8780" w:type="dxa"/>
            <w:vAlign w:val="bottom"/>
            <w:tcBorders>
              <w:top w:val="single" w:sz="8" w:color="CCEEFF"/>
            </w:tcBorders>
            <w:gridSpan w:val="16"/>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72">
              <w:r>
                <w:rPr>
                  <w:rFonts w:ascii="Arial" w:cs="Arial" w:eastAsia="Arial" w:hAnsi="Arial"/>
                  <w:sz w:val="17"/>
                  <w:szCs w:val="17"/>
                  <w:color w:val="0000FF"/>
                  <w:w w:val="73"/>
                </w:rPr>
                <w:t>73</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10" w:lineRule="exact"/>
        <w:rPr>
          <w:sz w:val="20"/>
          <w:szCs w:val="20"/>
          <w:color w:val="auto"/>
        </w:rPr>
      </w:pPr>
    </w:p>
    <w:p>
      <w:pPr>
        <w:ind w:left="660" w:right="104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27" w:lineRule="exact"/>
        <w:rPr>
          <w:rFonts w:ascii="Arial" w:cs="Arial" w:eastAsia="Arial" w:hAnsi="Arial"/>
          <w:sz w:val="19"/>
          <w:szCs w:val="19"/>
          <w:color w:val="auto"/>
        </w:rPr>
      </w:pPr>
    </w:p>
    <w:p>
      <w:pPr>
        <w:ind w:left="660" w:right="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63" w:lineRule="exact"/>
        <w:rPr>
          <w:rFonts w:ascii="Arial" w:cs="Arial" w:eastAsia="Arial" w:hAnsi="Arial"/>
          <w:sz w:val="20"/>
          <w:szCs w:val="20"/>
          <w:color w:val="auto"/>
        </w:rPr>
      </w:pPr>
    </w:p>
    <w:p>
      <w:pPr>
        <w:ind w:left="6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w:t>
      </w:r>
    </w:p>
    <w:p>
      <w:pPr>
        <w:spacing w:after="0" w:line="163" w:lineRule="exact"/>
        <w:rPr>
          <w:rFonts w:ascii="Arial" w:cs="Arial" w:eastAsia="Arial" w:hAnsi="Arial"/>
          <w:sz w:val="20"/>
          <w:szCs w:val="20"/>
          <w:color w:val="auto"/>
        </w:rPr>
      </w:pPr>
    </w:p>
    <w:p>
      <w:pPr>
        <w:ind w:left="660" w:right="620" w:hanging="4"/>
        <w:spacing w:after="0" w:line="393" w:lineRule="auto"/>
        <w:tabs>
          <w:tab w:leader="none" w:pos="77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StepStone Funds</w:t>
      </w:r>
      <w:r>
        <w:rPr>
          <w:rFonts w:ascii="Arial" w:cs="Arial" w:eastAsia="Arial" w:hAnsi="Arial"/>
          <w:sz w:val="16"/>
          <w:szCs w:val="16"/>
          <w:color w:val="auto"/>
        </w:rPr>
        <w:t>” or “</w:t>
      </w:r>
      <w:r>
        <w:rPr>
          <w:rFonts w:ascii="Arial" w:cs="Arial" w:eastAsia="Arial" w:hAnsi="Arial"/>
          <w:sz w:val="16"/>
          <w:szCs w:val="16"/>
          <w:b w:val="1"/>
          <w:bCs w:val="1"/>
          <w:color w:val="auto"/>
        </w:rPr>
        <w:t>our funds</w:t>
      </w:r>
      <w:r>
        <w:rPr>
          <w:rFonts w:ascii="Arial" w:cs="Arial" w:eastAsia="Arial" w:hAnsi="Arial"/>
          <w:sz w:val="16"/>
          <w:szCs w:val="16"/>
          <w:color w:val="auto"/>
        </w:rPr>
        <w:t>” refer to our focused commingled funds and our separately managed accounts, including acquired Greenspring funds, for which we act as both investment adviser and general partner or managing member;</w:t>
      </w:r>
    </w:p>
    <w:p>
      <w:pPr>
        <w:spacing w:after="0" w:line="72" w:lineRule="exact"/>
        <w:rPr>
          <w:rFonts w:ascii="Arial" w:cs="Arial" w:eastAsia="Arial" w:hAnsi="Arial"/>
          <w:sz w:val="16"/>
          <w:szCs w:val="16"/>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Greenspring acquisition</w:t>
      </w:r>
      <w:r>
        <w:rPr>
          <w:rFonts w:ascii="Arial" w:cs="Arial" w:eastAsia="Arial" w:hAnsi="Arial"/>
          <w:sz w:val="18"/>
          <w:szCs w:val="18"/>
          <w:color w:val="auto"/>
        </w:rPr>
        <w:t>” refer to the acquisition of Greenspring Associates, Inc. and certain of its affiliates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Greenspring</w:t>
      </w:r>
      <w:r>
        <w:rPr>
          <w:rFonts w:ascii="Arial" w:cs="Arial" w:eastAsia="Arial" w:hAnsi="Arial"/>
          <w:sz w:val="20"/>
          <w:szCs w:val="20"/>
          <w:color w:val="auto"/>
        </w:rPr>
        <w:t>”) that was completed on September 20, 2021;</w:t>
      </w:r>
    </w:p>
    <w:p>
      <w:pPr>
        <w:spacing w:after="0" w:line="194" w:lineRule="exact"/>
        <w:rPr>
          <w:sz w:val="20"/>
          <w:szCs w:val="20"/>
          <w:color w:val="auto"/>
        </w:rPr>
      </w:pPr>
    </w:p>
    <w:p>
      <w:pPr>
        <w:ind w:left="780" w:hanging="124"/>
        <w:spacing w:after="0"/>
        <w:tabs>
          <w:tab w:leader="none" w:pos="7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660" w:right="4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the “</w:t>
      </w:r>
      <w:r>
        <w:rPr>
          <w:rFonts w:ascii="Arial" w:cs="Arial" w:eastAsia="Arial" w:hAnsi="Arial"/>
          <w:sz w:val="20"/>
          <w:szCs w:val="20"/>
          <w:b w:val="1"/>
          <w:bCs w:val="1"/>
          <w:color w:val="auto"/>
        </w:rPr>
        <w:t>Reorganization</w:t>
      </w:r>
      <w:r>
        <w:rPr>
          <w:rFonts w:ascii="Arial" w:cs="Arial" w:eastAsia="Arial" w:hAnsi="Arial"/>
          <w:sz w:val="20"/>
          <w:szCs w:val="20"/>
          <w:color w:val="auto"/>
        </w:rPr>
        <w:t>” refer to the series of transactions immediately before the Company’s initial public offering (“</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63" w:lineRule="exact"/>
        <w:rPr>
          <w:rFonts w:ascii="Arial" w:cs="Arial" w:eastAsia="Arial" w:hAnsi="Arial"/>
          <w:sz w:val="20"/>
          <w:szCs w:val="20"/>
          <w:color w:val="auto"/>
        </w:rPr>
      </w:pPr>
    </w:p>
    <w:p>
      <w:pPr>
        <w:ind w:left="660" w:right="6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refer to the aggregate amount of our assets under management (“</w:t>
      </w:r>
      <w:r>
        <w:rPr>
          <w:rFonts w:ascii="Arial" w:cs="Arial" w:eastAsia="Arial" w:hAnsi="Arial"/>
          <w:sz w:val="20"/>
          <w:szCs w:val="20"/>
          <w:b w:val="1"/>
          <w:bCs w:val="1"/>
          <w:color w:val="auto"/>
        </w:rPr>
        <w:t>AUM</w:t>
      </w:r>
      <w:r>
        <w:rPr>
          <w:rFonts w:ascii="Arial" w:cs="Arial" w:eastAsia="Arial" w:hAnsi="Arial"/>
          <w:sz w:val="20"/>
          <w:szCs w:val="20"/>
          <w:color w:val="auto"/>
        </w:rPr>
        <w:t>”) and our assets under advisement (“</w:t>
      </w:r>
      <w:r>
        <w:rPr>
          <w:rFonts w:ascii="Arial" w:cs="Arial" w:eastAsia="Arial" w:hAnsi="Arial"/>
          <w:sz w:val="20"/>
          <w:szCs w:val="20"/>
          <w:b w:val="1"/>
          <w:bCs w:val="1"/>
          <w:color w:val="auto"/>
        </w:rPr>
        <w:t>AUA”</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660" w:right="22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2022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4"/>
              </w:rPr>
              <w:t>As of</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June 30,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March 31, 2022</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106,354</w:t>
            </w: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116,386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Fees and accounts receivable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34,892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34,141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affiliates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19,369</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funds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108,086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107,045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carried interest allocations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1,366,314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1,480,515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Legacy Greenspring investments in funds and accrued carried interest allocations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1,144,271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1,334,581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Deferred income tax assets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31,527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27,866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72,134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assets and receivables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35,374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27,426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387,255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398,126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580,542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580,542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3,906,183</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4,188,125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70,189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80,541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58,808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39,966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carried interest-related compensation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728,894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769,988</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line="216" w:lineRule="exact"/>
              <w:rPr>
                <w:sz w:val="20"/>
                <w:szCs w:val="20"/>
                <w:color w:val="auto"/>
              </w:rPr>
            </w:pPr>
            <w:r>
              <w:rPr>
                <w:rFonts w:ascii="Arial" w:cs="Arial" w:eastAsia="Arial" w:hAnsi="Arial"/>
                <w:sz w:val="16"/>
                <w:szCs w:val="16"/>
                <w:color w:val="auto"/>
              </w:rPr>
              <w:t>Legacy Greenspring accrued carried interest-related compensation</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956,906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1,140,101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to affiliates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195,743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199,355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83,271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70,965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62,997</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62,879</w:t>
            </w:r>
          </w:p>
        </w:tc>
        <w:tc>
          <w:tcPr>
            <w:tcW w:w="0" w:type="dxa"/>
            <w:vAlign w:val="bottom"/>
          </w:tcPr>
          <w:p>
            <w:pPr>
              <w:spacing w:after="0"/>
              <w:rPr>
                <w:sz w:val="1"/>
                <w:szCs w:val="1"/>
                <w:color w:val="auto"/>
              </w:rPr>
            </w:pPr>
          </w:p>
        </w:tc>
      </w:tr>
      <w:tr>
        <w:trPr>
          <w:trHeight w:val="206"/>
        </w:trPr>
        <w:tc>
          <w:tcPr>
            <w:tcW w:w="814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2,156,808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2,363,795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20"/>
              <w:spacing w:after="0" w:line="166" w:lineRule="exact"/>
              <w:rPr>
                <w:sz w:val="20"/>
                <w:szCs w:val="20"/>
                <w:color w:val="auto"/>
              </w:rPr>
            </w:pPr>
            <w:r>
              <w:rPr>
                <w:rFonts w:ascii="Arial" w:cs="Arial" w:eastAsia="Arial" w:hAnsi="Arial"/>
                <w:sz w:val="16"/>
                <w:szCs w:val="16"/>
                <w:color w:val="auto"/>
                <w:w w:val="91"/>
              </w:rPr>
              <w:t>Class A common stock, $0.001 par value, 650,000,000 authorized; 61,399,082 and 61,141,306 issued and outstanding as of</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8140" w:type="dxa"/>
            <w:vAlign w:val="bottom"/>
          </w:tcPr>
          <w:p>
            <w:pPr>
              <w:ind w:left="360"/>
              <w:spacing w:after="0"/>
              <w:rPr>
                <w:sz w:val="20"/>
                <w:szCs w:val="20"/>
                <w:color w:val="auto"/>
              </w:rPr>
            </w:pPr>
            <w:r>
              <w:rPr>
                <w:rFonts w:ascii="Arial" w:cs="Arial" w:eastAsia="Arial" w:hAnsi="Arial"/>
                <w:sz w:val="16"/>
                <w:szCs w:val="16"/>
                <w:color w:val="auto"/>
              </w:rPr>
              <w:t>June 30, 2022 and March 31, 2022, respectively</w:t>
            </w: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Class B common stock, $0.001 par value, 125,000,000 authorized; 46,891,897 and 47,149,673 issued and outstanding as of</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June 30, 2022 and March 31, 2022, respectively</w:t>
            </w: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593,159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587,243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205,946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229,615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StepStone Group Inc. stockholders’ equity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817,625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Non-controlling interests in subsidiaries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31,829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32,063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Non-controlling interests in legacy Greenspring entities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187,365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194,480</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in the Partnership</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730,381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780,162</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1,749,375</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1,824,330</w:t>
            </w:r>
          </w:p>
        </w:tc>
        <w:tc>
          <w:tcPr>
            <w:tcW w:w="0" w:type="dxa"/>
            <w:vAlign w:val="bottom"/>
          </w:tcPr>
          <w:p>
            <w:pPr>
              <w:spacing w:after="0"/>
              <w:rPr>
                <w:sz w:val="1"/>
                <w:szCs w:val="1"/>
                <w:color w:val="auto"/>
              </w:rPr>
            </w:pPr>
          </w:p>
        </w:tc>
      </w:tr>
      <w:tr>
        <w:trPr>
          <w:trHeight w:val="206"/>
        </w:trPr>
        <w:tc>
          <w:tcPr>
            <w:tcW w:w="814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3,906,183</w:t>
            </w: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4,188,125</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Reflects amounts attributable to consolidated VIEs for which the Company did not acquire any direct economic interests. See note 5 for more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040"/>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7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4"/>
              </w:rPr>
              <w:t>As of</w:t>
            </w:r>
          </w:p>
        </w:tc>
        <w:tc>
          <w:tcPr>
            <w:tcW w:w="1380" w:type="dxa"/>
            <w:vAlign w:val="bottom"/>
            <w:tcBorders>
              <w:bottom w:val="single" w:sz="8" w:color="auto"/>
            </w:tcBorders>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820" w:type="dxa"/>
            <w:vAlign w:val="bottom"/>
          </w:tcPr>
          <w:p>
            <w:pPr>
              <w:spacing w:after="0"/>
              <w:rPr>
                <w:sz w:val="18"/>
                <w:szCs w:val="18"/>
                <w:color w:val="auto"/>
              </w:rPr>
            </w:pPr>
          </w:p>
        </w:tc>
        <w:tc>
          <w:tcPr>
            <w:tcW w:w="1380" w:type="dxa"/>
            <w:vAlign w:val="bottom"/>
          </w:tcPr>
          <w:p>
            <w:pPr>
              <w:jc w:val="right"/>
              <w:ind w:right="151"/>
              <w:spacing w:after="0"/>
              <w:rPr>
                <w:sz w:val="20"/>
                <w:szCs w:val="20"/>
                <w:color w:val="auto"/>
              </w:rPr>
            </w:pPr>
            <w:r>
              <w:rPr>
                <w:rFonts w:ascii="Arial" w:cs="Arial" w:eastAsia="Arial" w:hAnsi="Arial"/>
                <w:sz w:val="16"/>
                <w:szCs w:val="16"/>
                <w:b w:val="1"/>
                <w:bCs w:val="1"/>
                <w:color w:val="auto"/>
                <w:w w:val="98"/>
              </w:rPr>
              <w:t>March 31, 2022</w:t>
            </w:r>
          </w:p>
        </w:tc>
      </w:tr>
      <w:tr>
        <w:trPr>
          <w:trHeight w:val="212"/>
        </w:trPr>
        <w:tc>
          <w:tcPr>
            <w:tcW w:w="66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620" w:type="dxa"/>
            <w:vAlign w:val="bottom"/>
          </w:tcPr>
          <w:p>
            <w:pPr>
              <w:ind w:left="680"/>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26,862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19,386</w:t>
            </w:r>
          </w:p>
        </w:tc>
      </w:tr>
      <w:tr>
        <w:trPr>
          <w:trHeight w:val="229"/>
        </w:trPr>
        <w:tc>
          <w:tcPr>
            <w:tcW w:w="6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Restricted cash</w:t>
            </w: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6620" w:type="dxa"/>
            <w:vAlign w:val="bottom"/>
          </w:tcPr>
          <w:p>
            <w:pPr>
              <w:ind w:left="680"/>
              <w:spacing w:after="0"/>
              <w:rPr>
                <w:sz w:val="20"/>
                <w:szCs w:val="20"/>
                <w:color w:val="auto"/>
              </w:rPr>
            </w:pPr>
            <w:r>
              <w:rPr>
                <w:rFonts w:ascii="Arial" w:cs="Arial" w:eastAsia="Arial" w:hAnsi="Arial"/>
                <w:sz w:val="18"/>
                <w:szCs w:val="18"/>
                <w:color w:val="auto"/>
              </w:rPr>
              <w:t>Fees and accounts receivable</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30,023</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29,060</w:t>
            </w:r>
          </w:p>
        </w:tc>
      </w:tr>
      <w:tr>
        <w:trPr>
          <w:trHeight w:val="229"/>
        </w:trPr>
        <w:tc>
          <w:tcPr>
            <w:tcW w:w="6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from affiliates</w:t>
            </w: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25,481</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22,808</w:t>
            </w:r>
          </w:p>
        </w:tc>
      </w:tr>
      <w:tr>
        <w:trPr>
          <w:trHeight w:val="230"/>
        </w:trPr>
        <w:tc>
          <w:tcPr>
            <w:tcW w:w="66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1"/>
              </w:rPr>
              <w:t>Legacy Greenspring investments in funds and accrued carried interest allocations</w:t>
            </w: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1,144,271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1,334,581</w:t>
            </w:r>
          </w:p>
        </w:tc>
      </w:tr>
      <w:tr>
        <w:trPr>
          <w:trHeight w:val="229"/>
        </w:trPr>
        <w:tc>
          <w:tcPr>
            <w:tcW w:w="6620" w:type="dxa"/>
            <w:vAlign w:val="bottom"/>
          </w:tcPr>
          <w:p>
            <w:pPr>
              <w:ind w:left="680"/>
              <w:spacing w:after="0"/>
              <w:rPr>
                <w:sz w:val="20"/>
                <w:szCs w:val="20"/>
                <w:color w:val="auto"/>
              </w:rPr>
            </w:pPr>
            <w:r>
              <w:rPr>
                <w:rFonts w:ascii="Arial" w:cs="Arial" w:eastAsia="Arial" w:hAnsi="Arial"/>
                <w:sz w:val="18"/>
                <w:szCs w:val="18"/>
                <w:color w:val="auto"/>
              </w:rPr>
              <w:t>Deferred income tax assets</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6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Lease right-of-use assets, net</w:t>
            </w: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w:t>
            </w:r>
          </w:p>
        </w:tc>
      </w:tr>
      <w:tr>
        <w:trPr>
          <w:trHeight w:val="230"/>
        </w:trPr>
        <w:tc>
          <w:tcPr>
            <w:tcW w:w="6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assets and receivables</w:t>
            </w:r>
          </w:p>
        </w:tc>
        <w:tc>
          <w:tcPr>
            <w:tcW w:w="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1,258,079</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1,435,245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66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Liabilities</w:t>
            </w: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620" w:type="dxa"/>
            <w:vAlign w:val="bottom"/>
          </w:tcPr>
          <w:p>
            <w:pPr>
              <w:ind w:left="680"/>
              <w:spacing w:after="0"/>
              <w:rPr>
                <w:sz w:val="20"/>
                <w:szCs w:val="20"/>
                <w:color w:val="auto"/>
              </w:rPr>
            </w:pPr>
            <w:r>
              <w:rPr>
                <w:rFonts w:ascii="Arial" w:cs="Arial" w:eastAsia="Arial" w:hAnsi="Arial"/>
                <w:sz w:val="18"/>
                <w:szCs w:val="18"/>
                <w:color w:val="auto"/>
              </w:rPr>
              <w:t>Accounts payable, accrued expenses and other liabilities</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11,037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8,548</w:t>
            </w:r>
          </w:p>
        </w:tc>
      </w:tr>
      <w:tr>
        <w:trPr>
          <w:trHeight w:val="230"/>
        </w:trPr>
        <w:tc>
          <w:tcPr>
            <w:tcW w:w="6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compensation and benefits</w:t>
            </w: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21,652</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w:t>
            </w:r>
          </w:p>
        </w:tc>
      </w:tr>
      <w:tr>
        <w:trPr>
          <w:trHeight w:val="229"/>
        </w:trPr>
        <w:tc>
          <w:tcPr>
            <w:tcW w:w="6620" w:type="dxa"/>
            <w:vAlign w:val="bottom"/>
          </w:tcPr>
          <w:p>
            <w:pPr>
              <w:ind w:left="680"/>
              <w:spacing w:after="0"/>
              <w:rPr>
                <w:sz w:val="20"/>
                <w:szCs w:val="20"/>
                <w:color w:val="auto"/>
              </w:rPr>
            </w:pPr>
            <w:r>
              <w:rPr>
                <w:rFonts w:ascii="Arial" w:cs="Arial" w:eastAsia="Arial" w:hAnsi="Arial"/>
                <w:sz w:val="18"/>
                <w:szCs w:val="18"/>
                <w:color w:val="auto"/>
              </w:rPr>
              <w:t>Legacy Greenspring accrued carried interest-related compensation</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956,906</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1,140,101</w:t>
            </w:r>
          </w:p>
        </w:tc>
      </w:tr>
      <w:tr>
        <w:trPr>
          <w:trHeight w:val="230"/>
        </w:trPr>
        <w:tc>
          <w:tcPr>
            <w:tcW w:w="6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to affiliates</w:t>
            </w: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6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Lease liabilities</w:t>
            </w:r>
          </w:p>
        </w:tc>
        <w:tc>
          <w:tcPr>
            <w:tcW w:w="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16,808</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17,593</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1,006,537</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1,181,238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Income (Loss)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June 30,</w:t>
            </w:r>
          </w:p>
        </w:tc>
      </w:tr>
      <w:tr>
        <w:trPr>
          <w:trHeight w:val="187"/>
        </w:trPr>
        <w:tc>
          <w:tcPr>
            <w:tcW w:w="8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116,732</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78,061</w:t>
            </w: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30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4,182</w:t>
            </w: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8400" w:type="dxa"/>
            <w:vAlign w:val="bottom"/>
          </w:tcPr>
          <w:p>
            <w:pPr>
              <w:ind w:left="720"/>
              <w:spacing w:after="0"/>
              <w:rPr>
                <w:sz w:val="20"/>
                <w:szCs w:val="20"/>
                <w:color w:val="auto"/>
              </w:rPr>
            </w:pPr>
            <w:r>
              <w:rPr>
                <w:rFonts w:ascii="Arial" w:cs="Arial" w:eastAsia="Arial" w:hAnsi="Arial"/>
                <w:sz w:val="14"/>
                <w:szCs w:val="14"/>
                <w:color w:val="auto"/>
              </w:rPr>
              <w:t>Realized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73,607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49,963</w:t>
            </w:r>
          </w:p>
        </w:tc>
      </w:tr>
      <w:tr>
        <w:trPr>
          <w:trHeight w:val="192"/>
        </w:trPr>
        <w:tc>
          <w:tcPr>
            <w:tcW w:w="8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(113,950)</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176,399</w:t>
            </w:r>
          </w:p>
        </w:tc>
      </w:tr>
      <w:tr>
        <w:trPr>
          <w:trHeight w:val="179"/>
        </w:trPr>
        <w:tc>
          <w:tcPr>
            <w:tcW w:w="840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(40,343)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226,362</w:t>
            </w:r>
          </w:p>
        </w:tc>
      </w:tr>
      <w:tr>
        <w:trPr>
          <w:trHeight w:val="192"/>
        </w:trPr>
        <w:tc>
          <w:tcPr>
            <w:tcW w:w="840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(153,607)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(77,218)</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308,605</w:t>
            </w:r>
          </w:p>
        </w:tc>
      </w:tr>
      <w:tr>
        <w:trPr>
          <w:trHeight w:val="17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8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Cash-based compensation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42,671</w:t>
            </w:r>
          </w:p>
        </w:tc>
      </w:tr>
      <w:tr>
        <w:trPr>
          <w:trHeight w:val="186"/>
        </w:trPr>
        <w:tc>
          <w:tcPr>
            <w:tcW w:w="8400" w:type="dxa"/>
            <w:vAlign w:val="bottom"/>
          </w:tcPr>
          <w:p>
            <w:pPr>
              <w:ind w:left="400"/>
              <w:spacing w:after="0"/>
              <w:rPr>
                <w:sz w:val="20"/>
                <w:szCs w:val="20"/>
                <w:color w:val="auto"/>
              </w:rPr>
            </w:pPr>
            <w:r>
              <w:rPr>
                <w:rFonts w:ascii="Arial" w:cs="Arial" w:eastAsia="Arial" w:hAnsi="Arial"/>
                <w:sz w:val="14"/>
                <w:szCs w:val="14"/>
                <w:color w:val="auto"/>
              </w:rPr>
              <w:t>Equity-based compensation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3,714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3,743</w:t>
            </w:r>
          </w:p>
        </w:tc>
      </w:tr>
      <w:tr>
        <w:trPr>
          <w:trHeight w:val="192"/>
        </w:trPr>
        <w:tc>
          <w:tcPr>
            <w:tcW w:w="8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Performance fee-related compensation: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8400" w:type="dxa"/>
            <w:vAlign w:val="bottom"/>
          </w:tcPr>
          <w:p>
            <w:pPr>
              <w:ind w:left="780"/>
              <w:spacing w:after="0"/>
              <w:rPr>
                <w:sz w:val="20"/>
                <w:szCs w:val="20"/>
                <w:color w:val="auto"/>
              </w:rPr>
            </w:pPr>
            <w:r>
              <w:rPr>
                <w:rFonts w:ascii="Arial" w:cs="Arial" w:eastAsia="Arial" w:hAnsi="Arial"/>
                <w:sz w:val="14"/>
                <w:szCs w:val="14"/>
                <w:color w:val="auto"/>
              </w:rPr>
              <w:t>Realized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41,735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25,308</w:t>
            </w:r>
          </w:p>
        </w:tc>
      </w:tr>
      <w:tr>
        <w:trPr>
          <w:trHeight w:val="192"/>
        </w:trPr>
        <w:tc>
          <w:tcPr>
            <w:tcW w:w="84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(54,553)</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85,572</w:t>
            </w:r>
          </w:p>
        </w:tc>
      </w:tr>
      <w:tr>
        <w:trPr>
          <w:trHeight w:val="179"/>
        </w:trPr>
        <w:tc>
          <w:tcPr>
            <w:tcW w:w="8400" w:type="dxa"/>
            <w:vAlign w:val="bottom"/>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(12,818)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110,880</w:t>
            </w:r>
          </w:p>
        </w:tc>
      </w:tr>
      <w:tr>
        <w:trPr>
          <w:trHeight w:val="192"/>
        </w:trPr>
        <w:tc>
          <w:tcPr>
            <w:tcW w:w="8400" w:type="dxa"/>
            <w:vAlign w:val="bottom"/>
            <w:shd w:val="clear" w:color="auto" w:fill="CCEEFF"/>
          </w:tcPr>
          <w:p>
            <w:pPr>
              <w:ind w:left="400"/>
              <w:spacing w:after="0" w:line="193"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(153,607)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40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(102,650)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157,294</w:t>
            </w: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34,232</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16,430</w:t>
            </w:r>
          </w:p>
        </w:tc>
      </w:tr>
      <w:tr>
        <w:trPr>
          <w:trHeight w:val="179"/>
        </w:trPr>
        <w:tc>
          <w:tcPr>
            <w:tcW w:w="840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(68,418)</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173,724</w:t>
            </w:r>
          </w:p>
        </w:tc>
      </w:tr>
      <w:tr>
        <w:trPr>
          <w:trHeight w:val="17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Investment income (loss)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6,424</w:t>
            </w:r>
          </w:p>
        </w:tc>
      </w:tr>
      <w:tr>
        <w:trPr>
          <w:trHeight w:val="192"/>
        </w:trPr>
        <w:tc>
          <w:tcPr>
            <w:tcW w:w="84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Legacy Greenspring investment loss</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loss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r>
      <w:tr>
        <w:trPr>
          <w:trHeight w:val="186"/>
        </w:trPr>
        <w:tc>
          <w:tcPr>
            <w:tcW w:w="8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income (expense)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6,061</w:t>
            </w:r>
          </w:p>
        </w:tc>
      </w:tr>
      <w:tr>
        <w:trPr>
          <w:trHeight w:val="179"/>
        </w:trPr>
        <w:tc>
          <w:tcPr>
            <w:tcW w:w="8400" w:type="dxa"/>
            <w:vAlign w:val="bottom"/>
          </w:tcPr>
          <w:p>
            <w:pPr>
              <w:ind w:left="20"/>
              <w:spacing w:after="0"/>
              <w:rPr>
                <w:sz w:val="20"/>
                <w:szCs w:val="20"/>
                <w:color w:val="auto"/>
              </w:rPr>
            </w:pPr>
            <w:r>
              <w:rPr>
                <w:rFonts w:ascii="Arial" w:cs="Arial" w:eastAsia="Arial" w:hAnsi="Arial"/>
                <w:sz w:val="14"/>
                <w:szCs w:val="14"/>
                <w:color w:val="auto"/>
              </w:rPr>
              <w:t>Income (loss) before income tax</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(20,185)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140,942</w:t>
            </w: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14,423</w:t>
            </w:r>
          </w:p>
        </w:tc>
      </w:tr>
      <w:tr>
        <w:trPr>
          <w:trHeight w:val="179"/>
        </w:trPr>
        <w:tc>
          <w:tcPr>
            <w:tcW w:w="84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(21,471)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126,519</w:t>
            </w:r>
          </w:p>
        </w:tc>
      </w:tr>
      <w:tr>
        <w:trPr>
          <w:trHeight w:val="192"/>
        </w:trPr>
        <w:tc>
          <w:tcPr>
            <w:tcW w:w="8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5,614</w:t>
            </w:r>
          </w:p>
        </w:tc>
      </w:tr>
      <w:tr>
        <w:trPr>
          <w:trHeight w:val="189"/>
        </w:trPr>
        <w:tc>
          <w:tcPr>
            <w:tcW w:w="8400" w:type="dxa"/>
            <w:vAlign w:val="bottom"/>
          </w:tcPr>
          <w:p>
            <w:pPr>
              <w:ind w:left="400"/>
              <w:spacing w:after="0" w:line="189" w:lineRule="exact"/>
              <w:rPr>
                <w:sz w:val="20"/>
                <w:szCs w:val="20"/>
                <w:color w:val="auto"/>
              </w:rPr>
            </w:pPr>
            <w:r>
              <w:rPr>
                <w:rFonts w:ascii="Arial" w:cs="Arial" w:eastAsia="Arial" w:hAnsi="Arial"/>
                <w:sz w:val="14"/>
                <w:szCs w:val="14"/>
                <w:color w:val="auto"/>
              </w:rPr>
              <w:t>Less: Net loss attributable to non-controlling interests in legacy Greenspring entities</w:t>
            </w:r>
            <w:r>
              <w:rPr>
                <w:rFonts w:ascii="Arial" w:cs="Arial" w:eastAsia="Arial" w:hAnsi="Arial"/>
                <w:sz w:val="18"/>
                <w:szCs w:val="18"/>
                <w:color w:val="auto"/>
                <w:vertAlign w:val="superscript"/>
              </w:rPr>
              <w:t>(1)</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(8,604)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(loss) attributable to non-controlling interests in the Partnership</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(9,398)</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79,255</w:t>
            </w: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Net income (loss) attributable to StepStone Group Inc.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(11,040)</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41,650</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84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Net income (loss) per share of Class A common stock:</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86"/>
        </w:trPr>
        <w:tc>
          <w:tcPr>
            <w:tcW w:w="8400" w:type="dxa"/>
            <w:vAlign w:val="bottom"/>
          </w:tcPr>
          <w:p>
            <w:pPr>
              <w:ind w:left="46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(0.18)</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92"/>
        </w:trPr>
        <w:tc>
          <w:tcPr>
            <w:tcW w:w="8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8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61,144,139</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39,042,497</w:t>
            </w:r>
          </w:p>
        </w:tc>
      </w:tr>
      <w:tr>
        <w:trPr>
          <w:trHeight w:val="182"/>
        </w:trPr>
        <w:tc>
          <w:tcPr>
            <w:tcW w:w="8400" w:type="dxa"/>
            <w:vAlign w:val="bottom"/>
          </w:tcPr>
          <w:p>
            <w:pPr>
              <w:ind w:left="46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61,144,139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42,885,231</w:t>
            </w:r>
          </w:p>
        </w:tc>
      </w:tr>
    </w:tbl>
    <w:p>
      <w:pPr>
        <w:spacing w:after="0" w:line="218"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See notes 3 and 5 for more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(Loss)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0"/>
        </w:trPr>
        <w:tc>
          <w:tcPr>
            <w:tcW w:w="8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126,519</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before non-controlling interests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126,767</w:t>
            </w:r>
          </w:p>
        </w:tc>
      </w:tr>
      <w:tr>
        <w:trPr>
          <w:trHeight w:val="230"/>
        </w:trPr>
        <w:tc>
          <w:tcPr>
            <w:tcW w:w="8480" w:type="dxa"/>
            <w:vAlign w:val="bottom"/>
          </w:tcPr>
          <w:p>
            <w:pPr>
              <w:ind w:left="400"/>
              <w:spacing w:after="0"/>
              <w:rPr>
                <w:sz w:val="20"/>
                <w:szCs w:val="20"/>
                <w:color w:val="auto"/>
              </w:rPr>
            </w:pPr>
            <w:r>
              <w:rPr>
                <w:rFonts w:ascii="Arial" w:cs="Arial" w:eastAsia="Arial" w:hAnsi="Arial"/>
                <w:sz w:val="18"/>
                <w:szCs w:val="18"/>
                <w:color w:val="auto"/>
              </w:rPr>
              <w:t>Less: Comprehensive income attributable to non-controlling interests in subsidiaries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5,741</w:t>
            </w:r>
          </w:p>
        </w:tc>
      </w:tr>
      <w:tr>
        <w:trPr>
          <w:trHeight w:val="229"/>
        </w:trPr>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Comprehensive loss attributable to non-controlling interests in legacy Greenspring entities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Less: Comprehensive income (loss) attributable to non-controlling interests in the Partnership</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79,327</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StepStone Group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Accumulated Other</w:t>
            </w:r>
          </w:p>
        </w:tc>
        <w:tc>
          <w:tcPr>
            <w:tcW w:w="96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20" w:type="dxa"/>
            <w:vAlign w:val="bottom"/>
          </w:tcPr>
          <w:p>
            <w:pPr>
              <w:spacing w:after="0"/>
              <w:rPr>
                <w:sz w:val="9"/>
                <w:szCs w:val="9"/>
                <w:color w:val="auto"/>
              </w:rPr>
            </w:pPr>
          </w:p>
        </w:tc>
        <w:tc>
          <w:tcPr>
            <w:tcW w:w="96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5"/>
            <w:vMerge w:val="restart"/>
          </w:tcPr>
          <w:p>
            <w:pPr>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20" w:type="dxa"/>
            <w:vAlign w:val="bottom"/>
          </w:tcPr>
          <w:p>
            <w:pPr>
              <w:spacing w:after="0"/>
              <w:rPr>
                <w:sz w:val="9"/>
                <w:szCs w:val="9"/>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Additional Paid-</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Retained</w:t>
            </w:r>
          </w:p>
        </w:tc>
        <w:tc>
          <w:tcPr>
            <w:tcW w:w="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Legacy</w:t>
            </w:r>
          </w:p>
        </w:tc>
        <w:tc>
          <w:tcPr>
            <w:tcW w:w="20" w:type="dxa"/>
            <w:vAlign w:val="bottom"/>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840" w:type="dxa"/>
            <w:vAlign w:val="bottom"/>
            <w:gridSpan w:val="3"/>
          </w:tcPr>
          <w:p>
            <w:pPr>
              <w:jc w:val="center"/>
              <w:ind w:right="24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100" w:type="dxa"/>
            <w:vAlign w:val="bottom"/>
          </w:tcPr>
          <w:p>
            <w:pPr>
              <w:spacing w:after="0"/>
              <w:rPr>
                <w:sz w:val="9"/>
                <w:szCs w:val="9"/>
                <w:color w:val="auto"/>
              </w:rPr>
            </w:pPr>
          </w:p>
        </w:tc>
        <w:tc>
          <w:tcPr>
            <w:tcW w:w="8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Stock</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100"/>
              <w:spacing w:after="0"/>
              <w:rPr>
                <w:sz w:val="20"/>
                <w:szCs w:val="20"/>
                <w:color w:val="auto"/>
              </w:rPr>
            </w:pPr>
            <w:r>
              <w:rPr>
                <w:rFonts w:ascii="Arial" w:cs="Arial" w:eastAsia="Arial" w:hAnsi="Arial"/>
                <w:sz w:val="11"/>
                <w:szCs w:val="11"/>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in 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Earnings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8"/>
              </w:rPr>
              <w:t>Income</w:t>
            </w:r>
          </w:p>
        </w:tc>
        <w:tc>
          <w:tcPr>
            <w:tcW w:w="120" w:type="dxa"/>
            <w:vAlign w:val="bottom"/>
          </w:tcPr>
          <w:p>
            <w:pPr>
              <w:spacing w:after="0"/>
              <w:rPr>
                <w:sz w:val="12"/>
                <w:szCs w:val="12"/>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5"/>
              </w:rPr>
              <w:t>Subsidiaries</w:t>
            </w:r>
          </w:p>
        </w:tc>
        <w:tc>
          <w:tcPr>
            <w:tcW w:w="100" w:type="dxa"/>
            <w:vAlign w:val="bottom"/>
          </w:tcPr>
          <w:p>
            <w:pPr>
              <w:spacing w:after="0"/>
              <w:rPr>
                <w:sz w:val="12"/>
                <w:szCs w:val="12"/>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5"/>
              </w:rPr>
              <w:t>Entities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at March 31, 2022</w:t>
            </w:r>
          </w:p>
        </w:tc>
        <w:tc>
          <w:tcPr>
            <w:tcW w:w="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48</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587,243</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229,615</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658</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32,063</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194,480</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780,162</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1,824,330</w:t>
            </w:r>
          </w:p>
        </w:tc>
        <w:tc>
          <w:tcPr>
            <w:tcW w:w="0" w:type="dxa"/>
            <w:vAlign w:val="bottom"/>
          </w:tcPr>
          <w:p>
            <w:pPr>
              <w:spacing w:after="0"/>
              <w:rPr>
                <w:sz w:val="1"/>
                <w:szCs w:val="1"/>
                <w:color w:val="auto"/>
              </w:rPr>
            </w:pPr>
          </w:p>
        </w:tc>
      </w:tr>
      <w:tr>
        <w:trPr>
          <w:trHeight w:val="14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Net income (loss)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(11,040)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7,571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(8,604)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(9,398)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(21,471)</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0" w:type="dxa"/>
            <w:vAlign w:val="bottom"/>
          </w:tcPr>
          <w:p>
            <w:pPr>
              <w:spacing w:after="0"/>
              <w:rPr>
                <w:sz w:val="1"/>
                <w:szCs w:val="1"/>
                <w:color w:val="auto"/>
              </w:rPr>
            </w:pPr>
          </w:p>
        </w:tc>
      </w:tr>
      <w:tr>
        <w:trPr>
          <w:trHeight w:val="14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Contributed 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4,987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4,987</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2,039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3,714</w:t>
            </w:r>
          </w:p>
        </w:tc>
        <w:tc>
          <w:tcPr>
            <w:tcW w:w="0" w:type="dxa"/>
            <w:vAlign w:val="bottom"/>
          </w:tcPr>
          <w:p>
            <w:pPr>
              <w:spacing w:after="0"/>
              <w:rPr>
                <w:sz w:val="1"/>
                <w:szCs w:val="1"/>
                <w:color w:val="auto"/>
              </w:rPr>
            </w:pPr>
          </w:p>
        </w:tc>
      </w:tr>
      <w:tr>
        <w:trPr>
          <w:trHeight w:val="14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Distributions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(7,698)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(3,498)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(37,499)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(48,695)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(12,629)</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(12,629)</w:t>
            </w:r>
          </w:p>
        </w:tc>
        <w:tc>
          <w:tcPr>
            <w:tcW w:w="0" w:type="dxa"/>
            <w:vAlign w:val="bottom"/>
          </w:tcPr>
          <w:p>
            <w:pPr>
              <w:spacing w:after="0"/>
              <w:rPr>
                <w:sz w:val="1"/>
                <w:szCs w:val="1"/>
                <w:color w:val="auto"/>
              </w:rPr>
            </w:pPr>
          </w:p>
        </w:tc>
      </w:tr>
      <w:tr>
        <w:trPr>
          <w:trHeight w:val="112"/>
        </w:trPr>
        <w:tc>
          <w:tcPr>
            <w:tcW w:w="2520" w:type="dxa"/>
            <w:vAlign w:val="bottom"/>
            <w:gridSpan w:val="2"/>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vMerge w:val="restart"/>
          </w:tcPr>
          <w:p>
            <w:pPr>
              <w:ind w:left="5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4,513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(4,504)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20" w:type="dxa"/>
            <w:vAlign w:val="bottom"/>
            <w:gridSpan w:val="2"/>
          </w:tcPr>
          <w:p>
            <w:pPr>
              <w:ind w:left="240"/>
              <w:spacing w:after="0"/>
              <w:rPr>
                <w:sz w:val="20"/>
                <w:szCs w:val="20"/>
                <w:color w:val="auto"/>
              </w:rPr>
            </w:pPr>
            <w:r>
              <w:rPr>
                <w:rFonts w:ascii="Arial" w:cs="Arial" w:eastAsia="Arial" w:hAnsi="Arial"/>
                <w:sz w:val="11"/>
                <w:szCs w:val="11"/>
                <w:color w:val="auto"/>
              </w:rPr>
              <w:t>controlling interests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20" w:type="dxa"/>
            <w:vAlign w:val="bottom"/>
            <w:gridSpan w:val="2"/>
            <w:shd w:val="clear" w:color="auto" w:fill="CCEEFF"/>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1"/>
                <w:szCs w:val="11"/>
                <w:color w:val="auto"/>
                <w:w w:val="96"/>
              </w:rPr>
              <w:t>affecting ownership in the Partnership, including</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20" w:type="dxa"/>
            <w:vAlign w:val="bottom"/>
            <w:gridSpan w:val="2"/>
            <w:shd w:val="clear" w:color="auto" w:fill="CCEEFF"/>
          </w:tcPr>
          <w:p>
            <w:pPr>
              <w:ind w:left="240"/>
              <w:spacing w:after="0" w:line="104" w:lineRule="exact"/>
              <w:rPr>
                <w:sz w:val="20"/>
                <w:szCs w:val="20"/>
                <w:color w:val="auto"/>
              </w:rPr>
            </w:pPr>
            <w:r>
              <w:rPr>
                <w:rFonts w:ascii="Arial" w:cs="Arial" w:eastAsia="Arial" w:hAnsi="Arial"/>
                <w:sz w:val="11"/>
                <w:szCs w:val="11"/>
                <w:color w:val="auto"/>
              </w:rPr>
              <w:t>net amounts payable under Tax Receivable</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gridSpan w:val="2"/>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gridSpan w:val="2"/>
            <w:vMerge w:val="restart"/>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(636)</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gridSpan w:val="2"/>
            <w:vMerge w:val="restart"/>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gridSpan w:val="2"/>
            <w:vMerge w:val="restart"/>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gridSpan w:val="2"/>
            <w:vMerge w:val="restart"/>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gridSpan w:val="2"/>
            <w:vMerge w:val="restart"/>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gridSpan w:val="2"/>
            <w:vMerge w:val="restart"/>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(636)</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20" w:type="dxa"/>
            <w:vAlign w:val="bottom"/>
            <w:gridSpan w:val="2"/>
          </w:tcPr>
          <w:p>
            <w:pPr>
              <w:ind w:left="20"/>
              <w:spacing w:after="0"/>
              <w:rPr>
                <w:sz w:val="20"/>
                <w:szCs w:val="20"/>
                <w:color w:val="auto"/>
              </w:rPr>
            </w:pPr>
            <w:r>
              <w:rPr>
                <w:rFonts w:ascii="Arial" w:cs="Arial" w:eastAsia="Arial" w:hAnsi="Arial"/>
                <w:sz w:val="11"/>
                <w:szCs w:val="11"/>
                <w:color w:val="auto"/>
              </w:rPr>
              <w:t>Balance at June 30, 2022</w:t>
            </w:r>
          </w:p>
        </w:tc>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48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ind w:right="26"/>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593,159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205,946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31,829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187,365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730,381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1,749,375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w w:val="97"/>
              </w:rPr>
              <w:t>57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188,751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60,407</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25,885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384,400</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659,693</w:t>
            </w:r>
          </w:p>
        </w:tc>
        <w:tc>
          <w:tcPr>
            <w:tcW w:w="0" w:type="dxa"/>
            <w:vAlign w:val="bottom"/>
          </w:tcPr>
          <w:p>
            <w:pPr>
              <w:spacing w:after="0"/>
              <w:rPr>
                <w:sz w:val="1"/>
                <w:szCs w:val="1"/>
                <w:color w:val="auto"/>
              </w:rPr>
            </w:pPr>
          </w:p>
        </w:tc>
      </w:tr>
      <w:tr>
        <w:trPr>
          <w:trHeight w:val="14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41,650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5,614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79,255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126,519</w:t>
            </w:r>
          </w:p>
        </w:tc>
        <w:tc>
          <w:tcPr>
            <w:tcW w:w="0" w:type="dxa"/>
            <w:vAlign w:val="bottom"/>
          </w:tcPr>
          <w:p>
            <w:pPr>
              <w:spacing w:after="0"/>
              <w:rPr>
                <w:sz w:val="1"/>
                <w:szCs w:val="1"/>
                <w:color w:val="auto"/>
              </w:rPr>
            </w:pPr>
          </w:p>
        </w:tc>
      </w:tr>
      <w:tr>
        <w:trPr>
          <w:trHeight w:val="22"/>
        </w:trPr>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248</w:t>
            </w:r>
          </w:p>
        </w:tc>
        <w:tc>
          <w:tcPr>
            <w:tcW w:w="0" w:type="dxa"/>
            <w:vAlign w:val="bottom"/>
          </w:tcPr>
          <w:p>
            <w:pPr>
              <w:spacing w:after="0"/>
              <w:rPr>
                <w:sz w:val="1"/>
                <w:szCs w:val="1"/>
                <w:color w:val="auto"/>
              </w:rPr>
            </w:pPr>
          </w:p>
        </w:tc>
      </w:tr>
      <w:tr>
        <w:trPr>
          <w:trHeight w:val="14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Contributed 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1,546</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2,192</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3,742</w:t>
            </w:r>
          </w:p>
        </w:tc>
        <w:tc>
          <w:tcPr>
            <w:tcW w:w="0" w:type="dxa"/>
            <w:vAlign w:val="bottom"/>
          </w:tcPr>
          <w:p>
            <w:pPr>
              <w:spacing w:after="0"/>
              <w:rPr>
                <w:sz w:val="1"/>
                <w:szCs w:val="1"/>
                <w:color w:val="auto"/>
              </w:rPr>
            </w:pPr>
          </w:p>
        </w:tc>
      </w:tr>
      <w:tr>
        <w:trPr>
          <w:trHeight w:val="14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Distributions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(24,442)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(29,487)</w:t>
            </w:r>
          </w:p>
        </w:tc>
        <w:tc>
          <w:tcPr>
            <w:tcW w:w="0" w:type="dxa"/>
            <w:vAlign w:val="bottom"/>
          </w:tcPr>
          <w:p>
            <w:pPr>
              <w:spacing w:after="0"/>
              <w:rPr>
                <w:sz w:val="1"/>
                <w:szCs w:val="1"/>
                <w:color w:val="auto"/>
              </w:rPr>
            </w:pPr>
          </w:p>
        </w:tc>
      </w:tr>
      <w:tr>
        <w:trPr>
          <w:trHeight w:val="22"/>
        </w:trPr>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(3,000)</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112"/>
        </w:trPr>
        <w:tc>
          <w:tcPr>
            <w:tcW w:w="2520" w:type="dxa"/>
            <w:vAlign w:val="bottom"/>
            <w:gridSpan w:val="2"/>
          </w:tcPr>
          <w:p>
            <w:pPr>
              <w:ind w:left="140"/>
              <w:spacing w:after="0" w:line="112" w:lineRule="exact"/>
              <w:rPr>
                <w:sz w:val="20"/>
                <w:szCs w:val="20"/>
                <w:color w:val="auto"/>
              </w:rPr>
            </w:pPr>
            <w:r>
              <w:rPr>
                <w:rFonts w:ascii="Arial" w:cs="Arial" w:eastAsia="Arial" w:hAnsi="Arial"/>
                <w:sz w:val="11"/>
                <w:szCs w:val="11"/>
                <w:color w:val="auto"/>
                <w:w w:val="91"/>
              </w:rPr>
              <w:t>Exchange of Class B units for Class A common stock</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gridSpan w:val="2"/>
          </w:tcPr>
          <w:p>
            <w:pPr>
              <w:ind w:left="240"/>
              <w:spacing w:after="0" w:line="108" w:lineRule="exact"/>
              <w:rPr>
                <w:sz w:val="20"/>
                <w:szCs w:val="20"/>
                <w:color w:val="auto"/>
              </w:rPr>
            </w:pPr>
            <w:r>
              <w:rPr>
                <w:rFonts w:ascii="Arial" w:cs="Arial" w:eastAsia="Arial" w:hAnsi="Arial"/>
                <w:sz w:val="11"/>
                <w:szCs w:val="11"/>
                <w:color w:val="auto"/>
                <w:w w:val="91"/>
              </w:rPr>
              <w:t>and redemption of corresponding Class B common</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vMerge w:val="restart"/>
          </w:tcPr>
          <w:p>
            <w:pPr>
              <w:ind w:left="540"/>
              <w:spacing w:after="0"/>
              <w:rPr>
                <w:sz w:val="20"/>
                <w:szCs w:val="20"/>
                <w:color w:val="auto"/>
              </w:rPr>
            </w:pPr>
            <w:r>
              <w:rPr>
                <w:rFonts w:ascii="Arial" w:cs="Arial" w:eastAsia="Arial" w:hAnsi="Arial"/>
                <w:sz w:val="11"/>
                <w:szCs w:val="11"/>
                <w:color w:val="auto"/>
                <w:w w:val="88"/>
              </w:rPr>
              <w:t>(2)</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6"/>
        </w:trPr>
        <w:tc>
          <w:tcPr>
            <w:tcW w:w="2520" w:type="dxa"/>
            <w:vAlign w:val="bottom"/>
            <w:gridSpan w:val="2"/>
          </w:tcPr>
          <w:p>
            <w:pPr>
              <w:ind w:left="240"/>
              <w:spacing w:after="0"/>
              <w:rPr>
                <w:sz w:val="20"/>
                <w:szCs w:val="20"/>
                <w:color w:val="auto"/>
              </w:rPr>
            </w:pPr>
            <w:r>
              <w:rPr>
                <w:rFonts w:ascii="Arial" w:cs="Arial" w:eastAsia="Arial" w:hAnsi="Arial"/>
                <w:sz w:val="11"/>
                <w:szCs w:val="11"/>
                <w:color w:val="auto"/>
              </w:rPr>
              <w:t>shares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20" w:type="dxa"/>
            <w:vAlign w:val="bottom"/>
            <w:gridSpan w:val="2"/>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gridSpan w:val="3"/>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11,865</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(11,876)</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controlling interests</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20" w:type="dxa"/>
            <w:vAlign w:val="bottom"/>
            <w:gridSpan w:val="2"/>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gridSpan w:val="2"/>
          </w:tcPr>
          <w:p>
            <w:pPr>
              <w:ind w:left="240"/>
              <w:spacing w:after="0" w:line="108" w:lineRule="exact"/>
              <w:rPr>
                <w:sz w:val="20"/>
                <w:szCs w:val="20"/>
                <w:color w:val="auto"/>
              </w:rPr>
            </w:pPr>
            <w:r>
              <w:rPr>
                <w:rFonts w:ascii="Arial" w:cs="Arial" w:eastAsia="Arial" w:hAnsi="Arial"/>
                <w:sz w:val="11"/>
                <w:szCs w:val="11"/>
                <w:color w:val="auto"/>
                <w:w w:val="89"/>
              </w:rPr>
              <w:t>affecting ownership in the Partnership, including net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20" w:type="dxa"/>
            <w:vAlign w:val="bottom"/>
            <w:gridSpan w:val="2"/>
          </w:tcPr>
          <w:p>
            <w:pPr>
              <w:ind w:left="240"/>
              <w:spacing w:after="0" w:line="104" w:lineRule="exact"/>
              <w:rPr>
                <w:sz w:val="20"/>
                <w:szCs w:val="20"/>
                <w:color w:val="auto"/>
              </w:rPr>
            </w:pPr>
            <w:r>
              <w:rPr>
                <w:rFonts w:ascii="Arial" w:cs="Arial" w:eastAsia="Arial" w:hAnsi="Arial"/>
                <w:sz w:val="11"/>
                <w:szCs w:val="11"/>
                <w:color w:val="auto"/>
              </w:rPr>
              <w:t>amounts payable under Tax Receivable</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3,401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3,401</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Balance at June 30, 2021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520"/>
              <w:spacing w:after="0"/>
              <w:rPr>
                <w:sz w:val="20"/>
                <w:szCs w:val="20"/>
                <w:color w:val="auto"/>
              </w:rPr>
            </w:pPr>
            <w:r>
              <w:rPr>
                <w:rFonts w:ascii="Arial" w:cs="Arial" w:eastAsia="Arial" w:hAnsi="Arial"/>
                <w:sz w:val="11"/>
                <w:szCs w:val="11"/>
                <w:color w:val="auto"/>
                <w:w w:val="97"/>
              </w:rPr>
              <w:t>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205,561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99,057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429,622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761,135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notes 10 and 13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Three Months Ended June 30,</w:t>
            </w:r>
          </w:p>
        </w:tc>
      </w:tr>
      <w:tr>
        <w:trPr>
          <w:trHeight w:val="223"/>
        </w:trPr>
        <w:tc>
          <w:tcPr>
            <w:tcW w:w="7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(21,471)</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126,519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11,521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carried interest allocations and investment (income) loss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(180,412)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Unrealized legacy Greenspring carried interest allocations and investment loss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193,413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performance fee-related compensation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85,572</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Unrealized legacy Greenspring performance fee-related compensation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(183,195)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Fair value adjustment for acquisition-related contingent consideration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non-cash activities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Fees and accounts receivable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Due from affiliates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receivables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3,429</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16,779</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Accrued carried interest-related compensation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11,348</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affiliates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Lease right-of-use assets, net and lease liabilities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7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57,482</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75,729</w:t>
            </w:r>
          </w:p>
        </w:tc>
      </w:tr>
      <w:tr>
        <w:trPr>
          <w:trHeight w:val="250"/>
        </w:trPr>
        <w:tc>
          <w:tcPr>
            <w:tcW w:w="7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Contributions to investments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(5,882)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(6,103)</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received from investments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Contributions to investments in legacy Greenspring entities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received from investments in legacy Greenspring entities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(7,601)</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Three Months Ended June 30,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offering costs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(29,487)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capital contributions to legacy Greenspring entities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 in legacy Greenspring entities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common stockholders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Payments to related parties under Tax Receivable Agreements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(60,718)</w:t>
            </w:r>
          </w:p>
        </w:tc>
        <w:tc>
          <w:tcPr>
            <w:tcW w:w="2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38,728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117,449</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183,863</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107,332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222,591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Accrued dividends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Deferred tax effect resulting from transactions affecting ownership in the Partnership, including net</w:t>
            </w:r>
          </w:p>
        </w:tc>
        <w:tc>
          <w:tcPr>
            <w:tcW w:w="3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135"/>
        </w:trPr>
        <w:tc>
          <w:tcPr>
            <w:tcW w:w="786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amounts payable under Tax Receivable Agreements</w:t>
            </w:r>
          </w:p>
        </w:tc>
        <w:tc>
          <w:tcPr>
            <w:tcW w:w="32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86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Establishment of lease liabilities in exchange for lease right-of-use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14,747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76,893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106,354</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218,580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107,332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222,591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22" w:lineRule="exact"/>
        <w:rPr>
          <w:sz w:val="20"/>
          <w:szCs w:val="20"/>
          <w:color w:val="auto"/>
        </w:rPr>
      </w:pPr>
    </w:p>
    <w:p>
      <w:pPr>
        <w:ind w:right="180" w:firstLine="648"/>
        <w:spacing w:after="0" w:line="278" w:lineRule="auto"/>
        <w:rPr>
          <w:sz w:val="20"/>
          <w:szCs w:val="20"/>
          <w:color w:val="auto"/>
        </w:rPr>
      </w:pPr>
      <w:r>
        <w:rPr>
          <w:rFonts w:ascii="Arial" w:cs="Arial" w:eastAsia="Arial" w:hAnsi="Arial"/>
          <w:sz w:val="18"/>
          <w:szCs w:val="18"/>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The Company is a global private markets investment firm focused on providing customized investment solutions and advisory, data and administrative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0" w:lineRule="exact"/>
        <w:rPr>
          <w:sz w:val="20"/>
          <w:szCs w:val="20"/>
          <w:color w:val="auto"/>
        </w:rPr>
      </w:pPr>
    </w:p>
    <w:p>
      <w:pPr>
        <w:ind w:right="220" w:firstLine="648"/>
        <w:spacing w:after="0" w:line="316" w:lineRule="auto"/>
        <w:rPr>
          <w:sz w:val="20"/>
          <w:szCs w:val="20"/>
          <w:color w:val="auto"/>
        </w:rPr>
      </w:pPr>
      <w:r>
        <w:rPr>
          <w:rFonts w:ascii="Arial" w:cs="Arial" w:eastAsia="Arial" w:hAnsi="Arial"/>
          <w:sz w:val="18"/>
          <w:szCs w:val="18"/>
          <w:color w:val="auto"/>
        </w:rPr>
        <w:t>The Company, through its subsidiaries, acts as the investment advisor and general partner or managing member to separately managed accounts (“SMAs”) and focused commingled funds, including acquired Greenspring funds (collectively, the “StepStone Funds”).</w:t>
      </w:r>
    </w:p>
    <w:p>
      <w:pPr>
        <w:spacing w:after="0" w:line="13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June 30, 2022, SSG held approximately 55.2%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Greenspring Acquisition</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On September 20, 2021, the Company completed the acquisition of 100% of the equity of Greenspring Associates, Inc. and certain of its affiliates (collectively, “Greenspring”). The results of Greenspring’s operations have been included in the condensed consolidated financial statements effective September 20, 2021. In connection with the Greenspring acquisition, the Company issued 12,686,756 shares of its Class A common stock and the Partnership issued 3,071,519 newly created Class C units of the Partnership, with each such unit exchangeable into one share of Class A common stock, subject to certain adjustments and restrictions (see note 13).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7140" w:hanging="652"/>
        <w:spacing w:after="0" w:line="468" w:lineRule="auto"/>
        <w:tabs>
          <w:tab w:leader="none" w:pos="358"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ind w:right="20" w:firstLine="648"/>
        <w:spacing w:after="0" w:line="309" w:lineRule="auto"/>
        <w:rPr>
          <w:sz w:val="20"/>
          <w:szCs w:val="20"/>
          <w:color w:val="auto"/>
        </w:rPr>
      </w:pPr>
      <w:r>
        <w:rPr>
          <w:rFonts w:ascii="Arial" w:cs="Arial" w:eastAsia="Arial" w:hAnsi="Arial"/>
          <w:sz w:val="16"/>
          <w:szCs w:val="16"/>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2022 filed with the Securities and Exchange Commission (“SEC”).</w:t>
      </w:r>
    </w:p>
    <w:p>
      <w:pPr>
        <w:spacing w:after="0" w:line="37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222" w:lineRule="exact"/>
        <w:rPr>
          <w:sz w:val="20"/>
          <w:szCs w:val="20"/>
          <w:color w:val="auto"/>
        </w:rPr>
      </w:pPr>
    </w:p>
    <w:p>
      <w:pPr>
        <w:ind w:right="280" w:firstLine="648"/>
        <w:spacing w:after="0" w:line="291" w:lineRule="auto"/>
        <w:rPr>
          <w:sz w:val="20"/>
          <w:szCs w:val="20"/>
          <w:color w:val="auto"/>
        </w:rPr>
      </w:pPr>
      <w:r>
        <w:rPr>
          <w:rFonts w:ascii="Arial" w:cs="Arial" w:eastAsia="Arial" w:hAnsi="Arial"/>
          <w:sz w:val="18"/>
          <w:szCs w:val="18"/>
          <w:color w:val="auto"/>
        </w:rPr>
        <w:t>Certain prior year amounts have been reclassified to conform to the current period presentation. Payments to related parties under Tax Receivable Agreements has been presented separately within cash flows from financing activities in the condensed consolidated statements of cash flows, and was previously included within due to affiliates within cash flows from operating activities.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0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6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8"/>
          <w:szCs w:val="18"/>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68"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96"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color w:val="auto"/>
        </w:rPr>
        <w:t>In connection with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1"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legacy Greenspring entities </w:t>
      </w:r>
      <w:r>
        <w:rPr>
          <w:rFonts w:ascii="Arial" w:cs="Arial" w:eastAsia="Arial" w:hAnsi="Arial"/>
          <w:sz w:val="20"/>
          <w:szCs w:val="20"/>
          <w:color w:val="auto"/>
        </w:rPr>
        <w:t>represent the economic interests in the legacy Greenspring general partner</w:t>
      </w:r>
      <w:r>
        <w:rPr>
          <w:rFonts w:ascii="Arial" w:cs="Arial" w:eastAsia="Arial" w:hAnsi="Arial"/>
          <w:sz w:val="20"/>
          <w:szCs w:val="20"/>
          <w:i w:val="1"/>
          <w:iCs w:val="1"/>
          <w:color w:val="auto"/>
        </w:rPr>
        <w:t xml:space="preserve"> </w:t>
      </w:r>
      <w:r>
        <w:rPr>
          <w:rFonts w:ascii="Arial" w:cs="Arial" w:eastAsia="Arial" w:hAnsi="Arial"/>
          <w:sz w:val="20"/>
          <w:szCs w:val="20"/>
          <w:color w:val="auto"/>
        </w:rPr>
        <w:t>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spacing w:after="0" w:line="191" w:lineRule="exact"/>
        <w:rPr>
          <w:sz w:val="20"/>
          <w:szCs w:val="20"/>
          <w:color w:val="auto"/>
        </w:rPr>
      </w:pPr>
    </w:p>
    <w:p>
      <w:pPr>
        <w:ind w:right="42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and Class C units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22"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June 30, 2022, the Company used the March 31, 2022 unaudited financial statements of the StepStone Funds, which reflect the underlying private market funds as of March 31, 2022, to record its investments (including any carried interest allocated by those investments), as adjusted for capital contributions and distributions during the three-month lag period ended June 30,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16" w:lineRule="exact"/>
        <w:rPr>
          <w:sz w:val="20"/>
          <w:szCs w:val="20"/>
          <w:color w:val="auto"/>
        </w:rPr>
      </w:pPr>
    </w:p>
    <w:p>
      <w:pPr>
        <w:ind w:right="320" w:firstLine="648"/>
        <w:spacing w:after="0" w:line="287" w:lineRule="auto"/>
        <w:rPr>
          <w:sz w:val="20"/>
          <w:szCs w:val="20"/>
          <w:color w:val="auto"/>
        </w:rPr>
      </w:pPr>
      <w:r>
        <w:rPr>
          <w:rFonts w:ascii="Arial" w:cs="Arial" w:eastAsia="Arial" w:hAnsi="Arial"/>
          <w:sz w:val="19"/>
          <w:szCs w:val="19"/>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Current Events</w:t>
      </w:r>
    </w:p>
    <w:p>
      <w:pPr>
        <w:spacing w:after="0" w:line="22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8"/>
          <w:szCs w:val="18"/>
          <w:color w:val="auto"/>
        </w:rPr>
        <w:t>The Company is continuing to closely monitor developments related to COVID-19, inflation, rising interest rates and the ongoing Russia-Ukraine conflict, and assess the impact on financial markets and the Company’s business. The Company’s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It is currently not possible to predict the ultimate effects of these events on the financial markets, overall economy and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54" w:right="4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1" w:lineRule="exact"/>
        <w:rPr>
          <w:rFonts w:ascii="Arial" w:cs="Arial" w:eastAsia="Arial" w:hAnsi="Arial"/>
          <w:sz w:val="20"/>
          <w:szCs w:val="20"/>
          <w:color w:val="auto"/>
        </w:rPr>
      </w:pPr>
    </w:p>
    <w:p>
      <w:pPr>
        <w:ind w:left="660" w:right="38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61"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65"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The Company considers its cash, cash equivalents, restricted cash, fees and accounts receivable, accounts payable, investments, revolving credit facility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notes 6 and 8 for additional details regarding the fair value of the Company’s contingent consideration and revolving credit facility balances,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Cash</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Leases</w:t>
      </w:r>
    </w:p>
    <w:p>
      <w:pPr>
        <w:spacing w:after="0" w:line="222" w:lineRule="exact"/>
        <w:rPr>
          <w:sz w:val="20"/>
          <w:szCs w:val="20"/>
          <w:color w:val="auto"/>
        </w:rPr>
      </w:pPr>
    </w:p>
    <w:p>
      <w:pPr>
        <w:ind w:right="20" w:firstLine="648"/>
        <w:spacing w:after="0" w:line="309" w:lineRule="auto"/>
        <w:rPr>
          <w:sz w:val="20"/>
          <w:szCs w:val="20"/>
          <w:color w:val="auto"/>
        </w:rPr>
      </w:pPr>
      <w:r>
        <w:rPr>
          <w:rFonts w:ascii="Arial" w:cs="Arial" w:eastAsia="Arial" w:hAnsi="Arial"/>
          <w:sz w:val="16"/>
          <w:szCs w:val="16"/>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37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8"/>
          <w:szCs w:val="18"/>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14 for more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Business Combinations</w:t>
      </w:r>
    </w:p>
    <w:p>
      <w:pPr>
        <w:spacing w:after="0" w:line="222"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Examples of critical estimates in valuing certain of the intangible assets acquired include, but are not limited to, future expected cash inflows and outflows, future fundraising assumptions, expected useful life, discount rates and income tax rates. Acquisition-related costs incurred in connection with a business combination are expensed as incurred and are included in general, administrative and other expenses in the condensed consolidated statements of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Intangibles and Goodwill</w:t>
      </w:r>
    </w:p>
    <w:p>
      <w:pPr>
        <w:spacing w:after="0" w:line="22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June 30, 2022.</w:t>
      </w:r>
    </w:p>
    <w:p>
      <w:pPr>
        <w:spacing w:after="0" w:line="170"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months ended June 30, 2022 and 2021.</w:t>
      </w:r>
    </w:p>
    <w:p>
      <w:pPr>
        <w:spacing w:after="0" w:line="186"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firstLine="648"/>
        <w:spacing w:after="0" w:line="328" w:lineRule="auto"/>
        <w:rPr>
          <w:sz w:val="20"/>
          <w:szCs w:val="20"/>
          <w:color w:val="auto"/>
        </w:rPr>
      </w:pPr>
      <w:r>
        <w:rPr>
          <w:rFonts w:ascii="Arial" w:cs="Arial" w:eastAsia="Arial" w:hAnsi="Arial"/>
          <w:sz w:val="16"/>
          <w:szCs w:val="16"/>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28"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3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3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5"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reflect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Arial" w:cs="Arial" w:eastAsia="Arial" w:hAnsi="Arial"/>
          <w:sz w:val="18"/>
          <w:szCs w:val="18"/>
          <w:color w:val="000000"/>
        </w:rPr>
        <w:t>because it</w:t>
      </w:r>
      <w:r>
        <w:rPr>
          <w:rFonts w:ascii="Arial" w:cs="Arial" w:eastAsia="Arial" w:hAnsi="Arial"/>
          <w:sz w:val="18"/>
          <w:szCs w:val="18"/>
          <w:color w:val="231F20"/>
        </w:rPr>
        <w:t xml:space="preserve"> </w:t>
      </w:r>
      <w:r>
        <w:rPr>
          <w:rFonts w:ascii="Arial" w:cs="Arial" w:eastAsia="Arial" w:hAnsi="Arial"/>
          <w:sz w:val="18"/>
          <w:szCs w:val="18"/>
          <w:color w:val="000000"/>
        </w:rPr>
        <w:t>is presumed to have significant influence as the general partner or managing member</w:t>
      </w:r>
      <w:r>
        <w:rPr>
          <w:rFonts w:ascii="Arial" w:cs="Arial" w:eastAsia="Arial" w:hAnsi="Arial"/>
          <w:sz w:val="18"/>
          <w:szCs w:val="18"/>
          <w:color w:val="231F20"/>
        </w:rPr>
        <w:t>.</w:t>
      </w:r>
      <w:r>
        <w:rPr>
          <w:rFonts w:ascii="Arial" w:cs="Arial" w:eastAsia="Arial" w:hAnsi="Arial"/>
          <w:sz w:val="18"/>
          <w:szCs w:val="18"/>
          <w:color w:val="000000"/>
        </w:rPr>
        <w:t xml:space="preserve"> Accordingly, legacy Greenspring carried interest allocations are not deemed to be within the scope of ASC 606. </w:t>
      </w:r>
      <w:r>
        <w:rPr>
          <w:rFonts w:ascii="Arial" w:cs="Arial" w:eastAsia="Arial" w:hAnsi="Arial"/>
          <w:sz w:val="18"/>
          <w:szCs w:val="18"/>
          <w:color w:val="231F20"/>
        </w:rPr>
        <w:t>The Company does not hold any direct economic interests in the legacy</w:t>
      </w:r>
      <w:r>
        <w:rPr>
          <w:rFonts w:ascii="Arial" w:cs="Arial" w:eastAsia="Arial" w:hAnsi="Arial"/>
          <w:sz w:val="18"/>
          <w:szCs w:val="18"/>
          <w:color w:val="000000"/>
        </w:rPr>
        <w:t xml:space="preserve"> </w:t>
      </w:r>
      <w:r>
        <w:rPr>
          <w:rFonts w:ascii="Arial" w:cs="Arial" w:eastAsia="Arial" w:hAnsi="Arial"/>
          <w:sz w:val="18"/>
          <w:szCs w:val="18"/>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spacing w:after="0" w:line="174" w:lineRule="exact"/>
        <w:rPr>
          <w:sz w:val="20"/>
          <w:szCs w:val="20"/>
          <w:color w:val="auto"/>
        </w:rPr>
      </w:pPr>
    </w:p>
    <w:p>
      <w:pPr>
        <w:ind w:right="20" w:firstLine="648"/>
        <w:spacing w:after="0" w:line="255" w:lineRule="auto"/>
        <w:rPr>
          <w:sz w:val="20"/>
          <w:szCs w:val="20"/>
          <w:color w:val="auto"/>
        </w:rPr>
      </w:pPr>
      <w:r>
        <w:rPr>
          <w:rFonts w:ascii="Arial" w:cs="Arial" w:eastAsia="Arial" w:hAnsi="Arial"/>
          <w:sz w:val="19"/>
          <w:szCs w:val="19"/>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0"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2022 and March 31, 2022, no material amounts for potential clawback obligations had been accrued.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See note 9 for additional information regarding the Company’s accounting for equity-based awards.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firstLine="648"/>
        <w:spacing w:after="0" w:line="316"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40"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The Company is subject to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SSG has entered into an Exchanges Tax Receivable Agreement (the “Exchanges Tax Receivable Agreement”) with the partners of the Partnership as of the date of the IPO and a Reorganization Tax Receivable Agreement with certain pre-IPO institutional investors (together, with the Exchanges Tax Receivable Agreement,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 13 for more information.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89"/>
              </w:rPr>
              <w:t>As of</w:t>
            </w:r>
          </w:p>
        </w:tc>
        <w:tc>
          <w:tcPr>
            <w:tcW w:w="1240" w:type="dxa"/>
            <w:vAlign w:val="bottom"/>
            <w:tcBorders>
              <w:bottom w:val="single" w:sz="8" w:color="auto"/>
            </w:tcBorders>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2022</w:t>
            </w:r>
          </w:p>
        </w:tc>
        <w:tc>
          <w:tcPr>
            <w:tcW w:w="780" w:type="dxa"/>
            <w:vAlign w:val="bottom"/>
          </w:tcPr>
          <w:p>
            <w:pPr>
              <w:spacing w:after="0"/>
              <w:rPr>
                <w:sz w:val="18"/>
                <w:szCs w:val="18"/>
                <w:color w:val="auto"/>
              </w:rPr>
            </w:pPr>
          </w:p>
        </w:tc>
        <w:tc>
          <w:tcPr>
            <w:tcW w:w="124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March 31, 2022</w:t>
            </w:r>
          </w:p>
        </w:tc>
      </w:tr>
      <w:tr>
        <w:trPr>
          <w:trHeight w:val="226"/>
        </w:trPr>
        <w:tc>
          <w:tcPr>
            <w:tcW w:w="69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6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 gain (loss) on defined benefit plan, net</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48"/>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The Company operates as one business, a fully-integrated private markets solution provider. The Company’s chief operating decision maker,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right="280" w:firstLine="648"/>
        <w:spacing w:after="0" w:line="291" w:lineRule="auto"/>
        <w:rPr>
          <w:sz w:val="20"/>
          <w:szCs w:val="20"/>
          <w:color w:val="auto"/>
        </w:rPr>
      </w:pPr>
      <w:r>
        <w:rPr>
          <w:rFonts w:ascii="Arial" w:cs="Arial" w:eastAsia="Arial" w:hAnsi="Arial"/>
          <w:sz w:val="18"/>
          <w:szCs w:val="18"/>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which amends current guidance to provide optional practical expedients and exceptions, if certain criteria are</w:t>
      </w:r>
      <w:r>
        <w:rPr>
          <w:rFonts w:ascii="Arial" w:cs="Arial" w:eastAsia="Arial" w:hAnsi="Arial"/>
          <w:sz w:val="18"/>
          <w:szCs w:val="18"/>
          <w:i w:val="1"/>
          <w:iCs w:val="1"/>
          <w:color w:val="auto"/>
        </w:rPr>
        <w:t xml:space="preserve"> </w:t>
      </w:r>
      <w:r>
        <w:rPr>
          <w:rFonts w:ascii="Arial" w:cs="Arial" w:eastAsia="Arial" w:hAnsi="Arial"/>
          <w:sz w:val="18"/>
          <w:szCs w:val="18"/>
          <w:color w:val="auto"/>
        </w:rPr>
        <w:t>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but do not apply to contract modifications or hedging relationships entered into after December 31, 2022. This guidance is effective for adoption anytime after March 12, 2020, but must be adopted prior to December 31, 2022. The Company is currently evaluating the impact on the condensed consolidated financial statements.</w:t>
      </w:r>
    </w:p>
    <w:p>
      <w:pPr>
        <w:spacing w:after="0" w:line="168"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 xml:space="preserve">In August 2020, the FASB issued ASU 2020-06, </w:t>
      </w:r>
      <w:r>
        <w:rPr>
          <w:rFonts w:ascii="Arial" w:cs="Arial" w:eastAsia="Arial" w:hAnsi="Arial"/>
          <w:sz w:val="20"/>
          <w:szCs w:val="20"/>
          <w:i w:val="1"/>
          <w:iCs w:val="1"/>
          <w:color w:val="auto"/>
        </w:rPr>
        <w:t>Debt—Debt with Conversion and Other Options (Subtopic 470-20) and Derivatives</w:t>
      </w:r>
      <w:r>
        <w:rPr>
          <w:rFonts w:ascii="Arial" w:cs="Arial" w:eastAsia="Arial" w:hAnsi="Arial"/>
          <w:sz w:val="20"/>
          <w:szCs w:val="20"/>
          <w:color w:val="auto"/>
        </w:rPr>
        <w:t xml:space="preserve"> </w:t>
      </w:r>
      <w:r>
        <w:rPr>
          <w:rFonts w:ascii="Arial" w:cs="Arial" w:eastAsia="Arial" w:hAnsi="Arial"/>
          <w:sz w:val="20"/>
          <w:szCs w:val="20"/>
          <w:i w:val="1"/>
          <w:iCs w:val="1"/>
          <w:color w:val="auto"/>
        </w:rPr>
        <w:t>and Hedging—Contracts in Entity’s Own Equity (Subtopic 815-40): Accounting for Convertible Instruments and Contracts in an Entity’s Own Equity</w:t>
      </w:r>
      <w:r>
        <w:rPr>
          <w:rFonts w:ascii="Arial" w:cs="Arial" w:eastAsia="Arial" w:hAnsi="Arial"/>
          <w:sz w:val="20"/>
          <w:szCs w:val="20"/>
          <w:color w:val="auto"/>
        </w:rPr>
        <w:t>, which simplifies the accounting for certain financial instruments with characteristics of liabilities and equity, including</w:t>
      </w:r>
      <w:r>
        <w:rPr>
          <w:rFonts w:ascii="Arial" w:cs="Arial" w:eastAsia="Arial" w:hAnsi="Arial"/>
          <w:sz w:val="20"/>
          <w:szCs w:val="20"/>
          <w:i w:val="1"/>
          <w:iCs w:val="1"/>
          <w:color w:val="auto"/>
        </w:rPr>
        <w:t xml:space="preserve"> </w:t>
      </w:r>
      <w:r>
        <w:rPr>
          <w:rFonts w:ascii="Arial" w:cs="Arial" w:eastAsia="Arial" w:hAnsi="Arial"/>
          <w:sz w:val="20"/>
          <w:szCs w:val="20"/>
          <w:color w:val="auto"/>
        </w:rPr>
        <w:t>convertible instruments and contracts on an entity’s own equity. The Company adopted this guidance on April 1, 2022 under the modified retrospective approach. The Company has changed its accounting policy to reflect the updated equity classification of contracts in an entity’s own equity, and has accounted for freestanding instruments that are indexed to and settled in the Company’s own equity at fair value with changes in fair value recognized in earnings. Adoption of this guidance did not have a material effect on the condensed consolidated financial statements.</w:t>
      </w:r>
    </w:p>
    <w:p>
      <w:pPr>
        <w:spacing w:after="0" w:line="197" w:lineRule="exact"/>
        <w:rPr>
          <w:sz w:val="20"/>
          <w:szCs w:val="20"/>
          <w:color w:val="auto"/>
        </w:rPr>
      </w:pPr>
    </w:p>
    <w:p>
      <w:pPr>
        <w:ind w:right="280" w:firstLine="648"/>
        <w:spacing w:after="0" w:line="274" w:lineRule="auto"/>
        <w:rPr>
          <w:sz w:val="20"/>
          <w:szCs w:val="20"/>
          <w:color w:val="auto"/>
        </w:rPr>
      </w:pPr>
      <w:r>
        <w:rPr>
          <w:rFonts w:ascii="Arial" w:cs="Arial" w:eastAsia="Arial" w:hAnsi="Arial"/>
          <w:sz w:val="18"/>
          <w:szCs w:val="18"/>
          <w:color w:val="auto"/>
        </w:rPr>
        <w:t xml:space="preserve">In July 2021, the FASB issued ASU 2021-05, </w:t>
      </w:r>
      <w:r>
        <w:rPr>
          <w:rFonts w:ascii="Arial" w:cs="Arial" w:eastAsia="Arial" w:hAnsi="Arial"/>
          <w:sz w:val="18"/>
          <w:szCs w:val="18"/>
          <w:i w:val="1"/>
          <w:iCs w:val="1"/>
          <w:color w:val="auto"/>
        </w:rPr>
        <w:t>Leases (Topic 842): Lessors—Certain Leases with Variable Lease Payments</w:t>
      </w:r>
      <w:r>
        <w:rPr>
          <w:rFonts w:ascii="Arial" w:cs="Arial" w:eastAsia="Arial" w:hAnsi="Arial"/>
          <w:sz w:val="18"/>
          <w:szCs w:val="18"/>
          <w:color w:val="auto"/>
        </w:rPr>
        <w:t>, which modifies ASC 842 to amend the lease classification requirements for lessors to align with practice under ASC Topic 840. Lessors should classify and account for a lease with variable lease payments that do not depend on a reference index or a rate as an operating lease if the lease would have been classified as a sales-type lease or a direct financing lease under ASC 842, and the lessor would have otherwise recognized a day-one loss on the investment in the lease. This guidance is effective for annual periods beginning after December 15, 2021 and interim periods within those annual periods. The Company adopted this guidance on April 1, 2022. Adoption of this guidance did not have a material effect on the condensed consolidated financial statements.</w:t>
      </w:r>
    </w:p>
    <w:p>
      <w:pPr>
        <w:spacing w:after="0" w:line="16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9"/>
          <w:szCs w:val="19"/>
          <w:color w:val="auto"/>
        </w:rPr>
        <w:t xml:space="preserve">In November 2021, the FASB issued ASU 2021-08, </w:t>
      </w:r>
      <w:r>
        <w:rPr>
          <w:rFonts w:ascii="Arial" w:cs="Arial" w:eastAsia="Arial" w:hAnsi="Arial"/>
          <w:sz w:val="19"/>
          <w:szCs w:val="19"/>
          <w:i w:val="1"/>
          <w:iCs w:val="1"/>
          <w:color w:val="auto"/>
        </w:rPr>
        <w:t>Business Combinations (Topic 805): Accounting for Contract Assets and</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 Liabilities from Contracts with Customers</w:t>
      </w:r>
      <w:r>
        <w:rPr>
          <w:rFonts w:ascii="Arial" w:cs="Arial" w:eastAsia="Arial" w:hAnsi="Arial"/>
          <w:sz w:val="19"/>
          <w:szCs w:val="19"/>
          <w:color w:val="auto"/>
        </w:rPr>
        <w:t>, which modifies ASC 805 to require an acquiring entity in a business combination to</w:t>
      </w:r>
      <w:r>
        <w:rPr>
          <w:rFonts w:ascii="Arial" w:cs="Arial" w:eastAsia="Arial" w:hAnsi="Arial"/>
          <w:sz w:val="19"/>
          <w:szCs w:val="19"/>
          <w:i w:val="1"/>
          <w:iCs w:val="1"/>
          <w:color w:val="auto"/>
        </w:rPr>
        <w:t xml:space="preserve"> </w:t>
      </w:r>
      <w:r>
        <w:rPr>
          <w:rFonts w:ascii="Arial" w:cs="Arial" w:eastAsia="Arial" w:hAnsi="Arial"/>
          <w:sz w:val="19"/>
          <w:szCs w:val="19"/>
          <w:color w:val="auto"/>
        </w:rPr>
        <w:t>recognize and measure contract assets and contract liabilities acquired in a business combination in accordance with Topic 606. At the acquisition date, an acquirer should account for the related revenue contracts in accordance with Topic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April 1, 2022, and will apply the guidance prospectively to business combinations that occur after this date. The guidance had no effect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SMAs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40,605</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 reimbursement revenues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management and advisory fees,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8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6"/>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Incentive Fees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Focused commingled funds</w:t>
            </w:r>
          </w:p>
        </w:tc>
        <w:tc>
          <w:tcPr>
            <w:tcW w:w="2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8"/>
        </w:trPr>
        <w:tc>
          <w:tcPr>
            <w:tcW w:w="85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incentive fees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8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172,793</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53,569</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carried interest allocations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226,362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8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Legacy Greenspring Carried Interest Allocations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Focused commingled funds</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legacy Greenspring carried interest allocations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(153,607)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140" w:hanging="652"/>
        <w:spacing w:after="0" w:line="260"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three months ended June 30, 2022 reflect the net effect of gross realized carried interest allocations of $29.6 million, and the reversal of such amounts in unrealized carried interest allocations for the period.</w:t>
      </w:r>
    </w:p>
    <w:p>
      <w:pPr>
        <w:spacing w:after="0" w:line="183" w:lineRule="exact"/>
        <w:rPr>
          <w:sz w:val="20"/>
          <w:szCs w:val="20"/>
          <w:color w:val="auto"/>
        </w:rPr>
      </w:pPr>
    </w:p>
    <w:p>
      <w:pPr>
        <w:ind w:right="380" w:firstLine="648"/>
        <w:spacing w:after="0" w:line="250" w:lineRule="auto"/>
        <w:rPr>
          <w:sz w:val="20"/>
          <w:szCs w:val="20"/>
          <w:color w:val="auto"/>
        </w:rPr>
      </w:pPr>
      <w:r>
        <w:rPr>
          <w:rFonts w:ascii="Arial" w:cs="Arial" w:eastAsia="Arial" w:hAnsi="Arial"/>
          <w:sz w:val="20"/>
          <w:szCs w:val="20"/>
          <w:color w:val="auto"/>
        </w:rPr>
        <w:t>The decrease in carried interest allocations for the three months ended June 30, 2022 and 2021 was primarily attributable to net unrealized depreciation in the fair value of certain underlying fund investments. See note 2 for a discussion of the Company’s accounting policy for investments on a three-month lag.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w w:val="96"/>
              </w:rPr>
              <w:t>Three Months Ended June 30,</w:t>
            </w:r>
          </w:p>
        </w:tc>
        <w:tc>
          <w:tcPr>
            <w:tcW w:w="0" w:type="dxa"/>
            <w:vAlign w:val="bottom"/>
          </w:tcPr>
          <w:p>
            <w:pPr>
              <w:spacing w:after="0"/>
              <w:rPr>
                <w:sz w:val="1"/>
                <w:szCs w:val="1"/>
                <w:color w:val="auto"/>
              </w:rPr>
            </w:pPr>
          </w:p>
        </w:tc>
      </w:tr>
      <w:tr>
        <w:trPr>
          <w:trHeight w:val="212"/>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50,655</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29,732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257,950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460" w:hanging="652"/>
        <w:spacing w:after="0" w:line="260"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183" w:lineRule="exact"/>
        <w:rPr>
          <w:sz w:val="20"/>
          <w:szCs w:val="20"/>
          <w:color w:val="auto"/>
        </w:rPr>
      </w:pPr>
    </w:p>
    <w:p>
      <w:pPr>
        <w:ind w:right="1060" w:firstLine="648"/>
        <w:spacing w:after="0" w:line="260" w:lineRule="auto"/>
        <w:rPr>
          <w:sz w:val="20"/>
          <w:szCs w:val="20"/>
          <w:color w:val="auto"/>
        </w:rPr>
      </w:pPr>
      <w:r>
        <w:rPr>
          <w:rFonts w:ascii="Arial" w:cs="Arial" w:eastAsia="Arial" w:hAnsi="Arial"/>
          <w:sz w:val="20"/>
          <w:szCs w:val="20"/>
          <w:color w:val="auto"/>
        </w:rPr>
        <w:t>For the three months ended June 30, 2022 and 2021, no individual client represented 10% or more of the Company’s net management and advisory fees.</w:t>
      </w:r>
    </w:p>
    <w:p>
      <w:pPr>
        <w:spacing w:after="0" w:line="177"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As of June 30, 2022 and March 31, 2022, the Company had $14.8 million and $19.0 million, respectively, of deferred revenues, which is included in accounts payable, accrued expenses and other liabilities in the condensed consolidated balance sheets. During the three months ended June 30, 2022, the Company had recognized $4.9 million as revenue from amounts included in the deferred revenue balance as of March 31, 2022.</w:t>
      </w:r>
    </w:p>
    <w:p>
      <w:pPr>
        <w:spacing w:after="0" w:line="185" w:lineRule="exact"/>
        <w:rPr>
          <w:sz w:val="20"/>
          <w:szCs w:val="20"/>
          <w:color w:val="auto"/>
        </w:rPr>
      </w:pPr>
    </w:p>
    <w:p>
      <w:pPr>
        <w:ind w:left="660" w:right="8760" w:hanging="652"/>
        <w:spacing w:after="0" w:line="520" w:lineRule="auto"/>
        <w:tabs>
          <w:tab w:leader="none" w:pos="3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Consolidated VIEs</w:t>
      </w:r>
    </w:p>
    <w:p>
      <w:pPr>
        <w:ind w:right="100" w:firstLine="648"/>
        <w:spacing w:after="0" w:line="257" w:lineRule="auto"/>
        <w:rPr>
          <w:sz w:val="20"/>
          <w:szCs w:val="20"/>
          <w:color w:val="auto"/>
        </w:rPr>
      </w:pPr>
      <w:r>
        <w:rPr>
          <w:rFonts w:ascii="Arial" w:cs="Arial" w:eastAsia="Arial" w:hAnsi="Arial"/>
          <w:sz w:val="19"/>
          <w:szCs w:val="19"/>
          <w:color w:val="auto"/>
        </w:rPr>
        <w:t>The Company consolidates certain VIEs for which it is the primary beneficiary. Such VIEs consist of certain operating entities not wholly-owned by the Company (e.g., Swiss Capital, SRA and SRE) and legacy Greenspring general partner entities. See note 2 for more information on the Company’s accounting policies related to the consolidation of VIEs. The assets of the consolidated VIEs totaled $1,258.1 million and $1,435.2 million as of June 30, 2022 and March 31, 2022, respectively. The liabilities of the consolidated VIEs totaled $1,006.5 million and $1,181.2 million as of June 30, 2022 and March 31, 2022,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June 30, 2022 and March 31, 2022, no material amounts previously distributed have been accrued for clawback liabilities.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2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June 30,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Legacy Greenspring investments in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187,365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194,480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 net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13,832</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legacy Greenspring entities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187,365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194,480</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129,565</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112,043</w:t>
            </w:r>
          </w:p>
        </w:tc>
      </w:tr>
      <w:tr>
        <w:trPr>
          <w:trHeight w:val="21"/>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condensed consolidated statements of income. Investment income attributable to investments in certain legacy Greenspring funds for which the Company has no direct economic interests are recorded in legacy Greenspring investment income in the condensed consolidated statements of income.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June 30,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carried interest allocations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1,366,314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1,480,515</w:t>
            </w:r>
          </w:p>
        </w:tc>
      </w:tr>
      <w:tr>
        <w:trPr>
          <w:trHeight w:val="230"/>
        </w:trPr>
        <w:tc>
          <w:tcPr>
            <w:tcW w:w="8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1,144,271</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1,334,581</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2,618,671</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2,922,141</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280" w:hanging="652"/>
        <w:spacing w:after="0" w:line="26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investments in funds of $187.4 million and $194.5 million and carried interest allocations of $956.9 million and $1,140.1 million as of June 30, 2022 and March 31, 2022,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equity method income (loss)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0"/>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Carried interest allocations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226,362</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Investment income (loss)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6,424</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Greenspring carried interest allocations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Legacy Greenspring investment loss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equity method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(203,655)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40" w:firstLine="648"/>
        <w:spacing w:after="0" w:line="291" w:lineRule="auto"/>
        <w:rPr>
          <w:sz w:val="20"/>
          <w:szCs w:val="20"/>
          <w:color w:val="auto"/>
        </w:rPr>
      </w:pPr>
      <w:r>
        <w:rPr>
          <w:rFonts w:ascii="Arial" w:cs="Arial" w:eastAsia="Arial" w:hAnsi="Arial"/>
          <w:sz w:val="18"/>
          <w:szCs w:val="18"/>
          <w:color w:val="auto"/>
        </w:rPr>
        <w:t>The decrease in carried interest allocations for the three months ended June 30, 2022 as compared to the three months ended June 30, 2021 was primarily attributable to unrealized depreciation in the fair value of the underlying investments in the Company’s private equity funds. See note 2 for a discussion of the Company’s accounting policy for investments on a three-month lag.</w:t>
      </w:r>
    </w:p>
    <w:p>
      <w:pPr>
        <w:spacing w:after="0" w:line="152"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As of June 30, 2022 and March 31, 2022, the Company’s investments in two SMAs each individually represented 10% or more of the total accrued carried interest allocations balance, and in the aggregate represented approximately 25% of the total accrued carried interest allocations balance as of those dates. As of June 30, 2022 and March 31, 2022, the Company’s investments in three commingled funds each individually represented 10% or more of the total legacy Greenspring accrued carried interest allocations balance, and in the aggregate represented approximately 38% and 39%, respectively, of the total legacy Greenspring accrued carried interest allocations balances as of those dates.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total accrued carried interest allocations balance as of June 30, 2022 and March 31, 2022, $728.9 million and $770.0 million,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respectively, were payable to affiliates and is included in accrued carried interest-related compensation in the condensed consolidated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sheets. Of the total legacy Greenspring investments in funds and accrued carried interest allocations balance as of June 30, 2022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 $956.9 million and $1,140.1 million, respectively, were payable to employees who are considered affiliates of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is included in legacy Greenspring accrued carried interest-related compensation in the condensed consolidated balance sheets and $187.4</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million and $194.5 million, respectively, are reflected as non-controlling interests in legacy Greenspring entities in the condensed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consolidated balance sheets.</w:t>
      </w:r>
    </w:p>
    <w:p>
      <w:pPr>
        <w:spacing w:after="0" w:line="200"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June 30, 2022 and March 31, 2022 and for the three months ended June 30, 2022 and 2021,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As of June 30, 2022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31,121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31,121</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March 31, 2022</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28,025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28,025</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three months ended June 30, 2022 and 2021.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0"/>
        </w:trPr>
        <w:tc>
          <w:tcPr>
            <w:tcW w:w="8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28,025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tcPr>
          <w:p>
            <w:pPr>
              <w:ind w:left="40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w w:val="98"/>
              </w:rPr>
              <w:t>Changes in unrealized losses included in earnings related to financial liabilities still held at the reporting date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fair value of the contingent consideration liabilities are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liabilities primarily relate to the future expected revenues and the discount rates applied to the expected future revenues and payments of obligations, which ranged from 7% to 10% as of June 30, 2022. The contingent consideration liabilities are included in accounts payable, accrued expenses and other liabilities in the condensed consolidated balance sheets. Changes in the fair value of the liabilities are included in general, administrative and other expenses in the condensed consolidated statements of income. In February 2022, the Company amended the contingent consideration arrangement in respect of the Greenspring acquisition whereby a portion of the contingent consideration liability otherwise payable to the sellers will be used to fund compensation arrangements with certain employees of the Company, which will be payable following the end of the earn-out period. As a result, the contingent consideration liability is recorded net of the fair value of amounts payable to certain employees.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980" w:firstLine="648"/>
        <w:spacing w:after="0" w:line="287" w:lineRule="auto"/>
        <w:rPr>
          <w:sz w:val="20"/>
          <w:szCs w:val="20"/>
          <w:color w:val="auto"/>
        </w:rPr>
      </w:pPr>
      <w:r>
        <w:rPr>
          <w:rFonts w:ascii="Arial" w:cs="Arial" w:eastAsia="Arial" w:hAnsi="Arial"/>
          <w:sz w:val="19"/>
          <w:szCs w:val="19"/>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June 30,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96,650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agreements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(70,934)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(60,063)</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387,255</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398,126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Amortization expense related to intangible assets was $10.9 million and $0.6 million for the three months ended June 30, 2022 and 2021, respectively. These amounts are included in general, administrative and other expenses in the condensed consolidated statements of income.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June 30, 2022, the expected future amortization of finite-lived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FY2023</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32,611</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FY2024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42,645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FY2026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41,764</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41,730</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186,550</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387,255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carrying value of goodwill was $580.5 million as of June 30, 2022 and $580.5 million as of March 31, 2022. The Company determined there was no indication of goodwill impairment as of June 30, 2022 and March 31,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 Obligations</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In September 2021, the Company entered into a credit agreement with various lenders (the “Credit Agreement”) in connection with the Greenspring acquisition. The Credit Agreement was arranged by JPMorgan Chase Bank, N.A., as the administrative agent, and provides for a $225.0 million multicurrency revolving credit facility (the “Revolver”) with a five-year maturity. As of June 30, 2022, the Company had $63.0 million outstanding on the Revolver, net of debt issuance costs.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debt obligations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March 31, 2022</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8"/>
              </w:rPr>
              <w:t>65,000</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(2,003)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94"/>
              </w:rPr>
              <w:t>(2,121)</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obligations</w:t>
            </w:r>
          </w:p>
        </w:tc>
        <w:tc>
          <w:tcPr>
            <w:tcW w:w="1660" w:type="dxa"/>
            <w:vAlign w:val="bottom"/>
            <w:tcBorders>
              <w:bottom w:val="single" w:sz="8" w:color="auto"/>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62,997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98"/>
              </w:rPr>
              <w:t>62,879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Borrowings under the Revolver bear interest at a variable rate per annum. The Company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June 30, 2022 was 3.69%.</w:t>
      </w:r>
    </w:p>
    <w:p>
      <w:pPr>
        <w:spacing w:after="0" w:line="184"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5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86"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June 30, 2022, the Company was in compliance with the total net leverage ratio and minimum fee-earning assets under management covenants.</w:t>
      </w:r>
    </w:p>
    <w:p>
      <w:pPr>
        <w:spacing w:after="0" w:line="165" w:lineRule="exact"/>
        <w:rPr>
          <w:sz w:val="20"/>
          <w:szCs w:val="20"/>
          <w:color w:val="auto"/>
        </w:rPr>
      </w:pPr>
    </w:p>
    <w:p>
      <w:pPr>
        <w:ind w:right="560" w:firstLine="648"/>
        <w:spacing w:after="0" w:line="250" w:lineRule="auto"/>
        <w:rPr>
          <w:sz w:val="20"/>
          <w:szCs w:val="20"/>
          <w:color w:val="auto"/>
        </w:rPr>
      </w:pPr>
      <w:r>
        <w:rPr>
          <w:rFonts w:ascii="Arial" w:cs="Arial" w:eastAsia="Arial" w:hAnsi="Arial"/>
          <w:sz w:val="20"/>
          <w:szCs w:val="20"/>
          <w:color w:val="auto"/>
        </w:rPr>
        <w:t>The Company can use available funding capacity under the Revolver to satisfy letters of credit in amounts up to $10.0 million. Amounts used to satisfy the letters of credit reduce the available capacity under the Revolver. As of June 30, 2022, the Company had outstanding letters of credit totaling $2.6 million.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Equity-Based Compensation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Arial" w:cs="Arial" w:eastAsia="Arial" w:hAnsi="Arial"/>
                <w:sz w:val="16"/>
                <w:szCs w:val="16"/>
                <w:b w:val="1"/>
                <w:bCs w:val="1"/>
                <w:color w:val="auto"/>
                <w:w w:val="95"/>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22" w:lineRule="exact"/>
        <w:rPr>
          <w:sz w:val="20"/>
          <w:szCs w:val="20"/>
          <w:color w:val="auto"/>
        </w:rPr>
      </w:pPr>
    </w:p>
    <w:p>
      <w:pPr>
        <w:ind w:right="200" w:firstLine="648"/>
        <w:spacing w:after="0" w:line="269" w:lineRule="auto"/>
        <w:rPr>
          <w:sz w:val="20"/>
          <w:szCs w:val="20"/>
          <w:color w:val="auto"/>
        </w:rPr>
      </w:pPr>
      <w:r>
        <w:rPr>
          <w:rFonts w:ascii="Arial" w:cs="Arial" w:eastAsia="Arial" w:hAnsi="Arial"/>
          <w:sz w:val="19"/>
          <w:szCs w:val="19"/>
          <w:color w:val="auto"/>
        </w:rPr>
        <w:t>All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70"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As of June 30, 2022, there were 2,566,566 Class B2 units outstanding. During the three months ended June 30, 2022, none of the outstanding Class B2 units were forfeited. As of June 30, 2022, 1,197,730 Class B2 units were unvested and 1,368,836 Class B2 units were vested.</w:t>
      </w:r>
    </w:p>
    <w:p>
      <w:pPr>
        <w:spacing w:after="0" w:line="18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As of June 30, 2022, $36.6 million of unrecognized non-cash compensation expense in respect of RSUs and Class B2 units remained to be recognized over a weighted-average period of approximately 3.3 years.</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In connection with the exchanges of Class B units of the Partnership for Class A common stock by certain limited partners of the Partnership in June 2022, the Company recorded an increase to deferred tax assets of $0.7 million, and a net decrease in the valuation allowance of $0.6 million. Additionally, in connection with the exchange transactions, the Company recorded a corresponding Tax Receivable Agreements liability of $1.5 million, representing 85% of the incremental net cash tax savings for the Company due to the exchanging limited partners. The Company made payments of $4.8 million and $0.6 million during the three months ended June 30, 2022 and 2021, respectively, under the Tax Receivable Agreements. As of June 30, 2022, the Company’s total Tax Receivable Agreements liability was $193.9 million. See note 13 for more information.</w:t>
      </w:r>
    </w:p>
    <w:p>
      <w:pPr>
        <w:spacing w:after="0" w:line="193" w:lineRule="exact"/>
        <w:rPr>
          <w:sz w:val="20"/>
          <w:szCs w:val="20"/>
          <w:color w:val="auto"/>
        </w:rPr>
      </w:pPr>
    </w:p>
    <w:p>
      <w:pPr>
        <w:ind w:right="120" w:firstLine="648"/>
        <w:spacing w:after="0" w:line="278" w:lineRule="auto"/>
        <w:rPr>
          <w:sz w:val="20"/>
          <w:szCs w:val="20"/>
          <w:color w:val="auto"/>
        </w:rPr>
      </w:pPr>
      <w:r>
        <w:rPr>
          <w:rFonts w:ascii="Arial" w:cs="Arial" w:eastAsia="Arial" w:hAnsi="Arial"/>
          <w:sz w:val="18"/>
          <w:szCs w:val="18"/>
          <w:color w:val="auto"/>
        </w:rPr>
        <w:t>The Company’s effective tax rate was (6.4)% and 10.2% for the three months ended June 30, 2022 and 2021, respectively. The Company’s overall effective tax rate in each of the periods described above is less than the statutory rate. The primary rate difference for the three months ended June 30, 2022 relates to certain tax expense adjustments that were recorded to the Company’s outside basis difference in the Partnership. The primary rate difference for the three months ended June 30, 2021 relates to a portion of income that was allocated to non-controlling interests, as the tax liability on such income is borne by the holders of such non-controlling interests.</w:t>
      </w:r>
    </w:p>
    <w:p>
      <w:pPr>
        <w:spacing w:after="0" w:line="165"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77"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As of June 30, 2022,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Earnings Per Share</w:t>
      </w:r>
    </w:p>
    <w:p>
      <w:pPr>
        <w:spacing w:after="0" w:line="2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Basic and diluted earnings per share of Class A common stock are presented for the three months ended June 30, 2022 and 2021. The following table sets forth reconciliations of the numerators and denominators used to compute basic and diluted earnings per share of Class A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June 30,</w:t>
            </w:r>
          </w:p>
        </w:tc>
      </w:tr>
      <w:tr>
        <w:trPr>
          <w:trHeight w:val="223"/>
        </w:trPr>
        <w:tc>
          <w:tcPr>
            <w:tcW w:w="7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7"/>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StepStone Group Inc. – 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Incremental income from assumed vesting of RSUs</w:t>
            </w:r>
          </w:p>
        </w:tc>
        <w:tc>
          <w:tcPr>
            <w:tcW w:w="3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Incremental income from assumed vesting and exchange of Class B2 units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Net income (loss) attributable to StepStone Group Inc. – Diluted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6"/>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shares of Class A common stock outstanding – Basic</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61,144,139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39,042,497</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Assumed vesting of RSUs</w:t>
            </w:r>
          </w:p>
        </w:tc>
        <w:tc>
          <w:tcPr>
            <w:tcW w:w="3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1,353,755</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and exchange of Class B2 units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2,488,979</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Weighted-average shares of Class A common stock outstanding – Diluted</w:t>
            </w: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61,144,139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42,885,231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 per share of Class A common stock:</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293"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52"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6" w:lineRule="exact"/>
        <w:rPr>
          <w:sz w:val="20"/>
          <w:szCs w:val="20"/>
          <w:color w:val="auto"/>
        </w:rPr>
      </w:pPr>
    </w:p>
    <w:p>
      <w:pPr>
        <w:ind w:right="300" w:firstLine="648"/>
        <w:spacing w:after="0" w:line="291" w:lineRule="auto"/>
        <w:rPr>
          <w:sz w:val="20"/>
          <w:szCs w:val="20"/>
          <w:color w:val="auto"/>
        </w:rPr>
      </w:pPr>
      <w:r>
        <w:rPr>
          <w:rFonts w:ascii="Arial" w:cs="Arial" w:eastAsia="Arial" w:hAnsi="Arial"/>
          <w:sz w:val="18"/>
          <w:szCs w:val="18"/>
          <w:color w:val="auto"/>
        </w:rPr>
        <w:t>The calculation of diluted earnings per share excludes 46,891,897 Class B units and 2,928,824 Class C units of the Partnership outstanding as of June 30, 2022, and 54,480,393 Class B units of the Partnership outstanding as of June 30, 2021, which are exchangeable into Class A common stock under the if-converted method, as the inclusion of such shares would be anti-dilutive.</w:t>
      </w:r>
    </w:p>
    <w:p>
      <w:pPr>
        <w:spacing w:after="0" w:line="152"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The calculation of diluted earnings per share for the three months ended June 30, 2022 excludes 2,060,605 shares of Class A common stock, 2,566,566 Class B2 units and 23,418 Class B units issuable pursuant to anti-dilution rights in connection with the vesting of Class B2 units that are convertible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$79.4 million and $45.9 million for the three months ended June 30, 2022 and 2021, respectively. Carried interest allocation revenues earned from the StepStone Funds totaled $(40.3) million and $226.4 million for the three months ended June 30, 2022 and 2021, respectively. Legacy Greenspring carried interest allocation revenues earned from certain legacy Greenspring funds for which the Company has no direct economic interests totaled $(153.6) million for the three months ended June 30, 2022.</w:t>
      </w:r>
    </w:p>
    <w:p>
      <w:pPr>
        <w:spacing w:after="0" w:line="18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June 30,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receivable from StepStone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19,027</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receivable from employees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due from affiliates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38,456</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380" w:firstLine="648"/>
        <w:spacing w:after="0" w:line="250" w:lineRule="auto"/>
        <w:rPr>
          <w:sz w:val="20"/>
          <w:szCs w:val="20"/>
          <w:color w:val="auto"/>
        </w:rPr>
      </w:pPr>
      <w:r>
        <w:rPr>
          <w:rFonts w:ascii="Arial" w:cs="Arial" w:eastAsia="Arial" w:hAnsi="Arial"/>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June 30,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195,743</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199,355</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The Company made payments of $4.8 million and $0.6 million during the three months ended June 30, 2022 and 2021, respectively,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Stockholders’ Equity</w:t>
      </w:r>
    </w:p>
    <w:p>
      <w:pPr>
        <w:spacing w:after="0" w:line="22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61"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In connection with the Greenspring acquisition, the limited partnership agreement of the Partnership was amended to create new Class C limited partnership interests and to admit the new limited partners that received Class C units as consideration for the Greenspring acquisition. 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has also entered into an agreement with the Class C limited partners of the Partnership to allow for the exchange of Class C units to shares of Class A common stock of the Company on a one-for-one basis, subject to certain restrictions.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March 31, 2022: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61,141,306</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47,149,673</w:t>
            </w:r>
          </w:p>
        </w:tc>
      </w:tr>
      <w:tr>
        <w:trPr>
          <w:trHeight w:val="229"/>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Class A common stock issued in exchange for Class B partnership units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257,776</w:t>
            </w:r>
          </w:p>
        </w:tc>
        <w:tc>
          <w:tcPr>
            <w:tcW w:w="14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(257,776)</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61,399,082</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46,891,897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The Company has 25,000,000 authorized shares of preferred stock, par value of $0.001 per share, and as of June 30, 2022, no shares of preferred stock were issued or outstanding.</w:t>
      </w:r>
    </w:p>
    <w:p>
      <w:pPr>
        <w:spacing w:after="0" w:line="177"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In June 2022, the Company issued 257,776 shares of Class A common stock to certain limited partners of the Partnership in exchange for 257,776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w:t>
      </w:r>
    </w:p>
    <w:p>
      <w:pPr>
        <w:spacing w:after="0" w:line="196" w:lineRule="exact"/>
        <w:rPr>
          <w:sz w:val="20"/>
          <w:szCs w:val="20"/>
          <w:color w:val="auto"/>
        </w:rPr>
      </w:pPr>
    </w:p>
    <w:p>
      <w:pPr>
        <w:jc w:val="both"/>
        <w:ind w:right="500" w:firstLine="648"/>
        <w:spacing w:after="0" w:line="269"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0"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On May 26, 2022, the Company announced a quarterly cash dividend of $0.20 per share of Class A common stock, which was paid on June 30, 2022 to holders of record at the close of business on June 15,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7980" w:hanging="652"/>
        <w:spacing w:after="0" w:line="468" w:lineRule="auto"/>
        <w:tabs>
          <w:tab w:leader="none" w:pos="457"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Litigation</w:t>
      </w:r>
    </w:p>
    <w:p>
      <w:pPr>
        <w:ind w:right="20" w:firstLine="648"/>
        <w:spacing w:after="0" w:line="243" w:lineRule="auto"/>
        <w:rPr>
          <w:sz w:val="20"/>
          <w:szCs w:val="20"/>
          <w:color w:val="auto"/>
        </w:rPr>
      </w:pPr>
      <w:r>
        <w:rPr>
          <w:rFonts w:ascii="Arial" w:cs="Arial" w:eastAsia="Arial" w:hAnsi="Arial"/>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June 30, 2022.</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22"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The Company leases offices in 23 cities in the United States, Canada, South America, Europe, Asia and Australia, and certain equipment subject to operating lease agreements expiring through 2032, some of which may include options to extend or terminate the lease. As of June 30, 2022, there were no finance leases outstanding.</w:t>
      </w:r>
    </w:p>
    <w:p>
      <w:pPr>
        <w:spacing w:after="0" w:line="18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components of lease expense included in general, administrative and other expenses in the condensed consolidated statements of income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220" w:type="dxa"/>
            <w:vAlign w:val="bottom"/>
            <w:tcBorders>
              <w:bottom w:val="single" w:sz="8" w:color="CCEEFF"/>
            </w:tcBorders>
          </w:tcPr>
          <w:p>
            <w:pPr>
              <w:spacing w:after="0"/>
              <w:rPr>
                <w:sz w:val="19"/>
                <w:szCs w:val="19"/>
                <w:color w:val="auto"/>
              </w:rPr>
            </w:pPr>
          </w:p>
        </w:tc>
        <w:tc>
          <w:tcPr>
            <w:tcW w:w="74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30"/>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7480" w:type="dxa"/>
            <w:vAlign w:val="bottom"/>
          </w:tcPr>
          <w:p>
            <w:pPr>
              <w:ind w:left="420"/>
              <w:spacing w:after="0"/>
              <w:rPr>
                <w:sz w:val="20"/>
                <w:szCs w:val="20"/>
                <w:color w:val="auto"/>
              </w:rPr>
            </w:pPr>
            <w:r>
              <w:rPr>
                <w:rFonts w:ascii="Arial" w:cs="Arial" w:eastAsia="Arial" w:hAnsi="Arial"/>
                <w:sz w:val="18"/>
                <w:szCs w:val="18"/>
                <w:color w:val="auto"/>
              </w:rPr>
              <w:t>Operating lease cost includes an immaterial amount of short-term leases.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20" w:type="dxa"/>
            <w:vAlign w:val="bottom"/>
          </w:tcPr>
          <w:p>
            <w:pPr>
              <w:spacing w:after="0"/>
              <w:rPr>
                <w:sz w:val="24"/>
                <w:szCs w:val="24"/>
                <w:color w:val="auto"/>
              </w:rPr>
            </w:pPr>
          </w:p>
        </w:tc>
        <w:tc>
          <w:tcPr>
            <w:tcW w:w="7480" w:type="dxa"/>
            <w:vAlign w:val="bottom"/>
          </w:tcPr>
          <w:p>
            <w:pPr>
              <w:ind w:left="440"/>
              <w:spacing w:after="0"/>
              <w:rPr>
                <w:sz w:val="20"/>
                <w:szCs w:val="20"/>
                <w:color w:val="auto"/>
              </w:rPr>
            </w:pPr>
            <w:r>
              <w:rPr>
                <w:rFonts w:ascii="Arial" w:cs="Arial" w:eastAsia="Arial" w:hAnsi="Arial"/>
                <w:sz w:val="20"/>
                <w:szCs w:val="20"/>
                <w:color w:val="auto"/>
              </w:rPr>
              <w:t>Supplemental cash flow information related to leases was as follows: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w w:val="95"/>
              </w:rPr>
              <w:t>Three Months Ended June 30,</w:t>
            </w:r>
          </w:p>
        </w:tc>
        <w:tc>
          <w:tcPr>
            <w:tcW w:w="0" w:type="dxa"/>
            <w:vAlign w:val="bottom"/>
          </w:tcPr>
          <w:p>
            <w:pPr>
              <w:spacing w:after="0"/>
              <w:rPr>
                <w:sz w:val="1"/>
                <w:szCs w:val="1"/>
                <w:color w:val="auto"/>
              </w:rPr>
            </w:pPr>
          </w:p>
        </w:tc>
      </w:tr>
      <w:tr>
        <w:trPr>
          <w:trHeight w:val="223"/>
        </w:trPr>
        <w:tc>
          <w:tcPr>
            <w:tcW w:w="220" w:type="dxa"/>
            <w:vAlign w:val="bottom"/>
            <w:tcBorders>
              <w:bottom w:val="single" w:sz="8" w:color="CCEEFF"/>
            </w:tcBorders>
          </w:tcPr>
          <w:p>
            <w:pPr>
              <w:spacing w:after="0"/>
              <w:rPr>
                <w:sz w:val="19"/>
                <w:szCs w:val="19"/>
                <w:color w:val="auto"/>
              </w:rPr>
            </w:pPr>
          </w:p>
        </w:tc>
        <w:tc>
          <w:tcPr>
            <w:tcW w:w="7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2,208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 (in years)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for operating leases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3.1 %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9840" w:type="dxa"/>
            <w:vAlign w:val="bottom"/>
          </w:tcPr>
          <w:p>
            <w:pPr>
              <w:jc w:val="center"/>
              <w:ind w:left="1329"/>
              <w:spacing w:after="0"/>
              <w:rPr>
                <w:sz w:val="20"/>
                <w:szCs w:val="20"/>
                <w:color w:val="auto"/>
              </w:rPr>
            </w:pPr>
            <w:r>
              <w:rPr>
                <w:rFonts w:ascii="Arial" w:cs="Arial" w:eastAsia="Arial" w:hAnsi="Arial"/>
                <w:sz w:val="20"/>
                <w:szCs w:val="20"/>
                <w:b w:val="1"/>
                <w:bCs w:val="1"/>
                <w:color w:val="auto"/>
                <w:w w:val="88"/>
              </w:rPr>
              <w:t>StepStone Group Inc.</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6"/>
        </w:trPr>
        <w:tc>
          <w:tcPr>
            <w:tcW w:w="9840" w:type="dxa"/>
            <w:vAlign w:val="bottom"/>
          </w:tcPr>
          <w:p>
            <w:pPr>
              <w:jc w:val="center"/>
              <w:ind w:left="1309"/>
              <w:spacing w:after="0"/>
              <w:rPr>
                <w:sz w:val="20"/>
                <w:szCs w:val="20"/>
                <w:color w:val="auto"/>
              </w:rPr>
            </w:pPr>
            <w:r>
              <w:rPr>
                <w:rFonts w:ascii="Arial" w:cs="Arial" w:eastAsia="Arial" w:hAnsi="Arial"/>
                <w:sz w:val="20"/>
                <w:szCs w:val="20"/>
                <w:b w:val="1"/>
                <w:bCs w:val="1"/>
                <w:color w:val="auto"/>
                <w:w w:val="88"/>
              </w:rPr>
              <w:t>Notes to Condensed Consolidated Financial Statements (Unaudited)</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6"/>
        </w:trPr>
        <w:tc>
          <w:tcPr>
            <w:tcW w:w="9840" w:type="dxa"/>
            <w:vAlign w:val="bottom"/>
          </w:tcPr>
          <w:p>
            <w:pPr>
              <w:jc w:val="center"/>
              <w:ind w:left="1329"/>
              <w:spacing w:after="0"/>
              <w:rPr>
                <w:sz w:val="20"/>
                <w:szCs w:val="20"/>
                <w:color w:val="auto"/>
              </w:rPr>
            </w:pPr>
            <w:r>
              <w:rPr>
                <w:rFonts w:ascii="Arial" w:cs="Arial" w:eastAsia="Arial" w:hAnsi="Arial"/>
                <w:sz w:val="16"/>
                <w:szCs w:val="16"/>
                <w:i w:val="1"/>
                <w:iCs w:val="1"/>
                <w:color w:val="auto"/>
                <w:w w:val="90"/>
              </w:rPr>
              <w:t>(in thousands, except share and per share amounts and where noted)</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85"/>
        </w:trPr>
        <w:tc>
          <w:tcPr>
            <w:tcW w:w="9840" w:type="dxa"/>
            <w:vAlign w:val="bottom"/>
          </w:tcPr>
          <w:p>
            <w:pPr>
              <w:ind w:left="660"/>
              <w:spacing w:after="0"/>
              <w:rPr>
                <w:sz w:val="20"/>
                <w:szCs w:val="20"/>
                <w:color w:val="auto"/>
              </w:rPr>
            </w:pPr>
            <w:r>
              <w:rPr>
                <w:rFonts w:ascii="Arial" w:cs="Arial" w:eastAsia="Arial" w:hAnsi="Arial"/>
                <w:sz w:val="20"/>
                <w:szCs w:val="20"/>
                <w:color w:val="auto"/>
              </w:rPr>
              <w:t>As of June 30, 2022, maturities of operating lease liabilities were as follows: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5"/>
        </w:trPr>
        <w:tc>
          <w:tcPr>
            <w:tcW w:w="9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FY2024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12,971</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11,727</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FY2026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11,353</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FY2027</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38,984</w:t>
            </w:r>
          </w:p>
        </w:tc>
      </w:tr>
      <w:tr>
        <w:trPr>
          <w:trHeight w:val="223"/>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94,095</w:t>
            </w:r>
          </w:p>
        </w:tc>
      </w:tr>
      <w:tr>
        <w:trPr>
          <w:trHeight w:val="230"/>
        </w:trPr>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83,271</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As of June 30, 2022 and March 31, 2022, the Company, generally in its capacity as general partner or managing member of the StepStone Funds, had unfunded commitments totaling $82.5 million and $68.2 million, respectively. The $82.5 million and $68.2 million of unfunded commitments as of June 30, 2022 and March 31, 2022, respectively, exclude $39.0 million and $40.5 million, respectively, related to commitments held by the legacy Greenspring general partner entities in legacy Greenspring funds for which the Company does not hold any direct economic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2022 and March 31, 2022, no material amounts for potential clawback obligations had been accrued. This contingent obligation is normally reduced by income taxes that the Company has paid related to the carried interest allocations. As of</w:t>
      </w:r>
    </w:p>
    <w:p>
      <w:pPr>
        <w:spacing w:after="0" w:line="6"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June 30, 2022, the maximum amount of carried interest allocations (excluding legacy Greenspring carried interest allocations) attributable to the Company subject to contingent repayment was an estimated $241.4 million, net of tax, assuming the fair value of all investments was zero, a possibility that the Company views as remote.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2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June 30, 2022 and March 31, 2022. Based on past experience, management believes that the risk of loss related to these indemnities is remote.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8" w:name="page39"/>
    <w:bookmarkEnd w:id="38"/>
    <w:p>
      <w:pPr>
        <w:jc w:val="center"/>
        <w:ind w:right="-4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ind w:left="3400"/>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Subsequent Events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On August 4, 2022, the Company announced a quarterly cash dividend of $0.20 per share of Class A common stock, payable on September 15, 2022 to holders of record as of the close of business on August 31,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454" w:right="779" w:bottom="1440" w:gutter="0" w:footer="0" w:header="0"/>
        </w:sectPr>
      </w:pPr>
    </w:p>
    <w:bookmarkStart w:id="39" w:name="page40"/>
    <w:bookmarkEnd w:id="39"/>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ind w:right="20" w:firstLine="648"/>
        <w:spacing w:after="0" w:line="246" w:lineRule="auto"/>
        <w:rPr>
          <w:sz w:val="20"/>
          <w:szCs w:val="20"/>
          <w:color w:val="auto"/>
        </w:rPr>
      </w:pPr>
      <w:r>
        <w:rPr>
          <w:rFonts w:ascii="Arial" w:cs="Arial" w:eastAsia="Arial" w:hAnsi="Arial"/>
          <w:sz w:val="19"/>
          <w:szCs w:val="19"/>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2022 filed with the SEC. In this quarterly report, references to “we,” “us,” “our,” “StepStone” and similar terms refer to SSG and its consolidated subsidiaries, including the Partnership.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color w:val="auto"/>
        </w:rPr>
        <w:t>We are a global private markets investment firm focused on providing customized investment solutions and advisory, data and administrative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2022, we oversaw approximately $588 billion of private markets allocations, including $137 billion of AUM and $452 billion of AUA.</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23 cities across 14 countries on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June 30, 2022, we had 840 total employees, including over 295 investment professionals and more than 540 employees across our operating team and implementation teams dedicated to sourcing, executing, analyzing and monitoring private markets opportunities.</w:t>
      </w:r>
    </w:p>
    <w:p>
      <w:pPr>
        <w:spacing w:after="0" w:line="168"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60" w:hanging="328"/>
        <w:spacing w:after="0" w:line="246"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00000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$80 billion of our AUM as of June 30, 2022</w:t>
      </w:r>
      <w:r>
        <w:rPr>
          <w:rFonts w:ascii="Arial" w:cs="Arial" w:eastAsia="Arial" w:hAnsi="Arial"/>
          <w:sz w:val="20"/>
          <w:szCs w:val="20"/>
          <w:color w:val="231F20"/>
        </w:rPr>
        <w:t>.</w:t>
      </w:r>
    </w:p>
    <w:p>
      <w:pPr>
        <w:spacing w:after="0" w:line="191" w:lineRule="exact"/>
        <w:rPr>
          <w:rFonts w:ascii="Arial" w:cs="Arial" w:eastAsia="Arial" w:hAnsi="Arial"/>
          <w:sz w:val="20"/>
          <w:szCs w:val="20"/>
          <w:color w:val="auto"/>
        </w:rPr>
      </w:pPr>
    </w:p>
    <w:p>
      <w:pPr>
        <w:ind w:left="660" w:right="180" w:hanging="328"/>
        <w:spacing w:after="0" w:line="316"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231F20"/>
        </w:rPr>
        <w:t xml:space="preserve">Focused commingled funds. </w:t>
      </w:r>
      <w:r>
        <w:rPr>
          <w:rFonts w:ascii="Arial" w:cs="Arial" w:eastAsia="Arial" w:hAnsi="Arial"/>
          <w:sz w:val="18"/>
          <w:szCs w:val="18"/>
          <w:color w:val="231F20"/>
        </w:rPr>
        <w:t>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defined investment strategies. Focused commingled funds comprised $45 billion of our AUM as of </w:t>
      </w:r>
      <w:r>
        <w:rPr>
          <w:rFonts w:ascii="Arial" w:cs="Arial" w:eastAsia="Arial" w:hAnsi="Arial"/>
          <w:sz w:val="18"/>
          <w:szCs w:val="18"/>
          <w:color w:val="000000"/>
        </w:rPr>
        <w:t>June 30, 2022</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41" w:lineRule="exact"/>
        <w:rPr>
          <w:sz w:val="20"/>
          <w:szCs w:val="20"/>
          <w:color w:val="auto"/>
        </w:rPr>
      </w:pPr>
    </w:p>
    <w:p>
      <w:pPr>
        <w:ind w:left="660" w:right="40" w:hanging="328"/>
        <w:spacing w:after="0" w:line="274"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231F20"/>
        </w:rPr>
        <w:t xml:space="preserve">Advisory, data and administrative services. </w:t>
      </w:r>
      <w:r>
        <w:rPr>
          <w:rFonts w:ascii="Arial" w:cs="Arial" w:eastAsia="Arial" w:hAnsi="Arial"/>
          <w:sz w:val="18"/>
          <w:szCs w:val="18"/>
          <w:color w:val="231F20"/>
        </w:rPr>
        <w:t>These services include one or more of the following for our clients: (i) recurring support</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StepStone Private Markets Intelligence (“SPI”) and our other proprietary tools, and (vi) administrative services to unaffiliated investment advisors. Advisory relationships comprised </w:t>
      </w:r>
      <w:r>
        <w:rPr>
          <w:rFonts w:ascii="Arial" w:cs="Arial" w:eastAsia="Arial" w:hAnsi="Arial"/>
          <w:sz w:val="18"/>
          <w:szCs w:val="18"/>
          <w:color w:val="000000"/>
        </w:rPr>
        <w:t>$452 billion</w:t>
      </w:r>
      <w:r>
        <w:rPr>
          <w:rFonts w:ascii="Arial" w:cs="Arial" w:eastAsia="Arial" w:hAnsi="Arial"/>
          <w:sz w:val="18"/>
          <w:szCs w:val="18"/>
          <w:color w:val="231F20"/>
        </w:rPr>
        <w:t xml:space="preserve"> of our AUA and $12 billion of our AUM as of </w:t>
      </w:r>
      <w:r>
        <w:rPr>
          <w:rFonts w:ascii="Arial" w:cs="Arial" w:eastAsia="Arial" w:hAnsi="Arial"/>
          <w:sz w:val="18"/>
          <w:szCs w:val="18"/>
          <w:color w:val="000000"/>
        </w:rPr>
        <w:t>June 30, 2022</w:t>
      </w:r>
      <w:r>
        <w:rPr>
          <w:rFonts w:ascii="Arial" w:cs="Arial" w:eastAsia="Arial" w:hAnsi="Arial"/>
          <w:sz w:val="18"/>
          <w:szCs w:val="18"/>
          <w:color w:val="231F20"/>
        </w:rPr>
        <w:t>.</w:t>
      </w:r>
    </w:p>
    <w:p>
      <w:pPr>
        <w:spacing w:after="0" w:line="168" w:lineRule="exact"/>
        <w:rPr>
          <w:rFonts w:ascii="Arial" w:cs="Arial" w:eastAsia="Arial" w:hAnsi="Arial"/>
          <w:sz w:val="18"/>
          <w:szCs w:val="18"/>
          <w:color w:val="auto"/>
        </w:rPr>
      </w:pPr>
    </w:p>
    <w:p>
      <w:pPr>
        <w:ind w:left="660" w:right="400" w:hanging="328"/>
        <w:spacing w:after="0" w:line="260" w:lineRule="auto"/>
        <w:tabs>
          <w:tab w:leader="none" w:pos="648"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231F20"/>
        </w:rPr>
        <w:t xml:space="preserve">Portfolio analytics and reporting. </w:t>
      </w:r>
      <w:r>
        <w:rPr>
          <w:rFonts w:ascii="Arial" w:cs="Arial" w:eastAsia="Arial" w:hAnsi="Arial"/>
          <w:sz w:val="19"/>
          <w:szCs w:val="19"/>
          <w:color w:val="231F20"/>
        </w:rPr>
        <w:t>We provide clients with tailored reporting packages, including customized performance</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benchmarks as well as associated compliance, administrative and tax capabilities. Mandates for portfolio analytics and reporting services typically include licensed access to our proprietary performance monitoring software, Omni. Omni tracked detailed information on over $835 billion of client commitments as of </w:t>
      </w:r>
      <w:r>
        <w:rPr>
          <w:rFonts w:ascii="Arial" w:cs="Arial" w:eastAsia="Arial" w:hAnsi="Arial"/>
          <w:sz w:val="19"/>
          <w:szCs w:val="19"/>
          <w:color w:val="000000"/>
        </w:rPr>
        <w:t>June 30, 2022</w:t>
      </w:r>
      <w:r>
        <w:rPr>
          <w:rFonts w:ascii="Arial" w:cs="Arial" w:eastAsia="Arial" w:hAnsi="Arial"/>
          <w:sz w:val="19"/>
          <w:szCs w:val="19"/>
          <w:color w:val="231F20"/>
        </w:rPr>
        <w:t>, inclusive of our combined AUM/AUA, previously exited investments and investments of former clients.</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316" w:lineRule="auto"/>
        <w:rPr>
          <w:sz w:val="20"/>
          <w:szCs w:val="20"/>
          <w:color w:val="auto"/>
        </w:rPr>
      </w:pPr>
      <w:r>
        <w:rPr>
          <w:rFonts w:ascii="Arial" w:cs="Arial" w:eastAsia="Arial" w:hAnsi="Arial"/>
          <w:sz w:val="16"/>
          <w:szCs w:val="16"/>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factors:</w:t>
      </w:r>
    </w:p>
    <w:p>
      <w:pPr>
        <w:spacing w:after="0" w:line="200" w:lineRule="exact"/>
        <w:rPr>
          <w:sz w:val="20"/>
          <w:szCs w:val="20"/>
          <w:color w:val="auto"/>
        </w:rPr>
      </w:pPr>
    </w:p>
    <w:p>
      <w:pPr>
        <w:ind w:left="660" w:hanging="328"/>
        <w:spacing w:after="0" w:line="24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231F20"/>
        </w:rPr>
        <w:t xml:space="preserve">The extent to which clients favor private markets investments. </w:t>
      </w:r>
      <w:r>
        <w:rPr>
          <w:rFonts w:ascii="Arial" w:cs="Arial" w:eastAsia="Arial" w:hAnsi="Arial"/>
          <w:sz w:val="20"/>
          <w:szCs w:val="20"/>
          <w:color w:val="231F20"/>
        </w:rPr>
        <w:t>Our ability to attract new capital is partially dependent on clients’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95"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generate strong, stable returns. </w:t>
      </w:r>
      <w:r>
        <w:rPr>
          <w:rFonts w:ascii="Arial" w:cs="Arial" w:eastAsia="Arial" w:hAnsi="Arial"/>
          <w:sz w:val="18"/>
          <w:szCs w:val="18"/>
          <w:color w:val="231F20"/>
        </w:rPr>
        <w:t>Our ability to raise and retain capital is partially dependent on the investment returns</w:t>
      </w:r>
      <w:r>
        <w:rPr>
          <w:rFonts w:ascii="Arial" w:cs="Arial" w:eastAsia="Arial" w:hAnsi="Arial"/>
          <w:sz w:val="18"/>
          <w:szCs w:val="18"/>
          <w:i w:val="1"/>
          <w:iCs w:val="1"/>
          <w:color w:val="231F20"/>
        </w:rPr>
        <w:t xml:space="preserve"> </w:t>
      </w:r>
      <w:r>
        <w:rPr>
          <w:rFonts w:ascii="Arial" w:cs="Arial" w:eastAsia="Arial" w:hAnsi="Arial"/>
          <w:sz w:val="18"/>
          <w:szCs w:val="18"/>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1" w:lineRule="exact"/>
        <w:rPr>
          <w:sz w:val="20"/>
          <w:szCs w:val="20"/>
          <w:color w:val="auto"/>
        </w:rPr>
      </w:pPr>
    </w:p>
    <w:p>
      <w:pPr>
        <w:ind w:left="660" w:right="40" w:hanging="328"/>
        <w:spacing w:after="0" w:line="278"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maintain our data advantage relative to competitors. </w:t>
      </w:r>
      <w:r>
        <w:rPr>
          <w:rFonts w:ascii="Arial" w:cs="Arial" w:eastAsia="Arial" w:hAnsi="Arial"/>
          <w:sz w:val="18"/>
          <w:szCs w:val="18"/>
          <w:color w:val="231F20"/>
        </w:rPr>
        <w:t>Our proprietary data and technology platforms, analytical tools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64" w:lineRule="exact"/>
        <w:rPr>
          <w:rFonts w:ascii="Arial" w:cs="Arial" w:eastAsia="Arial" w:hAnsi="Arial"/>
          <w:sz w:val="18"/>
          <w:szCs w:val="18"/>
          <w:color w:val="auto"/>
        </w:rPr>
      </w:pPr>
    </w:p>
    <w:p>
      <w:pPr>
        <w:ind w:left="660" w:hanging="328"/>
        <w:spacing w:after="0" w:line="243"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231F20"/>
        </w:rPr>
        <w:t xml:space="preserve">Our ability to source investments with attractive risk-adjusted returns. </w:t>
      </w:r>
      <w:r>
        <w:rPr>
          <w:rFonts w:ascii="Arial" w:cs="Arial" w:eastAsia="Arial" w:hAnsi="Arial"/>
          <w:sz w:val="20"/>
          <w:szCs w:val="20"/>
          <w:color w:val="231F20"/>
        </w:rPr>
        <w:t>The continued growth in our revenues is dependent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92" w:lineRule="exact"/>
        <w:rPr>
          <w:rFonts w:ascii="Arial" w:cs="Arial" w:eastAsia="Arial" w:hAnsi="Arial"/>
          <w:sz w:val="20"/>
          <w:szCs w:val="20"/>
          <w:color w:val="auto"/>
        </w:rPr>
      </w:pPr>
    </w:p>
    <w:p>
      <w:pPr>
        <w:ind w:left="660" w:right="20" w:hanging="328"/>
        <w:spacing w:after="0" w:line="24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231F20"/>
        </w:rPr>
        <w:t xml:space="preserve">Increased competition and clients’ desire to work with fewer managers. </w:t>
      </w:r>
      <w:r>
        <w:rPr>
          <w:rFonts w:ascii="Arial" w:cs="Arial" w:eastAsia="Arial" w:hAnsi="Arial"/>
          <w:sz w:val="20"/>
          <w:szCs w:val="20"/>
          <w:color w:val="231F20"/>
        </w:rPr>
        <w:t>There has been an increasing desire on the part of larger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Current Events</w:t>
      </w:r>
    </w:p>
    <w:p>
      <w:pPr>
        <w:spacing w:after="0" w:line="222"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231F20"/>
        </w:rPr>
        <w:t>We are continuing to closely monitor developments related to COVID-19, inflation, rising interest rates and the Russia-Ukraine conflict, and to assess the impact on financial markets and on our business. Our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I</w:t>
      </w:r>
      <w:r>
        <w:rPr>
          <w:rFonts w:ascii="Arial" w:cs="Arial" w:eastAsia="Arial" w:hAnsi="Arial"/>
          <w:sz w:val="18"/>
          <w:szCs w:val="18"/>
          <w:color w:val="000000"/>
        </w:rPr>
        <w:t>t is currently not possible to predict the ultimate effects of these events on the financial markets, overall economy and our</w:t>
      </w:r>
      <w:r>
        <w:rPr>
          <w:rFonts w:ascii="Arial" w:cs="Arial" w:eastAsia="Arial" w:hAnsi="Arial"/>
          <w:sz w:val="18"/>
          <w:szCs w:val="18"/>
          <w:color w:val="231F20"/>
        </w:rPr>
        <w:t xml:space="preserve"> </w:t>
      </w:r>
      <w:r>
        <w:rPr>
          <w:rFonts w:ascii="Arial" w:cs="Arial" w:eastAsia="Arial" w:hAnsi="Arial"/>
          <w:sz w:val="18"/>
          <w:szCs w:val="18"/>
          <w:color w:val="000000"/>
        </w:rPr>
        <w:t>condensed consolidated financial statements. For a description on the impact of these and other factors, see “Risk Factors—Risks Related to Our Industry—Difficult or volatile market and political conditions can adversely affect our business by reducing the market value of the assets we manage or causing our SMA clients to reduce their investments in private markets” and “—The COVID-19 pandemic has severely disrupted the global financial markets and business climate and may adversely affect our business, financial condition and results of operations” included in our annual report on Form 10-K for the fiscal year ended March 31, 2022.</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Recent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Greenspring Acquisition</w:t>
      </w:r>
    </w:p>
    <w:p>
      <w:pPr>
        <w:spacing w:after="0" w:line="222"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On September 20, 2021, we completed the acquisition of 100% of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The transaction agreement also included an earn-out of up to $75 million that is payable in 2025 subject to the achievement of certain management fee revenue targets for calendar year 2024. The results of Greenspring’s operations have been included in the condensed consolidated financial statements effective September 20, 2021.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ind w:right="300" w:firstLine="648"/>
        <w:spacing w:after="0" w:line="246" w:lineRule="auto"/>
        <w:rPr>
          <w:sz w:val="20"/>
          <w:szCs w:val="20"/>
          <w:color w:val="auto"/>
        </w:rPr>
      </w:pPr>
      <w:r>
        <w:rPr>
          <w:rFonts w:ascii="Arial" w:cs="Arial" w:eastAsia="Arial" w:hAnsi="Arial"/>
          <w:sz w:val="20"/>
          <w:szCs w:val="20"/>
          <w:color w:val="auto"/>
        </w:rPr>
        <w:t>In September 2021, we entered into a credit agreement with various lenders (the “Credit Agreement”) in connection with the Greenspring acquisition. The Credit Agreement was arranged by JPMorgan Chase Bank, N.A., as administrative agent, and provides for a $225.0 million multicurrency revolving credit facility (the “Revolver”) with a five year maturity. As of June 30, 2022, there was $63.0 million outstanding on the Revolver, net of debt issuance costs.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9"/>
          <w:szCs w:val="19"/>
          <w:color w:val="auto"/>
        </w:rPr>
        <w:t>In June 2022, we issued 257,776 shares of Class A common stock to certain limited partners of the Partnership in exchange for 257,776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Organizational Structure</w:t>
      </w:r>
    </w:p>
    <w:p>
      <w:pPr>
        <w:spacing w:after="0" w:line="222"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related to the Class B units and Class C units held by partners of the Partnership in our consolidated financial statements.</w:t>
      </w:r>
    </w:p>
    <w:p>
      <w:pPr>
        <w:spacing w:after="0" w:line="194"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diagram below illustrates our organizational structure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147320</wp:posOffset>
            </wp:positionV>
            <wp:extent cx="5863590" cy="3094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359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sum to total due to rounding.</w:t>
      </w:r>
    </w:p>
    <w:p>
      <w:pPr>
        <w:spacing w:after="0" w:line="225"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partners of the Partnership other than StepStone Group Inc. are: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General Partner, which holds a 100% general partner interest and no economic interests;</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2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certain members of management and employees who own Class B2 units;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certain employee owners who own Class C units.</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40" w:hanging="652"/>
        <w:spacing w:after="0" w:line="255"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June 30, 2022 the Sunset Holders collectively maintained direct or indirect beneficial ownership of approximately 31.3% of the Class A common stock (determined assuming all outstanding Class B units have been exchanged for Class A common stock) and approximately 56.1% of the aggregate voting power of our outstanding Class A common stock and Class B common stock.</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44" w:name="page45"/>
    <w:bookmarkEnd w:id="44"/>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Key Financial Measures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231F20"/>
        </w:rPr>
        <w:t>Management and advisory fees, net, consist of fees received from managing SMAs and focused commingled funds, advisory, data and administrative services, and portfolio analytics and reporting.</w:t>
      </w:r>
    </w:p>
    <w:p>
      <w:pPr>
        <w:spacing w:after="0" w:line="177" w:lineRule="exact"/>
        <w:rPr>
          <w:sz w:val="20"/>
          <w:szCs w:val="20"/>
          <w:color w:val="auto"/>
        </w:rPr>
      </w:pPr>
    </w:p>
    <w:p>
      <w:pPr>
        <w:ind w:left="660" w:right="300" w:hanging="328"/>
        <w:spacing w:after="0" w:line="244"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231F20"/>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0.40% of average FEAUM for the twelve months ended June 30, 2021 and 2022, respectively.</w:t>
      </w:r>
    </w:p>
    <w:p>
      <w:pPr>
        <w:spacing w:after="0" w:line="194"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0.92% and 0.87% of average FEAUM for the twelve months ended June 30, 2021 and 2022, respectively, and primarily reflected the timing of new funds, and shifts in asset class mix.</w:t>
      </w:r>
    </w:p>
    <w:p>
      <w:pPr>
        <w:spacing w:after="0" w:line="195"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231F20"/>
        </w:rPr>
        <w:t>The weighted-average management fee rate across SMAs and focused commingled funds was approximately 0.52% and 0.54% of average FEAUM for the twelve months ended June 30, 2021 and 2022.</w:t>
      </w:r>
    </w:p>
    <w:p>
      <w:pPr>
        <w:spacing w:after="0" w:line="176" w:lineRule="exact"/>
        <w:rPr>
          <w:rFonts w:ascii="Arial" w:cs="Arial" w:eastAsia="Arial" w:hAnsi="Arial"/>
          <w:sz w:val="20"/>
          <w:szCs w:val="20"/>
          <w:color w:val="auto"/>
        </w:rPr>
      </w:pPr>
    </w:p>
    <w:p>
      <w:pPr>
        <w:ind w:left="660" w:right="40" w:hanging="328"/>
        <w:spacing w:after="0" w:line="278" w:lineRule="auto"/>
        <w:tabs>
          <w:tab w:leader="none" w:pos="648"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Fee revenues from advisory, StepStone Portfolio Analytics &amp; Reporting (“SPAR”), SPI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64" w:lineRule="exact"/>
        <w:rPr>
          <w:rFonts w:ascii="Arial" w:cs="Arial" w:eastAsia="Arial" w:hAnsi="Arial"/>
          <w:sz w:val="18"/>
          <w:szCs w:val="18"/>
          <w:color w:val="231F20"/>
        </w:rPr>
      </w:pPr>
    </w:p>
    <w:p>
      <w:pPr>
        <w:ind w:left="660" w:right="20" w:hanging="328"/>
        <w:spacing w:after="0" w:line="246"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right="60" w:firstLine="648"/>
        <w:spacing w:after="0" w:line="256" w:lineRule="auto"/>
        <w:rPr>
          <w:sz w:val="20"/>
          <w:szCs w:val="20"/>
          <w:color w:val="auto"/>
        </w:rPr>
      </w:pPr>
      <w:r>
        <w:rPr>
          <w:rFonts w:ascii="Arial" w:cs="Arial" w:eastAsia="Arial" w:hAnsi="Arial"/>
          <w:sz w:val="19"/>
          <w:szCs w:val="19"/>
          <w:color w:val="auto"/>
        </w:rPr>
        <w:t xml:space="preserve">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In connection with the Greenspring acquisition, we did not acquire any direct economic interests in the carried interest allocations of certain legacy Greenspring funds. As a result, carried interest allocations in respect of such legacy Greenspring funds have been reflected as </w:t>
      </w:r>
      <w:r>
        <w:rPr>
          <w:rFonts w:ascii="Arial" w:cs="Arial" w:eastAsia="Arial" w:hAnsi="Arial"/>
          <w:sz w:val="19"/>
          <w:szCs w:val="19"/>
          <w:color w:val="231F20"/>
        </w:rPr>
        <w:t>legacy Greenspring carried interest allocations in the condensed consolidated statements of income, with a</w:t>
      </w:r>
      <w:r>
        <w:rPr>
          <w:rFonts w:ascii="Arial" w:cs="Arial" w:eastAsia="Arial" w:hAnsi="Arial"/>
          <w:sz w:val="19"/>
          <w:szCs w:val="19"/>
          <w:color w:val="auto"/>
        </w:rPr>
        <w:t xml:space="preserve"> </w:t>
      </w:r>
      <w:r>
        <w:rPr>
          <w:rFonts w:ascii="Arial" w:cs="Arial" w:eastAsia="Arial" w:hAnsi="Arial"/>
          <w:sz w:val="19"/>
          <w:szCs w:val="19"/>
          <w:color w:val="231F20"/>
        </w:rPr>
        <w:t>corresponding amount reflected as legacy Greenspring performance fee-related compensation as these amounts are payable to certain employees</w:t>
      </w:r>
      <w:r>
        <w:rPr>
          <w:rFonts w:ascii="Arial" w:cs="Arial" w:eastAsia="Arial" w:hAnsi="Arial"/>
          <w:sz w:val="19"/>
          <w:szCs w:val="19"/>
          <w:color w:val="000000"/>
        </w:rPr>
        <w:t>. As of June 30, 2022, we had approximately $58 billion of performance fee-eligible capital (excluding certain legacy Greenspring</w:t>
      </w:r>
      <w:r>
        <w:rPr>
          <w:rFonts w:ascii="Arial" w:cs="Arial" w:eastAsia="Arial" w:hAnsi="Arial"/>
          <w:sz w:val="19"/>
          <w:szCs w:val="19"/>
          <w:color w:val="231F20"/>
        </w:rPr>
        <w:t xml:space="preserve"> </w:t>
      </w:r>
      <w:r>
        <w:rPr>
          <w:rFonts w:ascii="Arial" w:cs="Arial" w:eastAsia="Arial" w:hAnsi="Arial"/>
          <w:sz w:val="19"/>
          <w:szCs w:val="19"/>
          <w:color w:val="000000"/>
        </w:rPr>
        <w:t>funds) across 160 programs.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231F20"/>
        </w:rPr>
        <w:t xml:space="preserve">Incentive fees </w:t>
      </w:r>
      <w:r>
        <w:rPr>
          <w:rFonts w:ascii="Arial" w:cs="Arial" w:eastAsia="Arial" w:hAnsi="Arial"/>
          <w:sz w:val="19"/>
          <w:szCs w:val="19"/>
          <w:color w:val="231F20"/>
        </w:rPr>
        <w:t>are generally calculated as a percentage of the profits (up to 10%) earned in respect of certain accounts for which we</w:t>
      </w:r>
      <w:r>
        <w:rPr>
          <w:rFonts w:ascii="Arial" w:cs="Arial" w:eastAsia="Arial" w:hAnsi="Arial"/>
          <w:sz w:val="19"/>
          <w:szCs w:val="19"/>
          <w:i w:val="1"/>
          <w:iCs w:val="1"/>
          <w:color w:val="231F20"/>
        </w:rPr>
        <w:t xml:space="preserve"> </w:t>
      </w:r>
      <w:r>
        <w:rPr>
          <w:rFonts w:ascii="Arial" w:cs="Arial" w:eastAsia="Arial" w:hAnsi="Arial"/>
          <w:sz w:val="19"/>
          <w:szCs w:val="19"/>
          <w:color w:val="231F20"/>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93"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231F20"/>
        </w:rPr>
        <w:t xml:space="preserve">Carried interest allocations </w:t>
      </w:r>
      <w:r>
        <w:rPr>
          <w:rFonts w:ascii="Arial" w:cs="Arial" w:eastAsia="Arial" w:hAnsi="Arial"/>
          <w:sz w:val="20"/>
          <w:szCs w:val="20"/>
          <w:color w:val="231F20"/>
        </w:rPr>
        <w:t>include the allocation of performance-based fees to us from limited partners in the StepStone Funds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231F20"/>
        </w:rPr>
        <w:t>Revenue from Contracts</w:t>
      </w:r>
      <w:r>
        <w:rPr>
          <w:rFonts w:ascii="Arial" w:cs="Arial" w:eastAsia="Arial" w:hAnsi="Arial"/>
          <w:sz w:val="20"/>
          <w:szCs w:val="20"/>
          <w:color w:val="231F20"/>
        </w:rPr>
        <w:t xml:space="preserve"> </w:t>
      </w:r>
      <w:r>
        <w:rPr>
          <w:rFonts w:ascii="Arial" w:cs="Arial" w:eastAsia="Arial" w:hAnsi="Arial"/>
          <w:sz w:val="20"/>
          <w:szCs w:val="20"/>
          <w:i w:val="1"/>
          <w:iCs w:val="1"/>
          <w:color w:val="231F20"/>
        </w:rPr>
        <w:t>with Customers</w:t>
      </w:r>
      <w:r>
        <w:rPr>
          <w:rFonts w:ascii="Arial" w:cs="Arial" w:eastAsia="Arial" w:hAnsi="Arial"/>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include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investments and carried interest allocations under the equity method of accounting. We do not have any direct economic interests in the legacy Greenspring general partner entities and thus are not entitled to any carried interest allocation from certain legacy Greenspring funds. All of the carried interest allocations in respect of such legacy Greenspring funds are payable to employees who are considered affiliates of the Company and are therefore reflected as legacy Greenspring performance fee-related compensation in the condensed consolidated statements of income. Accordingly, legacy Greenspring carried interest allocations are not deemed to be within the scope of ASC 606.</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June 30, 2022 and March 31, 2022, no material amounts for potential clawback obligations had been accrued.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18"/>
          <w:szCs w:val="18"/>
          <w:color w:val="231F20"/>
        </w:rPr>
        <w:t>Approximately 50% of carried interest allocation revenue is awarded to employees as part</w:t>
      </w:r>
      <w:r>
        <w:rPr>
          <w:rFonts w:ascii="Arial" w:cs="Arial" w:eastAsia="Arial" w:hAnsi="Arial"/>
          <w:sz w:val="18"/>
          <w:szCs w:val="18"/>
          <w:color w:val="auto"/>
        </w:rPr>
        <w:t xml:space="preserve"> </w:t>
      </w:r>
      <w:r>
        <w:rPr>
          <w:rFonts w:ascii="Arial" w:cs="Arial" w:eastAsia="Arial" w:hAnsi="Arial"/>
          <w:sz w:val="18"/>
          <w:szCs w:val="18"/>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i w:val="1"/>
          <w:iCs w:val="1"/>
          <w:color w:val="auto"/>
        </w:rPr>
        <w:t xml:space="preserve">Legacy Greenspring performance fee-related compensation </w:t>
      </w:r>
      <w:r>
        <w:rPr>
          <w:rFonts w:ascii="Arial" w:cs="Arial" w:eastAsia="Arial" w:hAnsi="Arial"/>
          <w:sz w:val="18"/>
          <w:szCs w:val="18"/>
          <w:color w:val="auto"/>
        </w:rPr>
        <w:t>represents the legacy Greenspring carried interest allocations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entirely payable to certain employees. Legacy Greenspring </w:t>
      </w:r>
      <w:r>
        <w:rPr>
          <w:rFonts w:ascii="Arial" w:cs="Arial" w:eastAsia="Arial" w:hAnsi="Arial"/>
          <w:sz w:val="18"/>
          <w:szCs w:val="18"/>
          <w:color w:val="231F20"/>
        </w:rPr>
        <w:t>carried interest-related compensation is accounted for as compensation expense in</w:t>
      </w:r>
      <w:r>
        <w:rPr>
          <w:rFonts w:ascii="Arial" w:cs="Arial" w:eastAsia="Arial" w:hAnsi="Arial"/>
          <w:sz w:val="18"/>
          <w:szCs w:val="18"/>
          <w:color w:val="auto"/>
        </w:rPr>
        <w:t xml:space="preserve"> </w:t>
      </w:r>
      <w:r>
        <w:rPr>
          <w:rFonts w:ascii="Arial" w:cs="Arial" w:eastAsia="Arial" w:hAnsi="Arial"/>
          <w:sz w:val="18"/>
          <w:szCs w:val="18"/>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65" w:lineRule="exact"/>
        <w:rPr>
          <w:sz w:val="20"/>
          <w:szCs w:val="20"/>
          <w:color w:val="auto"/>
        </w:rPr>
      </w:pPr>
    </w:p>
    <w:p>
      <w:pPr>
        <w:jc w:val="both"/>
        <w:ind w:right="78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related costs,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i w:val="1"/>
          <w:iCs w:val="1"/>
          <w:color w:val="231F20"/>
        </w:rPr>
        <w:t xml:space="preserve">Investment income </w:t>
      </w:r>
      <w:r>
        <w:rPr>
          <w:rFonts w:ascii="Arial" w:cs="Arial" w:eastAsia="Arial" w:hAnsi="Arial"/>
          <w:sz w:val="20"/>
          <w:szCs w:val="20"/>
          <w:color w:val="231F20"/>
        </w:rPr>
        <w:t>primarily represents our share of earnings from the investments we make in our SMAs and focused commingled</w:t>
      </w:r>
      <w:r>
        <w:rPr>
          <w:rFonts w:ascii="Arial" w:cs="Arial" w:eastAsia="Arial" w:hAnsi="Arial"/>
          <w:sz w:val="20"/>
          <w:szCs w:val="20"/>
          <w:i w:val="1"/>
          <w:iCs w:val="1"/>
          <w:color w:val="231F20"/>
        </w:rPr>
        <w:t xml:space="preserve"> </w:t>
      </w:r>
      <w:r>
        <w:rPr>
          <w:rFonts w:ascii="Arial" w:cs="Arial" w:eastAsia="Arial" w:hAnsi="Arial"/>
          <w:sz w:val="20"/>
          <w:szCs w:val="20"/>
          <w:color w:val="231F20"/>
        </w:rPr>
        <w:t>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7"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i w:val="1"/>
          <w:iCs w:val="1"/>
          <w:color w:val="231F20"/>
        </w:rPr>
        <w:t xml:space="preserve">Legacy Greenspring investment income </w:t>
      </w:r>
      <w:r>
        <w:rPr>
          <w:rFonts w:ascii="Arial" w:cs="Arial" w:eastAsia="Arial" w:hAnsi="Arial"/>
          <w:sz w:val="19"/>
          <w:szCs w:val="19"/>
          <w:color w:val="231F20"/>
        </w:rPr>
        <w:t>represents our share of earnings from the investments we make in certain legacy Greenspring</w:t>
      </w:r>
      <w:r>
        <w:rPr>
          <w:rFonts w:ascii="Arial" w:cs="Arial" w:eastAsia="Arial" w:hAnsi="Arial"/>
          <w:sz w:val="19"/>
          <w:szCs w:val="19"/>
          <w:i w:val="1"/>
          <w:iCs w:val="1"/>
          <w:color w:val="231F20"/>
        </w:rPr>
        <w:t xml:space="preserve"> </w:t>
      </w:r>
      <w:r>
        <w:rPr>
          <w:rFonts w:ascii="Arial" w:cs="Arial" w:eastAsia="Arial" w:hAnsi="Arial"/>
          <w:sz w:val="19"/>
          <w:szCs w:val="19"/>
          <w:color w:val="231F20"/>
        </w:rPr>
        <w:t>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and cash equivalents, restricted cash and certificates of deposit.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primarily consists of the interest expense on the Revolver, as well as the related amortization of deferred financing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costs.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transaction gains and losses and non-operating activities.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19"/>
          <w:szCs w:val="19"/>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6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91" w:lineRule="exact"/>
        <w:rPr>
          <w:sz w:val="20"/>
          <w:szCs w:val="20"/>
          <w:color w:val="auto"/>
        </w:rPr>
      </w:pPr>
    </w:p>
    <w:p>
      <w:pPr>
        <w:ind w:right="8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legacy Greenspring entities </w:t>
      </w:r>
      <w:r>
        <w:rPr>
          <w:rFonts w:ascii="Arial" w:cs="Arial" w:eastAsia="Arial" w:hAnsi="Arial"/>
          <w:sz w:val="18"/>
          <w:szCs w:val="18"/>
          <w:color w:val="auto"/>
        </w:rPr>
        <w:t>represent the economic interests in the legacy Greenspring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We did not acquire any direct economic interests in the legacy Greenspring general partner entities. As a result, all of the net income related to the legacy Greenspring general partner entities is allocated to non-controlling interests in legacy Greenspring entities.</w:t>
      </w:r>
    </w:p>
    <w:p>
      <w:pPr>
        <w:spacing w:after="0" w:line="152" w:lineRule="exact"/>
        <w:rPr>
          <w:sz w:val="20"/>
          <w:szCs w:val="20"/>
          <w:color w:val="auto"/>
        </w:rPr>
      </w:pPr>
    </w:p>
    <w:p>
      <w:pPr>
        <w:ind w:right="40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and Class C</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Key Operating Metrics</w:t>
      </w:r>
    </w:p>
    <w:p>
      <w:pPr>
        <w:spacing w:after="0" w:line="22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91"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June 30, 2022 reflects final data for the prior period (March 31, 2022), adjusted for net new client account activity through June 30, 2022. NAV data for underlying investments is as of March 31, 2022, as reported by underlying managers up to 100 days following March 31, 2022. When NAV data is not available by 100 days following March 31, 2022, such NAVs are adjusted for cash activity following the last available reported NAV.</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June 30, 2022 reflects final data for the prior period (March 31, 2022), adjusted for net new client account activity through June 30, 2022. NAV data for underlying investments is as of March 31, 2022, as reported by underlying managers up to 100 days following March 31, 2022. When NAV data is not available by 100 days following March 31, 2022, such NAVs are 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right="80" w:firstLine="648"/>
        <w:spacing w:after="0" w:line="276" w:lineRule="auto"/>
        <w:rPr>
          <w:sz w:val="20"/>
          <w:szCs w:val="20"/>
          <w:color w:val="auto"/>
        </w:rPr>
      </w:pPr>
      <w:r>
        <w:rPr>
          <w:rFonts w:ascii="Arial" w:cs="Arial" w:eastAsia="Arial" w:hAnsi="Arial"/>
          <w:sz w:val="18"/>
          <w:szCs w:val="18"/>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65"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231F20"/>
        </w:rPr>
        <w:t>Our calculation of FEAUM may differ from the calculations of other asset managers and, as a result, may not be comparable to similar measures presented by other asset managers.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but will generate management fee revenue once this capital is invested or activated.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231F20"/>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does not reflect legacy Greenspring carried interest allocation revenues, legacy Greenspring carried interest-related compensation and legacy Greenspring investment income as none of the economics are attributable to us. ANI is income before taxes fully taxed at our blended statutory rate. We believe ANI and adjusted revenues are useful to investors because they enable investors to evaluate the performance of our business across reporting periods.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231F20"/>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ANI per share measures our per-share earnings assuming all Class B units and Class C units in the Partnership are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right="620" w:firstLine="648"/>
        <w:spacing w:after="0" w:line="316" w:lineRule="auto"/>
        <w:rPr>
          <w:sz w:val="20"/>
          <w:szCs w:val="20"/>
          <w:color w:val="auto"/>
        </w:rPr>
      </w:pPr>
      <w:r>
        <w:rPr>
          <w:rFonts w:ascii="Arial" w:cs="Arial" w:eastAsia="Arial" w:hAnsi="Arial"/>
          <w:sz w:val="18"/>
          <w:szCs w:val="18"/>
          <w:color w:val="auto"/>
        </w:rPr>
        <w:t>The following is a discussion of our unaudited consolidated results of operations for the periods presented. The information is derived from our accompanying condensed consolidated financial statements prepared in accordance with GAAP.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June 30,</w:t>
            </w:r>
          </w:p>
        </w:tc>
      </w:tr>
      <w:tr>
        <w:trPr>
          <w:trHeight w:val="18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7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116,732</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78,061</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36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30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4,182</w:t>
            </w:r>
          </w:p>
        </w:tc>
      </w:tr>
      <w:tr>
        <w:trPr>
          <w:trHeight w:val="192"/>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360" w:type="dxa"/>
            <w:vAlign w:val="bottom"/>
          </w:tcPr>
          <w:p>
            <w:pPr>
              <w:ind w:left="720"/>
              <w:spacing w:after="0"/>
              <w:rPr>
                <w:sz w:val="20"/>
                <w:szCs w:val="20"/>
                <w:color w:val="auto"/>
              </w:rPr>
            </w:pPr>
            <w:r>
              <w:rPr>
                <w:rFonts w:ascii="Arial" w:cs="Arial" w:eastAsia="Arial" w:hAnsi="Arial"/>
                <w:sz w:val="14"/>
                <w:szCs w:val="14"/>
                <w:color w:val="auto"/>
              </w:rPr>
              <w:t>Realized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73,607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49,963</w:t>
            </w:r>
          </w:p>
        </w:tc>
      </w:tr>
      <w:tr>
        <w:trPr>
          <w:trHeight w:val="192"/>
        </w:trPr>
        <w:tc>
          <w:tcPr>
            <w:tcW w:w="8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(113,950)</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176,399</w:t>
            </w:r>
          </w:p>
        </w:tc>
      </w:tr>
      <w:tr>
        <w:trPr>
          <w:trHeight w:val="179"/>
        </w:trPr>
        <w:tc>
          <w:tcPr>
            <w:tcW w:w="836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(40,343)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226,362</w:t>
            </w:r>
          </w:p>
        </w:tc>
      </w:tr>
      <w:tr>
        <w:trPr>
          <w:trHeight w:val="192"/>
        </w:trPr>
        <w:tc>
          <w:tcPr>
            <w:tcW w:w="836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(153,607)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(77,218)</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308,605</w:t>
            </w: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Cash-based compensation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42,671</w:t>
            </w:r>
          </w:p>
        </w:tc>
      </w:tr>
      <w:tr>
        <w:trPr>
          <w:trHeight w:val="186"/>
        </w:trPr>
        <w:tc>
          <w:tcPr>
            <w:tcW w:w="8360" w:type="dxa"/>
            <w:vAlign w:val="bottom"/>
          </w:tcPr>
          <w:p>
            <w:pPr>
              <w:ind w:left="400"/>
              <w:spacing w:after="0"/>
              <w:rPr>
                <w:sz w:val="20"/>
                <w:szCs w:val="20"/>
                <w:color w:val="auto"/>
              </w:rPr>
            </w:pPr>
            <w:r>
              <w:rPr>
                <w:rFonts w:ascii="Arial" w:cs="Arial" w:eastAsia="Arial" w:hAnsi="Arial"/>
                <w:sz w:val="14"/>
                <w:szCs w:val="14"/>
                <w:color w:val="auto"/>
              </w:rPr>
              <w:t>Equity-based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3,714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3,743</w:t>
            </w:r>
          </w:p>
        </w:tc>
      </w:tr>
      <w:tr>
        <w:trPr>
          <w:trHeight w:val="192"/>
        </w:trPr>
        <w:tc>
          <w:tcPr>
            <w:tcW w:w="8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Performance fee-related compensation: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360" w:type="dxa"/>
            <w:vAlign w:val="bottom"/>
          </w:tcPr>
          <w:p>
            <w:pPr>
              <w:ind w:left="780"/>
              <w:spacing w:after="0"/>
              <w:rPr>
                <w:sz w:val="20"/>
                <w:szCs w:val="20"/>
                <w:color w:val="auto"/>
              </w:rPr>
            </w:pPr>
            <w:r>
              <w:rPr>
                <w:rFonts w:ascii="Arial" w:cs="Arial" w:eastAsia="Arial" w:hAnsi="Arial"/>
                <w:sz w:val="14"/>
                <w:szCs w:val="14"/>
                <w:color w:val="auto"/>
              </w:rPr>
              <w:t>Realized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41,735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25,308</w:t>
            </w:r>
          </w:p>
        </w:tc>
      </w:tr>
      <w:tr>
        <w:trPr>
          <w:trHeight w:val="192"/>
        </w:trPr>
        <w:tc>
          <w:tcPr>
            <w:tcW w:w="83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(54,553)</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85,572</w:t>
            </w:r>
          </w:p>
        </w:tc>
      </w:tr>
      <w:tr>
        <w:trPr>
          <w:trHeight w:val="179"/>
        </w:trPr>
        <w:tc>
          <w:tcPr>
            <w:tcW w:w="8360" w:type="dxa"/>
            <w:vAlign w:val="bottom"/>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(12,818)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110,880</w:t>
            </w:r>
          </w:p>
        </w:tc>
      </w:tr>
      <w:tr>
        <w:trPr>
          <w:trHeight w:val="192"/>
        </w:trPr>
        <w:tc>
          <w:tcPr>
            <w:tcW w:w="8360" w:type="dxa"/>
            <w:vAlign w:val="bottom"/>
            <w:shd w:val="clear" w:color="auto" w:fill="CCEEFF"/>
          </w:tcPr>
          <w:p>
            <w:pPr>
              <w:ind w:left="400"/>
              <w:spacing w:after="0" w:line="193"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(153,607)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36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(102,650)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157,294</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34,232</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16,430</w:t>
            </w:r>
          </w:p>
        </w:tc>
      </w:tr>
      <w:tr>
        <w:trPr>
          <w:trHeight w:val="179"/>
        </w:trPr>
        <w:tc>
          <w:tcPr>
            <w:tcW w:w="836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(68,418)</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173,724</w:t>
            </w: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Investment income (loss)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6,424</w:t>
            </w:r>
          </w:p>
        </w:tc>
      </w:tr>
      <w:tr>
        <w:trPr>
          <w:trHeight w:val="192"/>
        </w:trPr>
        <w:tc>
          <w:tcPr>
            <w:tcW w:w="836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Legacy Greenspring investment loss</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loss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r>
      <w:tr>
        <w:trPr>
          <w:trHeight w:val="186"/>
        </w:trPr>
        <w:tc>
          <w:tcPr>
            <w:tcW w:w="8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income (expense)</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6,061</w:t>
            </w:r>
          </w:p>
        </w:tc>
      </w:tr>
      <w:tr>
        <w:trPr>
          <w:trHeight w:val="179"/>
        </w:trPr>
        <w:tc>
          <w:tcPr>
            <w:tcW w:w="8360" w:type="dxa"/>
            <w:vAlign w:val="bottom"/>
          </w:tcPr>
          <w:p>
            <w:pPr>
              <w:ind w:left="20"/>
              <w:spacing w:after="0"/>
              <w:rPr>
                <w:sz w:val="20"/>
                <w:szCs w:val="20"/>
                <w:color w:val="auto"/>
              </w:rPr>
            </w:pPr>
            <w:r>
              <w:rPr>
                <w:rFonts w:ascii="Arial" w:cs="Arial" w:eastAsia="Arial" w:hAnsi="Arial"/>
                <w:sz w:val="14"/>
                <w:szCs w:val="14"/>
                <w:color w:val="auto"/>
              </w:rPr>
              <w:t>Income (loss) before income tax</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(20,185)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140,942</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14,423</w:t>
            </w:r>
          </w:p>
        </w:tc>
      </w:tr>
      <w:tr>
        <w:trPr>
          <w:trHeight w:val="179"/>
        </w:trPr>
        <w:tc>
          <w:tcPr>
            <w:tcW w:w="8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(21,471)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126,519</w:t>
            </w:r>
          </w:p>
        </w:tc>
      </w:tr>
      <w:tr>
        <w:trPr>
          <w:trHeight w:val="192"/>
        </w:trPr>
        <w:tc>
          <w:tcPr>
            <w:tcW w:w="8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7,571</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5,614</w:t>
            </w:r>
          </w:p>
        </w:tc>
      </w:tr>
      <w:tr>
        <w:trPr>
          <w:trHeight w:val="189"/>
        </w:trPr>
        <w:tc>
          <w:tcPr>
            <w:tcW w:w="8360" w:type="dxa"/>
            <w:vAlign w:val="bottom"/>
          </w:tcPr>
          <w:p>
            <w:pPr>
              <w:ind w:left="400"/>
              <w:spacing w:after="0" w:line="189" w:lineRule="exact"/>
              <w:rPr>
                <w:sz w:val="20"/>
                <w:szCs w:val="20"/>
                <w:color w:val="auto"/>
              </w:rPr>
            </w:pPr>
            <w:r>
              <w:rPr>
                <w:rFonts w:ascii="Arial" w:cs="Arial" w:eastAsia="Arial" w:hAnsi="Arial"/>
                <w:sz w:val="14"/>
                <w:szCs w:val="14"/>
                <w:color w:val="auto"/>
              </w:rPr>
              <w:t>Less: Net loss attributable to non-controlling interests in legacy Greenspring entities</w:t>
            </w:r>
            <w:r>
              <w:rPr>
                <w:rFonts w:ascii="Arial" w:cs="Arial" w:eastAsia="Arial" w:hAnsi="Arial"/>
                <w:sz w:val="18"/>
                <w:szCs w:val="18"/>
                <w:color w:val="auto"/>
                <w:vertAlign w:val="superscript"/>
              </w:rPr>
              <w:t>(1)</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(8,604)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Less: Net income (loss) attributable to non-controlling interests in the Partnership</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(9,398)</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79,255</w:t>
            </w: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Net income (loss) attributable to StepStone Group Inc.</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(11,040)</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41,650</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1" w:lineRule="exact"/>
        <w:rPr>
          <w:sz w:val="20"/>
          <w:szCs w:val="20"/>
          <w:color w:val="auto"/>
        </w:rPr>
      </w:pPr>
    </w:p>
    <w:p>
      <w:pPr>
        <w:ind w:left="660" w:right="200" w:hanging="652"/>
        <w:spacing w:after="0" w:line="255" w:lineRule="auto"/>
        <w:tabs>
          <w:tab w:leader="none" w:pos="65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we did not acquire any direct economic interests. See notes 3 and 5 to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2022 Compared to Three Months Ended June 30, 2021</w:t>
      </w:r>
    </w:p>
    <w:p>
      <w:pPr>
        <w:spacing w:after="0" w:line="216" w:lineRule="exact"/>
        <w:rPr>
          <w:sz w:val="20"/>
          <w:szCs w:val="20"/>
          <w:color w:val="auto"/>
        </w:rPr>
      </w:pPr>
    </w:p>
    <w:p>
      <w:pPr>
        <w:ind w:right="600" w:firstLine="648"/>
        <w:spacing w:after="0" w:line="385" w:lineRule="auto"/>
        <w:rPr>
          <w:sz w:val="20"/>
          <w:szCs w:val="20"/>
          <w:color w:val="auto"/>
        </w:rPr>
      </w:pPr>
      <w:r>
        <w:rPr>
          <w:rFonts w:ascii="Arial" w:cs="Arial" w:eastAsia="Arial" w:hAnsi="Arial"/>
          <w:sz w:val="16"/>
          <w:szCs w:val="16"/>
          <w:color w:val="auto"/>
        </w:rPr>
        <w:t>Total revenues decreased $385.8 million to $(77.2) million for the three months ended June 30, 2022 as compared to the three months ended June 30, 2021, due to lower carried interest allocations, partially offset by higher net management and advisory fees.</w:t>
      </w:r>
    </w:p>
    <w:p>
      <w:pPr>
        <w:spacing w:after="0" w:line="8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Net management and advisory fees increased $38.7 million, or 50%, to $116.7 million for the three months ended June 30, 2022 as compared to the three months ended June 30, 2021. The increase was driven by new client activity and a 47% growth in average FEAUM (or 25% excluding the impact of Greenspring) across the platform, as well as retroactive fees of $2.4 million from the final closing of StepStone Capital Partners V. For new investors, fees relating to periods prior to the closing date are considered retroactive.</w:t>
      </w:r>
    </w:p>
    <w:p>
      <w:pPr>
        <w:spacing w:after="0" w:line="161"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There were no incentive fees for the three months ended June 30, 2022 as compared to $4.2 million for the three months ended June 30, 2021.</w:t>
      </w:r>
    </w:p>
    <w:p>
      <w:pPr>
        <w:spacing w:after="0" w:line="177"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Realized carried interest allocation revenues increased $23.6 million, or 47%, to $73.6 million for the three months ended June 30, 2022 as compared to the three months ended June 30, 2021, reflecting higher realization activity within our private equity funds. Unrealized carried interest allocation revenues include the reversal of realized carried interest allocation revenues. Excluding the reversal of $73.6 million, unrealized carried interest allocation revenues decreased $266.7 million to $(40.3) million for the three months ended June 30, 2022 as compared to the three months ended June 30, 2021. The decrease in unrealized carried interest allocations for the three months ended June 30, 2022 primarily reflected a net decrease in the cumulative allocation of gains associated with the underlying portfolios within our private equity funds.</w:t>
      </w:r>
    </w:p>
    <w:p>
      <w:pPr>
        <w:spacing w:after="0" w:line="193"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Legacy Greenspring carried interest allocation revenues of $(153.6) million for the three months ended June 30, 2022 reflect gross realized carried interest allocations of $29.6 million and unrealized carried interest allocations, net of the reversal of realized carried interest allocations, of $(183.2) million.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2022 Compared to Three Months Ended June 30, 2021</w:t>
      </w:r>
    </w:p>
    <w:p>
      <w:pPr>
        <w:spacing w:after="0" w:line="216" w:lineRule="exact"/>
        <w:rPr>
          <w:sz w:val="20"/>
          <w:szCs w:val="20"/>
          <w:color w:val="auto"/>
        </w:rPr>
      </w:pPr>
    </w:p>
    <w:p>
      <w:pPr>
        <w:ind w:right="600" w:firstLine="648"/>
        <w:spacing w:after="0" w:line="250" w:lineRule="auto"/>
        <w:rPr>
          <w:sz w:val="20"/>
          <w:szCs w:val="20"/>
          <w:color w:val="auto"/>
        </w:rPr>
      </w:pPr>
      <w:r>
        <w:rPr>
          <w:rFonts w:ascii="Arial" w:cs="Arial" w:eastAsia="Arial" w:hAnsi="Arial"/>
          <w:sz w:val="20"/>
          <w:szCs w:val="20"/>
          <w:color w:val="auto"/>
        </w:rPr>
        <w:t>Total expenses decreased $242.1 million to $(68.4) million for the three months ended June 30, 2022 as compared to the three months ended June 30, 2021, due to decreases in performance fee-related compensation, partially offset by increases in general, administrative and other expenses, and cash-based compensation.</w:t>
      </w:r>
    </w:p>
    <w:p>
      <w:pPr>
        <w:spacing w:after="0" w:line="186" w:lineRule="exact"/>
        <w:rPr>
          <w:sz w:val="20"/>
          <w:szCs w:val="20"/>
          <w:color w:val="auto"/>
        </w:rPr>
      </w:pPr>
    </w:p>
    <w:p>
      <w:pPr>
        <w:jc w:val="both"/>
        <w:ind w:right="100" w:firstLine="648"/>
        <w:spacing w:after="0" w:line="291" w:lineRule="auto"/>
        <w:rPr>
          <w:sz w:val="20"/>
          <w:szCs w:val="20"/>
          <w:color w:val="auto"/>
        </w:rPr>
      </w:pPr>
      <w:r>
        <w:rPr>
          <w:rFonts w:ascii="Arial" w:cs="Arial" w:eastAsia="Arial" w:hAnsi="Arial"/>
          <w:sz w:val="18"/>
          <w:szCs w:val="18"/>
          <w:color w:val="auto"/>
        </w:rPr>
        <w:t>Cash-based compensation increased $17.4 million, or 41%, to $60.1 million for the three months ended June 30, 2022 as compared to the three months ended June 30, 2021, due to increased staffing and compensation levels. Our average full-time headcount increased 41% (or 22% excluding the impact of Greenspring) in the current year period as compared to the prior year period.</w:t>
      </w:r>
    </w:p>
    <w:p>
      <w:pPr>
        <w:spacing w:after="0" w:line="15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Equity-based compensation decreased $29 thousand, or 1%, to $3.7 million for the three months ended June 30, 2022 as compared to the three months ended June 30, 2021.</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Performance fee-related compensation expense decreased $123.7 million to $(12.8) million for the three months ended June 30, 2022 as compared to the three months ended June 30, 2021, primarily reflecting the decrease in carried interest allocation revenue. Realized performance fee-related compensation increased $16.4 million, or 65%, to $41.7 million for the three months ended June 30, 2022 as compared to the three months ended June 30, 2021, primarily reflecting higher realization activity.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1"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Legacy Greenspring performance fee-related compensation expense of $(153.6) million for the three months ended June 30, 2022 reflects gross realized performance fee-related compensation expense of $29.6 million and unrealized performance fee-related compensation expense, net of the reversal of realized performance fee-related compensation expense, of $(183.2) million.</w:t>
      </w:r>
    </w:p>
    <w:p>
      <w:pPr>
        <w:spacing w:after="0" w:line="170"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General, administrative and other expenses increased $17.8 million, or 108%, to $34.2 million for the three months ended June 30, 2022 as compared to the three months ended June 30, 2021. The increase primarily reflected $10.2 million in amortization expense for intangibles, $3.3 million in loss on change in fair value for contingent consideration obligation, $2.6 million of travel and associated costs for investment evaluation and client service, $1.4 million in information and technology expenses $0.9 million in professional fees and other general operating expenses.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2022 Compared to Three Months Ended June 30, 2021</w:t>
      </w:r>
    </w:p>
    <w:p>
      <w:pPr>
        <w:spacing w:after="0" w:line="216"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0"/>
          <w:szCs w:val="20"/>
          <w:color w:val="auto"/>
        </w:rPr>
        <w:t>Investment income (loss) decreased $7.5 million to a loss of $1.1 million for the three months ended June 30, 2022 as compared to the three months ended June 30, 2021, primarily reflecting overall changes in the valuations of the underlying investments in the StepStone Funds.</w:t>
      </w:r>
    </w:p>
    <w:p>
      <w:pPr>
        <w:spacing w:after="0" w:line="186" w:lineRule="exact"/>
        <w:rPr>
          <w:sz w:val="20"/>
          <w:szCs w:val="20"/>
          <w:color w:val="auto"/>
        </w:rPr>
      </w:pPr>
    </w:p>
    <w:p>
      <w:pPr>
        <w:ind w:right="440" w:firstLine="648"/>
        <w:spacing w:after="0" w:line="316" w:lineRule="auto"/>
        <w:rPr>
          <w:sz w:val="20"/>
          <w:szCs w:val="20"/>
          <w:color w:val="auto"/>
        </w:rPr>
      </w:pPr>
      <w:r>
        <w:rPr>
          <w:rFonts w:ascii="Arial" w:cs="Arial" w:eastAsia="Arial" w:hAnsi="Arial"/>
          <w:sz w:val="18"/>
          <w:szCs w:val="18"/>
          <w:color w:val="auto"/>
        </w:rPr>
        <w:t>Legacy Greenspring investment loss of $8.6 million for the three months ended June 30, 2022 reflects gross realized investment income of $1.6 million and unrealized investment income, net of the reversal of realized investment loss, of $10.2 million.</w:t>
      </w:r>
    </w:p>
    <w:p>
      <w:pPr>
        <w:spacing w:after="0" w:line="13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Interest income decreased $69 thousand, or 86%, to $11 thousand for the three months ended June 30, 2022 as compared to the three months ended June 30, 2021.</w:t>
      </w:r>
    </w:p>
    <w:p>
      <w:pPr>
        <w:spacing w:after="0" w:line="177" w:lineRule="exact"/>
        <w:rPr>
          <w:sz w:val="20"/>
          <w:szCs w:val="20"/>
          <w:color w:val="auto"/>
        </w:rPr>
      </w:pPr>
    </w:p>
    <w:p>
      <w:pPr>
        <w:jc w:val="both"/>
        <w:ind w:right="220" w:firstLine="648"/>
        <w:spacing w:after="0" w:line="250" w:lineRule="auto"/>
        <w:rPr>
          <w:sz w:val="20"/>
          <w:szCs w:val="20"/>
          <w:color w:val="auto"/>
        </w:rPr>
      </w:pPr>
      <w:r>
        <w:rPr>
          <w:rFonts w:ascii="Arial" w:cs="Arial" w:eastAsia="Arial" w:hAnsi="Arial"/>
          <w:sz w:val="20"/>
          <w:szCs w:val="20"/>
          <w:color w:val="auto"/>
        </w:rPr>
        <w:t>Interest expense increased $0.6 million to $0.6 million for the three months ended June 30, 2022 as compared to the three months ended June 30, 2021. The increase was primarily due to interest on the average outstanding balances under the Revolver during the current period. There was no debt outstanding in the prior year period.</w:t>
      </w:r>
    </w:p>
    <w:p>
      <w:pPr>
        <w:spacing w:after="0" w:line="186"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Other loss increased $0.7 million to $1.1 million for the three months ended June 30, 2022 as compared to the three months ended June 30, 2021, primarily reflecting net foreign currency transaction losses.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880" w:firstLine="648"/>
        <w:spacing w:after="0" w:line="260" w:lineRule="auto"/>
        <w:rPr>
          <w:sz w:val="20"/>
          <w:szCs w:val="20"/>
          <w:color w:val="auto"/>
        </w:rPr>
      </w:pPr>
      <w:r>
        <w:rPr>
          <w:rFonts w:ascii="Arial" w:cs="Arial" w:eastAsia="Arial" w:hAnsi="Arial"/>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Our effective income tax rate was (6.4)% and 10.2% for the three months ended June 30, 2022 and 2021, respectively. Our overall effective tax rate in each of the periods described above is less than the statutory rate. The primary difference for the three months ended June 30, 2022 relates to certain tax expense adjustments that were recorded to our outside basis difference in the Partnership. The primary rate difference for the three months ended June 30, 2021 relates to a portion of income that is allocated to non-controlling interests, as the tax liability on such income is borne by the holders of such non-controlling interests.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2022 Compared to Three Months Ended June 30, 2021</w:t>
      </w:r>
    </w:p>
    <w:p>
      <w:pPr>
        <w:spacing w:after="0" w:line="21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Income tax expense decreased $13.1 million, or 91%, to $1.3 million for the three months ended June 30, 2022 as compared to the three months ended June 30, 2021. The decrease in tax expense was primarily driven by pre-tax net loss for the three months ended June 30, 2022.</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$2.0 million, or 35%, to $7.6 million for the three months ended June 30, 2022 as compared to the three months ended June 30, 2021. The increase was primarily attributable to an increase in income generated by our consolidated subsidiaries not wholly-owned by 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Loss Attributable to Non-Controlling Interests in Legacy Greenspring Entities</w:t>
      </w:r>
    </w:p>
    <w:p>
      <w:pPr>
        <w:spacing w:after="0" w:line="222"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auto"/>
        </w:rPr>
        <w:t>Net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loss attributable to non-controlling interests in legacy Greenspring entities was $8.6 million for the three months ended June 30, 2022.</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(Loss) Attributable to Non-Controlling Interests in the Partnership</w:t>
      </w:r>
    </w:p>
    <w:p>
      <w:pPr>
        <w:spacing w:after="0" w:line="222"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8"/>
          <w:szCs w:val="18"/>
          <w:color w:val="auto"/>
        </w:rPr>
        <w:t>Net income (loss) attributable to non-controlling interests in the Partnership represents the portion of net income or loss attributable to the interests held by the Class B and Class C unitholders of the Partnership. Net income (loss) attributable to non-controlling interests in the Partnership was $(9.4) million and $79.3 million for the three months ended June 30, 2022 and 2021, respectively.</w:t>
      </w:r>
    </w:p>
    <w:p>
      <w:pPr>
        <w:spacing w:after="0" w:line="146"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AUM was $90 billion as of June 30, 2021, $134 billion as of March 31, 2022 and $137 billion as of June 30, 2022. The acquisition of Greenspring added $22 billion of AUM as of September 20, 2021.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Assets related to our advisory accounts were $375 billion as of June 30, 2021, $436 billion as of March 31, 2022 and $452 billion as of June 30,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2022</w:t>
      </w:r>
    </w:p>
    <w:p>
      <w:pPr>
        <w:spacing w:after="0" w:line="216" w:lineRule="exact"/>
        <w:rPr>
          <w:sz w:val="20"/>
          <w:szCs w:val="20"/>
          <w:color w:val="auto"/>
        </w:rPr>
      </w:pPr>
    </w:p>
    <w:p>
      <w:pPr>
        <w:ind w:right="460" w:firstLine="648"/>
        <w:spacing w:after="0" w:line="287" w:lineRule="auto"/>
        <w:rPr>
          <w:sz w:val="20"/>
          <w:szCs w:val="20"/>
          <w:color w:val="auto"/>
        </w:rPr>
      </w:pPr>
      <w:r>
        <w:rPr>
          <w:rFonts w:ascii="Arial" w:cs="Arial" w:eastAsia="Arial" w:hAnsi="Arial"/>
          <w:sz w:val="19"/>
          <w:szCs w:val="19"/>
          <w:color w:val="auto"/>
        </w:rPr>
        <w:t>FEAUM increased $3 billion, or 4%, to $79 billion as of June 30, 2022 as compared to $75 billion as of March 31, 2022. Of the increase, approximately $3 billion was from SMAs and approximately $1 billion was from focused commingled funds.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8"/>
                <w:szCs w:val="18"/>
                <w:b w:val="1"/>
                <w:bCs w:val="1"/>
                <w:color w:val="auto"/>
                <w:w w:val="90"/>
              </w:rPr>
              <w:t>Three Months Ended June 30, 2022</w:t>
            </w: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6"/>
              </w:rPr>
              <w:t>Focused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Commingled</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7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75,173</w:t>
            </w:r>
          </w:p>
        </w:tc>
        <w:tc>
          <w:tcPr>
            <w:tcW w:w="0" w:type="dxa"/>
            <w:vAlign w:val="bottom"/>
          </w:tcPr>
          <w:p>
            <w:pPr>
              <w:spacing w:after="0"/>
              <w:rPr>
                <w:sz w:val="1"/>
                <w:szCs w:val="1"/>
                <w:color w:val="auto"/>
              </w:rPr>
            </w:pPr>
          </w:p>
        </w:tc>
      </w:tr>
      <w:tr>
        <w:trPr>
          <w:trHeight w:val="230"/>
        </w:trPr>
        <w:tc>
          <w:tcPr>
            <w:tcW w:w="7040" w:type="dxa"/>
            <w:vAlign w:val="bottom"/>
          </w:tcPr>
          <w:p>
            <w:pPr>
              <w:ind w:left="4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Market value, FX and other</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81" w:lineRule="auto"/>
        <w:tabs>
          <w:tab w:leader="none" w:pos="654"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spacing w:after="0" w:line="1" w:lineRule="exact"/>
        <w:rPr>
          <w:rFonts w:ascii="Arial" w:cs="Arial" w:eastAsia="Arial" w:hAnsi="Arial"/>
          <w:sz w:val="16"/>
          <w:szCs w:val="16"/>
          <w:color w:val="auto"/>
        </w:rPr>
      </w:pPr>
    </w:p>
    <w:p>
      <w:pPr>
        <w:ind w:left="660" w:right="200" w:hanging="652"/>
        <w:spacing w:after="0" w:line="260"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8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ind w:left="680"/>
              <w:spacing w:after="0"/>
              <w:rPr>
                <w:sz w:val="20"/>
                <w:szCs w:val="20"/>
                <w:color w:val="auto"/>
              </w:rPr>
            </w:pPr>
            <w:r>
              <w:rPr>
                <w:rFonts w:ascii="Arial" w:cs="Arial" w:eastAsia="Arial" w:hAnsi="Arial"/>
                <w:sz w:val="18"/>
                <w:szCs w:val="18"/>
                <w:i w:val="1"/>
                <w:iCs w:val="1"/>
                <w:color w:val="auto"/>
              </w:rPr>
              <w:t>(in millions)</w:t>
            </w:r>
          </w:p>
        </w:tc>
        <w:tc>
          <w:tcPr>
            <w:tcW w:w="82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78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2022</w:t>
            </w:r>
          </w:p>
        </w:tc>
        <w:tc>
          <w:tcPr>
            <w:tcW w:w="8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June 30, 2021</w:t>
            </w:r>
          </w:p>
        </w:tc>
      </w:tr>
      <w:tr>
        <w:trPr>
          <w:trHeight w:val="210"/>
        </w:trPr>
        <w:tc>
          <w:tcPr>
            <w:tcW w:w="44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FEAUM</w:t>
            </w:r>
          </w:p>
        </w:tc>
        <w:tc>
          <w:tcPr>
            <w:tcW w:w="8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460" w:type="dxa"/>
            <w:vAlign w:val="bottom"/>
          </w:tcPr>
          <w:p>
            <w:pPr>
              <w:ind w:left="68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41,944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40,396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24,982</w:t>
            </w:r>
          </w:p>
        </w:tc>
      </w:tr>
      <w:tr>
        <w:trPr>
          <w:trHeight w:val="230"/>
        </w:trPr>
        <w:tc>
          <w:tcPr>
            <w:tcW w:w="4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Infrastructure</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Private debt</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12,216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10,628</w:t>
            </w:r>
          </w:p>
        </w:tc>
      </w:tr>
      <w:tr>
        <w:trPr>
          <w:trHeight w:val="229"/>
        </w:trPr>
        <w:tc>
          <w:tcPr>
            <w:tcW w:w="4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Real estate</w:t>
            </w:r>
          </w:p>
        </w:tc>
        <w:tc>
          <w:tcPr>
            <w:tcW w:w="8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r>
      <w:tr>
        <w:trPr>
          <w:trHeight w:val="223"/>
        </w:trPr>
        <w:tc>
          <w:tcPr>
            <w:tcW w:w="4460" w:type="dxa"/>
            <w:vAlign w:val="bottom"/>
          </w:tcPr>
          <w:p>
            <w:pPr>
              <w:ind w:left="11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52,907</w:t>
            </w:r>
          </w:p>
        </w:tc>
      </w:tr>
      <w:tr>
        <w:trPr>
          <w:trHeight w:val="20"/>
        </w:trPr>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acquisition of Greenspring added $11.4 billion of focused commingled funds FEAUM as of September 20,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As of</w:t>
            </w:r>
          </w:p>
        </w:tc>
        <w:tc>
          <w:tcPr>
            <w:tcW w:w="172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b w:val="1"/>
                <w:bCs w:val="1"/>
                <w:color w:val="auto"/>
              </w:rPr>
              <w:t>June 30, 2022</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March 31, 2022</w:t>
            </w:r>
          </w:p>
        </w:tc>
        <w:tc>
          <w:tcPr>
            <w:tcW w:w="172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 2021</w:t>
            </w:r>
          </w:p>
        </w:tc>
      </w:tr>
      <w:tr>
        <w:trPr>
          <w:trHeight w:val="210"/>
        </w:trPr>
        <w:tc>
          <w:tcPr>
            <w:tcW w:w="58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586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0.66 %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0.64 %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0.62 %</w:t>
            </w: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0.44 %</w:t>
            </w:r>
          </w:p>
        </w:tc>
      </w:tr>
      <w:tr>
        <w:trPr>
          <w:trHeight w:val="223"/>
        </w:trPr>
        <w:tc>
          <w:tcPr>
            <w:tcW w:w="5860" w:type="dxa"/>
            <w:vAlign w:val="bottom"/>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0.54 %</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r>
      <w:tr>
        <w:trPr>
          <w:trHeight w:val="20"/>
        </w:trPr>
        <w:tc>
          <w:tcPr>
            <w:tcW w:w="58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80" w:hanging="652"/>
        <w:spacing w:after="0" w:line="250"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 and is inclusive of any retroactive fees for such period.</w:t>
      </w: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 and shifts in asset class mix.</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As of June 30, 2022, we had $17.1 billion of undeployed fee-earning capital, which will generate management fee revenue once this capital is invested or activated.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5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78,061</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Adjusted cash-based compensation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42,564</w:t>
            </w:r>
          </w:p>
        </w:tc>
      </w:tr>
      <w:tr>
        <w:trPr>
          <w:trHeight w:val="230"/>
        </w:trPr>
        <w:tc>
          <w:tcPr>
            <w:tcW w:w="7620" w:type="dxa"/>
            <w:vAlign w:val="bottom"/>
          </w:tcPr>
          <w:p>
            <w:pPr>
              <w:ind w:left="400"/>
              <w:spacing w:after="0"/>
              <w:rPr>
                <w:sz w:val="20"/>
                <w:szCs w:val="20"/>
                <w:color w:val="auto"/>
              </w:rPr>
            </w:pPr>
            <w:r>
              <w:rPr>
                <w:rFonts w:ascii="Arial" w:cs="Arial" w:eastAsia="Arial" w:hAnsi="Arial"/>
                <w:sz w:val="18"/>
                <w:szCs w:val="18"/>
                <w:color w:val="auto"/>
              </w:rPr>
              <w:t>Adjusted equity-based compensation</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Adjusted general, administrative and other</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Fee-related earnings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23,127</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400"/>
              <w:spacing w:after="0"/>
              <w:rPr>
                <w:sz w:val="20"/>
                <w:szCs w:val="20"/>
                <w:color w:val="auto"/>
              </w:rPr>
            </w:pPr>
            <w:r>
              <w:rPr>
                <w:rFonts w:ascii="Arial" w:cs="Arial" w:eastAsia="Arial" w:hAnsi="Arial"/>
                <w:sz w:val="18"/>
                <w:szCs w:val="18"/>
                <w:color w:val="auto"/>
              </w:rPr>
              <w:t>Realized carried interest allocations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73,607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49,963</w:t>
            </w:r>
          </w:p>
        </w:tc>
      </w:tr>
      <w:tr>
        <w:trPr>
          <w:trHeight w:val="230"/>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Incentive fees</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r>
      <w:tr>
        <w:trPr>
          <w:trHeight w:val="229"/>
        </w:trPr>
        <w:tc>
          <w:tcPr>
            <w:tcW w:w="7620" w:type="dxa"/>
            <w:vAlign w:val="bottom"/>
          </w:tcPr>
          <w:p>
            <w:pPr>
              <w:ind w:left="400"/>
              <w:spacing w:after="0"/>
              <w:rPr>
                <w:sz w:val="20"/>
                <w:szCs w:val="20"/>
                <w:color w:val="auto"/>
              </w:rPr>
            </w:pPr>
            <w:r>
              <w:rPr>
                <w:rFonts w:ascii="Arial" w:cs="Arial" w:eastAsia="Arial" w:hAnsi="Arial"/>
                <w:sz w:val="18"/>
                <w:szCs w:val="18"/>
                <w:color w:val="auto"/>
              </w:rPr>
              <w:t>Deferred incentive fees</w:t>
            </w:r>
          </w:p>
        </w:tc>
        <w:tc>
          <w:tcPr>
            <w:tcW w:w="3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4,042</w:t>
            </w:r>
          </w:p>
        </w:tc>
      </w:tr>
      <w:tr>
        <w:trPr>
          <w:trHeight w:val="229"/>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investment income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r>
      <w:tr>
        <w:trPr>
          <w:trHeight w:val="230"/>
        </w:trPr>
        <w:tc>
          <w:tcPr>
            <w:tcW w:w="762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loss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2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Realized performance fee-related compensation</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25,308</w:t>
            </w:r>
          </w:p>
        </w:tc>
      </w:tr>
      <w:tr>
        <w:trPr>
          <w:trHeight w:val="230"/>
        </w:trPr>
        <w:tc>
          <w:tcPr>
            <w:tcW w:w="762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attributable to non-controlling interests in subsidiaries: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20" w:type="dxa"/>
            <w:vAlign w:val="bottom"/>
          </w:tcPr>
          <w:p>
            <w:pPr>
              <w:ind w:left="620"/>
              <w:spacing w:after="0" w:line="230" w:lineRule="exact"/>
              <w:rPr>
                <w:sz w:val="20"/>
                <w:szCs w:val="20"/>
                <w:color w:val="auto"/>
              </w:rPr>
            </w:pPr>
            <w:r>
              <w:rPr>
                <w:rFonts w:ascii="Arial" w:cs="Arial" w:eastAsia="Arial" w:hAnsi="Arial"/>
                <w:sz w:val="18"/>
                <w:szCs w:val="18"/>
                <w:color w:val="auto"/>
              </w:rPr>
              <w:t>Fee-related earnings attributable to non-controlling interests in subsidiaries</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5,523</w:t>
            </w:r>
          </w:p>
        </w:tc>
      </w:tr>
      <w:tr>
        <w:trPr>
          <w:trHeight w:val="230"/>
        </w:trPr>
        <w:tc>
          <w:tcPr>
            <w:tcW w:w="7620" w:type="dxa"/>
            <w:vAlign w:val="bottom"/>
            <w:shd w:val="clear" w:color="auto" w:fill="CCEEFF"/>
          </w:tcPr>
          <w:p>
            <w:pPr>
              <w:ind w:left="620"/>
              <w:spacing w:after="0" w:line="230" w:lineRule="exact"/>
              <w:rPr>
                <w:sz w:val="20"/>
                <w:szCs w:val="20"/>
                <w:color w:val="auto"/>
              </w:rPr>
            </w:pPr>
            <w:r>
              <w:rPr>
                <w:rFonts w:ascii="Arial" w:cs="Arial" w:eastAsia="Arial" w:hAnsi="Arial"/>
                <w:sz w:val="18"/>
                <w:szCs w:val="18"/>
                <w:color w:val="auto"/>
                <w:w w:val="97"/>
              </w:rPr>
              <w:t>Non fee-related earnings (losses) attributable to non-controlling interests in subsidiaries</w:t>
            </w:r>
            <w:r>
              <w:rPr>
                <w:rFonts w:ascii="Arial" w:cs="Arial" w:eastAsia="Arial" w:hAnsi="Arial"/>
                <w:sz w:val="23"/>
                <w:szCs w:val="23"/>
                <w:color w:val="auto"/>
                <w:w w:val="97"/>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7620" w:type="dxa"/>
            <w:vAlign w:val="bottom"/>
          </w:tcPr>
          <w:p>
            <w:pPr>
              <w:ind w:left="80"/>
              <w:spacing w:after="0"/>
              <w:rPr>
                <w:sz w:val="20"/>
                <w:szCs w:val="20"/>
                <w:color w:val="auto"/>
              </w:rPr>
            </w:pPr>
            <w:r>
              <w:rPr>
                <w:rFonts w:ascii="Arial" w:cs="Arial" w:eastAsia="Arial" w:hAnsi="Arial"/>
                <w:sz w:val="18"/>
                <w:szCs w:val="18"/>
                <w:b w:val="1"/>
                <w:bCs w:val="1"/>
                <w:color w:val="auto"/>
              </w:rPr>
              <w:t>Pre-tax adjusted net income</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52,334</w:t>
            </w:r>
          </w:p>
        </w:tc>
      </w:tr>
      <w:tr>
        <w:trPr>
          <w:trHeight w:val="230"/>
        </w:trPr>
        <w:tc>
          <w:tcPr>
            <w:tcW w:w="762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(4)</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40,533</w:t>
            </w: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jc w:val="both"/>
        <w:ind w:left="660" w:right="20" w:hanging="652"/>
        <w:spacing w:after="0" w:line="250"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carried interest-related compensation expense related to the portion of net carried interest allocation revenue attributable to equity holders of the Company’s consolidated subsidiaries that are not 100% owned ($4.4 million and $0.1 million for the three months ended June 30, 2022 and 2021, respectively).</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portion of fee-related earnings of our subsidiaries attributable to non-controlling interests.</w:t>
      </w:r>
    </w:p>
    <w:p>
      <w:pPr>
        <w:spacing w:after="0" w:line="9" w:lineRule="exact"/>
        <w:rPr>
          <w:rFonts w:ascii="Arial" w:cs="Arial" w:eastAsia="Arial" w:hAnsi="Arial"/>
          <w:sz w:val="18"/>
          <w:szCs w:val="18"/>
          <w:color w:val="auto"/>
        </w:rPr>
      </w:pPr>
    </w:p>
    <w:p>
      <w:pPr>
        <w:ind w:left="660" w:right="340" w:hanging="652"/>
        <w:spacing w:after="0" w:line="265"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Reflects components of pre-tax adjusted net income of our subsidiaries attributable to non-controlling interests other than fee-related earnings, including incentive fees and related compensation, realized investment income, net interest expense and other income (loss).</w:t>
      </w:r>
    </w:p>
    <w:p>
      <w:pPr>
        <w:ind w:left="660" w:right="20" w:hanging="652"/>
        <w:spacing w:after="0" w:line="295" w:lineRule="auto"/>
        <w:tabs>
          <w:tab w:leader="none" w:pos="654"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22.3% and 22.6% applied to pre-tax adjusted net income for the three months ended June 30, 2022 and 2021, respectively. The 22.3% rate for the three months ended June 30, 2022 is based on a federal statutory rate of 21.0% and a combined state, local and foreign rate net of federal benefits of 1.3%, and the 22.6% rate for the three months ended June 30, 2021 is based on a federal statutory rate of 21.0% and a combined state, local and foreign rate net of federal benefits of 1.6%.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2022 Compared to Three Months Ended June 30, 2021</w:t>
      </w:r>
    </w:p>
    <w:p>
      <w:pPr>
        <w:spacing w:after="0" w:line="216"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Adjusted revenues increased $54.1 million, or 40%, to $190.3 million for the three months ended June 30, 2022 as compared to the three months ended June 30, 2021, primarily reflecting increases in net management and advisory fees and realized carried interest allocation revenues.</w:t>
      </w:r>
    </w:p>
    <w:p>
      <w:pPr>
        <w:spacing w:after="0" w:line="18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ANI increased $6.6 million, or 16%, to $47.1 million for the three months ended June 30, 2022 as compared to the three months ended June 30, 2021, primarily due to the increase in FRE as discussed below. The increase was partially offset by lower net realized performance fee-related earnings (incentive fees, including the deferred portion, plus realized carried interest allocation revenues, less realized performance fee-related compensation) and a higher allocation of income to non-controlling interests.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420" w:firstLine="648"/>
        <w:spacing w:after="0" w:line="287" w:lineRule="auto"/>
        <w:rPr>
          <w:sz w:val="20"/>
          <w:szCs w:val="20"/>
          <w:color w:val="auto"/>
        </w:rPr>
      </w:pPr>
      <w:r>
        <w:rPr>
          <w:rFonts w:ascii="Arial" w:cs="Arial" w:eastAsia="Arial" w:hAnsi="Arial"/>
          <w:sz w:val="19"/>
          <w:szCs w:val="19"/>
          <w:color w:val="auto"/>
        </w:rPr>
        <w:t>The following table shows a reconciliation of diluted weighted-average shares of Class A common stock outstanding to adjusted shares outstanding used in the computation of ANI per share for the three months ended June 30,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40,533</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 outstanding – Basic</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61,144,139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39,042,497</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of RSUs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1,353,755</w:t>
            </w:r>
          </w:p>
        </w:tc>
        <w:tc>
          <w:tcPr>
            <w:tcW w:w="0" w:type="dxa"/>
            <w:vAlign w:val="bottom"/>
          </w:tcPr>
          <w:p>
            <w:pPr>
              <w:spacing w:after="0"/>
              <w:rPr>
                <w:sz w:val="1"/>
                <w:szCs w:val="1"/>
                <w:color w:val="auto"/>
              </w:rPr>
            </w:pPr>
          </w:p>
        </w:tc>
      </w:tr>
      <w:tr>
        <w:trPr>
          <w:trHeight w:val="230"/>
        </w:trPr>
        <w:tc>
          <w:tcPr>
            <w:tcW w:w="7620" w:type="dxa"/>
            <w:vAlign w:val="bottom"/>
          </w:tcPr>
          <w:p>
            <w:pPr>
              <w:ind w:left="460"/>
              <w:spacing w:after="0"/>
              <w:rPr>
                <w:sz w:val="20"/>
                <w:szCs w:val="20"/>
                <w:color w:val="auto"/>
              </w:rPr>
            </w:pPr>
            <w:r>
              <w:rPr>
                <w:rFonts w:ascii="Arial" w:cs="Arial" w:eastAsia="Arial" w:hAnsi="Arial"/>
                <w:sz w:val="18"/>
                <w:szCs w:val="18"/>
                <w:color w:val="auto"/>
              </w:rPr>
              <w:t>Assumed vesting and exchange of Class B2 units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2,448,833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2,488,979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Exchange of Class B units in the Partnership</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47,146,840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55,773,834</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Exchange of Class C units in the Partnership</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2,928,824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shares</w:t>
            </w: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114,466,962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98,659,065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Assumes the full exchange of Class B units in the Partnership for Class A common stock of SSG pursuant to the Class B Exchange Agreement.</w:t>
      </w:r>
    </w:p>
    <w:p>
      <w:pPr>
        <w:spacing w:after="0" w:line="32" w:lineRule="exact"/>
        <w:rPr>
          <w:rFonts w:ascii="Arial" w:cs="Arial" w:eastAsia="Arial" w:hAnsi="Arial"/>
          <w:sz w:val="16"/>
          <w:szCs w:val="16"/>
          <w:color w:val="auto"/>
        </w:rPr>
      </w:pPr>
    </w:p>
    <w:p>
      <w:pPr>
        <w:ind w:left="640" w:hanging="632"/>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Assumes the full exchange of Class C units in the Partnership for Class A common stock of SSG pursuant to the Class C Exchange Agreement.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b w:val="1"/>
          <w:bCs w:val="1"/>
          <w:color w:val="auto"/>
        </w:rPr>
        <w:t>Fee-Related Earnings</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i w:val="1"/>
          <w:iCs w:val="1"/>
          <w:color w:val="auto"/>
        </w:rPr>
        <w:t>Three Months Ended June 30, 2022 Compared to Three Months Ended June 30, 2021</w:t>
      </w:r>
    </w:p>
    <w:p>
      <w:pPr>
        <w:spacing w:after="0" w:line="216" w:lineRule="exact"/>
        <w:rPr>
          <w:sz w:val="20"/>
          <w:szCs w:val="20"/>
          <w:color w:val="auto"/>
        </w:rPr>
      </w:pPr>
    </w:p>
    <w:p>
      <w:pPr>
        <w:ind w:right="320" w:firstLine="648"/>
        <w:spacing w:after="0" w:line="269" w:lineRule="auto"/>
        <w:rPr>
          <w:sz w:val="20"/>
          <w:szCs w:val="20"/>
          <w:color w:val="auto"/>
        </w:rPr>
      </w:pPr>
      <w:r>
        <w:rPr>
          <w:rFonts w:ascii="Arial" w:cs="Arial" w:eastAsia="Arial" w:hAnsi="Arial"/>
          <w:sz w:val="19"/>
          <w:szCs w:val="19"/>
          <w:color w:val="auto"/>
        </w:rPr>
        <w:t>FRE increased $13.5 million, or 58%, to $36.6 million for the three months ended June 30, 2022 as compared to the three months ended June 30, 2021, primarily reflecting higher net management and advisory fees, partially offset by higher adjusted cash-based compensation, adjusted equity-based compensation and adjusted general, administrative and other expenses.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Reconciliation of GAAP to 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308,605</w:t>
            </w: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(176,399)</w:t>
            </w:r>
          </w:p>
        </w:tc>
      </w:tr>
      <w:tr>
        <w:trPr>
          <w:trHeight w:val="229"/>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r>
      <w:tr>
        <w:trPr>
          <w:trHeight w:val="229"/>
        </w:trPr>
        <w:tc>
          <w:tcPr>
            <w:tcW w:w="7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Legacy Greenspring carried interest allocations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expenses to adjusted expenses.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Cash-based compensation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42,671</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cash-based compensation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equity-based compensation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w:t>
            </w:r>
          </w:p>
        </w:tc>
      </w:tr>
      <w:tr>
        <w:trPr>
          <w:trHeight w:val="230"/>
        </w:trPr>
        <w:tc>
          <w:tcPr>
            <w:tcW w:w="768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general, administrative and other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w:t>
      </w:r>
    </w:p>
    <w:p>
      <w:pPr>
        <w:spacing w:after="0" w:line="27"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removal of severance and compensation paid to certain employees as part of an acquisition earn-out.</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removal of equity-based compensation for awards granted prior to and in connection with the IPO.</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removal of amortization of intangibles, transaction-related costs and other non-core operating income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(loss) before income tax to ANI and FRE.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140,942</w:t>
            </w:r>
          </w:p>
        </w:tc>
      </w:tr>
      <w:tr>
        <w:trPr>
          <w:trHeight w:val="229"/>
        </w:trPr>
        <w:tc>
          <w:tcPr>
            <w:tcW w:w="7680" w:type="dxa"/>
            <w:vAlign w:val="bottom"/>
          </w:tcPr>
          <w:p>
            <w:pPr>
              <w:ind w:left="460"/>
              <w:spacing w:after="0" w:line="230" w:lineRule="exact"/>
              <w:rPr>
                <w:sz w:val="20"/>
                <w:szCs w:val="20"/>
                <w:color w:val="auto"/>
              </w:rPr>
            </w:pPr>
            <w:r>
              <w:rPr>
                <w:rFonts w:ascii="Arial" w:cs="Arial" w:eastAsia="Arial" w:hAnsi="Arial"/>
                <w:sz w:val="18"/>
                <w:szCs w:val="18"/>
                <w:color w:val="auto"/>
              </w:rPr>
              <w:t>Net income attributable to non-controlling interests in subsidiaries</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(5,720)</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attributable to non-controlling interests in legacy Greenspring entities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(176,399)</w:t>
            </w:r>
          </w:p>
        </w:tc>
      </w:tr>
      <w:tr>
        <w:trPr>
          <w:trHeight w:val="229"/>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performance fee-related compensation</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85,572</w:t>
            </w: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Unrealized investment (income) loss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(4,013)</w:t>
            </w:r>
          </w:p>
        </w:tc>
      </w:tr>
      <w:tr>
        <w:trPr>
          <w:trHeight w:val="229"/>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r>
      <w:tr>
        <w:trPr>
          <w:trHeight w:val="229"/>
        </w:trPr>
        <w:tc>
          <w:tcPr>
            <w:tcW w:w="7680" w:type="dxa"/>
            <w:vAlign w:val="bottom"/>
          </w:tcPr>
          <w:p>
            <w:pPr>
              <w:ind w:left="4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3,635</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adjusted net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52,334</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40,533</w:t>
            </w:r>
          </w:p>
        </w:tc>
      </w:tr>
      <w:tr>
        <w:trPr>
          <w:trHeight w:val="229"/>
        </w:trPr>
        <w:tc>
          <w:tcPr>
            <w:tcW w:w="7680" w:type="dxa"/>
            <w:vAlign w:val="bottom"/>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11,801</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carried interest allocations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(49,963)</w:t>
            </w:r>
          </w:p>
        </w:tc>
      </w:tr>
      <w:tr>
        <w:trPr>
          <w:trHeight w:val="229"/>
        </w:trPr>
        <w:tc>
          <w:tcPr>
            <w:tcW w:w="7680" w:type="dxa"/>
            <w:vAlign w:val="bottom"/>
          </w:tcPr>
          <w:p>
            <w:pPr>
              <w:ind w:left="460"/>
              <w:spacing w:after="0" w:line="230" w:lineRule="exact"/>
              <w:rPr>
                <w:sz w:val="20"/>
                <w:szCs w:val="20"/>
                <w:color w:val="auto"/>
              </w:rPr>
            </w:pPr>
            <w:r>
              <w:rPr>
                <w:rFonts w:ascii="Arial" w:cs="Arial" w:eastAsia="Arial" w:hAnsi="Arial"/>
                <w:sz w:val="18"/>
                <w:szCs w:val="18"/>
                <w:color w:val="auto"/>
              </w:rPr>
              <w:t>Realized performance fee-related compensation</w:t>
            </w:r>
            <w:r>
              <w:rPr>
                <w:rFonts w:ascii="Arial" w:cs="Arial" w:eastAsia="Arial" w:hAnsi="Arial"/>
                <w:sz w:val="23"/>
                <w:szCs w:val="23"/>
                <w:color w:val="auto"/>
                <w:vertAlign w:val="superscript"/>
              </w:rPr>
              <w:t>(5)</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25,308</w:t>
            </w:r>
          </w:p>
        </w:tc>
      </w:tr>
      <w:tr>
        <w:trPr>
          <w:trHeight w:val="229"/>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investment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Incentive fees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680" w:type="dxa"/>
            <w:vAlign w:val="bottom"/>
          </w:tcPr>
          <w:p>
            <w:pPr>
              <w:ind w:left="460"/>
              <w:spacing w:after="0"/>
              <w:rPr>
                <w:sz w:val="20"/>
                <w:szCs w:val="20"/>
                <w:color w:val="auto"/>
              </w:rPr>
            </w:pPr>
            <w:r>
              <w:rPr>
                <w:rFonts w:ascii="Arial" w:cs="Arial" w:eastAsia="Arial" w:hAnsi="Arial"/>
                <w:sz w:val="18"/>
                <w:szCs w:val="18"/>
                <w:color w:val="auto"/>
              </w:rPr>
              <w:t>Other loss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Net income attributable to non-controlling interests in subsidiaries</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Fee-related earnings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23,127</w:t>
            </w: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portion of pre-tax adjusted net income of our subsidiaries attributable to non-controlling interests.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prior to and in connection with the IPO.</w:t>
      </w:r>
    </w:p>
    <w:p>
      <w:pPr>
        <w:spacing w:after="0" w:line="9" w:lineRule="exact"/>
        <w:rPr>
          <w:rFonts w:ascii="Arial" w:cs="Arial" w:eastAsia="Arial" w:hAnsi="Arial"/>
          <w:sz w:val="18"/>
          <w:szCs w:val="18"/>
          <w:color w:val="auto"/>
        </w:rPr>
      </w:pPr>
    </w:p>
    <w:p>
      <w:pPr>
        <w:ind w:left="660" w:right="12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transaction costs ($3.5 million for the three months ended June 30, 2021), severance costs ($0.1 million for the three months ended June 30, 2021), loss on change in fair value for contingent consideration obligation ($3.3 million for the three months ended June 30, 2022), compensation paid to certain employees as part of an acquisition earn-out ($0.6 million for the three months ended June 30, 2022) and other non-core operating income and expenses.</w:t>
      </w:r>
    </w:p>
    <w:p>
      <w:pPr>
        <w:spacing w:after="0" w:line="1" w:lineRule="exact"/>
        <w:rPr>
          <w:rFonts w:ascii="Arial" w:cs="Arial" w:eastAsia="Arial" w:hAnsi="Arial"/>
          <w:sz w:val="18"/>
          <w:szCs w:val="18"/>
          <w:color w:val="auto"/>
        </w:rPr>
      </w:pPr>
    </w:p>
    <w:p>
      <w:pPr>
        <w:ind w:left="660" w:right="20" w:hanging="652"/>
        <w:spacing w:after="0" w:line="281" w:lineRule="auto"/>
        <w:tabs>
          <w:tab w:leader="none" w:pos="654"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22.3% and 22.6% applied to pre-tax adjusted net income for the three months ended June 30, 2022 and 2021, respectively. The 22.3% rate for the three months ended June 30, 2022 is based on a federal statutory rate of 21.0% and a combined state, local and foreign rate net of federal benefits of 1.3%, and the 22.6% rate for the three months ended June 30, 2021 is based on a federal statutory rate of 21.0% and a combined state, local and foreign rate net of federal benefits of 1.6%.</w:t>
      </w:r>
    </w:p>
    <w:p>
      <w:pPr>
        <w:spacing w:after="0" w:line="2" w:lineRule="exact"/>
        <w:rPr>
          <w:rFonts w:ascii="Arial" w:cs="Arial" w:eastAsia="Arial" w:hAnsi="Arial"/>
          <w:sz w:val="16"/>
          <w:szCs w:val="16"/>
          <w:color w:val="auto"/>
        </w:rPr>
      </w:pPr>
    </w:p>
    <w:p>
      <w:pPr>
        <w:jc w:val="both"/>
        <w:ind w:left="660" w:right="20" w:hanging="652"/>
        <w:spacing w:after="0" w:line="255"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carried interest-related compensation expense related to the portion of net carried interest allocation revenue attributable to equity holders of the Company’s consolidated subsidiaries that are not 100% owned ($4.4 million and $0.1 million for the three months ended June 30, 2022 and 2021,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22"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March 31, 2022 and have not been adjusted to reflect acquisitions or disposals of investments subsequent to that date.</w:t>
      </w:r>
    </w:p>
    <w:p>
      <w:pPr>
        <w:spacing w:after="0" w:line="191"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7"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15"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15"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5" w:lineRule="exact"/>
        <w:rPr>
          <w:rFonts w:ascii="Arial" w:cs="Arial" w:eastAsia="Arial" w:hAnsi="Arial"/>
          <w:sz w:val="20"/>
          <w:szCs w:val="20"/>
          <w:color w:val="auto"/>
        </w:rPr>
      </w:pPr>
    </w:p>
    <w:p>
      <w:pPr>
        <w:ind w:left="660" w:right="340" w:hanging="328"/>
        <w:spacing w:after="0" w:line="316"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w:t>
      </w:r>
    </w:p>
    <w:p>
      <w:pPr>
        <w:spacing w:after="0" w:line="216" w:lineRule="exact"/>
        <w:rPr>
          <w:sz w:val="20"/>
          <w:szCs w:val="20"/>
          <w:color w:val="auto"/>
        </w:rPr>
      </w:pPr>
    </w:p>
    <w:p>
      <w:pPr>
        <w:ind w:left="660" w:right="100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176"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March 31, 2022;</w:t>
      </w:r>
    </w:p>
    <w:p>
      <w:pPr>
        <w:spacing w:after="0" w:line="176" w:lineRule="exact"/>
        <w:rPr>
          <w:rFonts w:ascii="Arial" w:cs="Arial" w:eastAsia="Arial" w:hAnsi="Arial"/>
          <w:sz w:val="20"/>
          <w:szCs w:val="20"/>
          <w:color w:val="auto"/>
        </w:rPr>
      </w:pPr>
    </w:p>
    <w:p>
      <w:pPr>
        <w:ind w:left="660" w:right="260" w:hanging="328"/>
        <w:spacing w:after="0" w:line="316"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“IRR” refers to the annualized internal rate of return for all investments within the relevant investment strategy on an inception-to-date basis as of March 31, 2022 (except as noted otherwise below), based on contributions, distributions and unrealized value;</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 and</w:t>
      </w:r>
    </w:p>
    <w:p>
      <w:pPr>
        <w:spacing w:after="0" w:line="215"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StepStone Performance Summary by Asset Class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28"/>
              <w:spacing w:after="0" w:line="135"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68"/>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IRR</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(1,3)</w:t>
            </w:r>
          </w:p>
        </w:tc>
        <w:tc>
          <w:tcPr>
            <w:tcW w:w="940" w:type="dxa"/>
            <w:vAlign w:val="bottom"/>
            <w:shd w:val="clear" w:color="auto" w:fill="CCEEFF"/>
          </w:tcPr>
          <w:p>
            <w:pPr>
              <w:jc w:val="center"/>
              <w:ind w:left="228"/>
              <w:spacing w:after="0" w:line="189" w:lineRule="exact"/>
              <w:rPr>
                <w:sz w:val="20"/>
                <w:szCs w:val="20"/>
                <w:color w:val="auto"/>
              </w:rPr>
            </w:pPr>
            <w:r>
              <w:rPr>
                <w:rFonts w:ascii="Arial" w:cs="Arial" w:eastAsia="Arial" w:hAnsi="Arial"/>
                <w:sz w:val="14"/>
                <w:szCs w:val="14"/>
                <w:b w:val="1"/>
                <w:bCs w:val="1"/>
                <w:color w:val="auto"/>
                <w:w w:val="92"/>
              </w:rPr>
              <w:t>IRR</w:t>
            </w:r>
            <w:r>
              <w:rPr>
                <w:rFonts w:ascii="Arial" w:cs="Arial" w:eastAsia="Arial" w:hAnsi="Arial"/>
                <w:sz w:val="18"/>
                <w:szCs w:val="18"/>
                <w:b w:val="1"/>
                <w:bCs w:val="1"/>
                <w:color w:val="auto"/>
                <w:w w:val="92"/>
                <w:vertAlign w:val="superscript"/>
              </w:rPr>
              <w:t>(2)</w:t>
            </w:r>
          </w:p>
        </w:tc>
        <w:tc>
          <w:tcPr>
            <w:tcW w:w="7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(2)</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(3,4)</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(2)</w:t>
            </w: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(2)</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(3,5)</w:t>
            </w:r>
          </w:p>
        </w:tc>
        <w:tc>
          <w:tcPr>
            <w:tcW w:w="620" w:type="dxa"/>
            <w:vAlign w:val="bottom"/>
            <w:gridSpan w:val="2"/>
            <w:shd w:val="clear" w:color="auto" w:fill="CCEEFF"/>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(2)</w:t>
            </w:r>
          </w:p>
        </w:tc>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(3,7)</w:t>
            </w: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0"/>
              </w:rPr>
              <w:t>19.3%</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1.7x</w:t>
            </w:r>
          </w:p>
        </w:tc>
        <w:tc>
          <w:tcPr>
            <w:tcW w:w="8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9.4%</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1.6x</w:t>
            </w:r>
          </w:p>
        </w:tc>
        <w:tc>
          <w:tcPr>
            <w:tcW w:w="100" w:type="dxa"/>
            <w:vAlign w:val="bottom"/>
            <w:tcBorders>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w w:val="95"/>
              </w:rPr>
              <w:t>12.3%</w:t>
            </w:r>
          </w:p>
        </w:tc>
        <w:tc>
          <w:tcPr>
            <w:tcW w:w="10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7.7%</w:t>
            </w:r>
          </w:p>
        </w:tc>
        <w:tc>
          <w:tcPr>
            <w:tcW w:w="0" w:type="dxa"/>
            <w:vAlign w:val="bottom"/>
          </w:tcPr>
          <w:p>
            <w:pPr>
              <w:spacing w:after="0"/>
              <w:rPr>
                <w:sz w:val="1"/>
                <w:szCs w:val="1"/>
                <w:color w:val="auto"/>
              </w:rPr>
            </w:pPr>
          </w:p>
        </w:tc>
      </w:tr>
      <w:tr>
        <w:trPr>
          <w:trHeight w:val="128"/>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0"/>
              </w:rPr>
              <w:t>20.5%</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1.6x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10.7%</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68"/>
              <w:spacing w:after="0"/>
              <w:rPr>
                <w:sz w:val="20"/>
                <w:szCs w:val="20"/>
                <w:color w:val="auto"/>
              </w:rPr>
            </w:pPr>
            <w:r>
              <w:rPr>
                <w:rFonts w:ascii="Arial" w:cs="Arial" w:eastAsia="Arial" w:hAnsi="Arial"/>
                <w:sz w:val="14"/>
                <w:szCs w:val="14"/>
                <w:color w:val="auto"/>
                <w:w w:val="95"/>
              </w:rPr>
              <w:t>15.1%</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10.7%</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w w:val="90"/>
              </w:rPr>
              <w:t>23.4%</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1.8x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6.3%</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1.2x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9.2%</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9.4%</w:t>
            </w:r>
          </w:p>
        </w:tc>
        <w:tc>
          <w:tcPr>
            <w:tcW w:w="0" w:type="dxa"/>
            <w:vAlign w:val="bottom"/>
          </w:tcPr>
          <w:p>
            <w:pPr>
              <w:spacing w:after="0"/>
              <w:rPr>
                <w:sz w:val="1"/>
                <w:szCs w:val="1"/>
                <w:color w:val="auto"/>
              </w:rPr>
            </w:pPr>
          </w:p>
        </w:tc>
      </w:tr>
      <w:tr>
        <w:trPr>
          <w:trHeight w:val="189"/>
        </w:trPr>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16.5%</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record</w:t>
            </w:r>
            <w:r>
              <w:rPr>
                <w:rFonts w:ascii="Arial" w:cs="Arial" w:eastAsia="Arial" w:hAnsi="Arial"/>
                <w:sz w:val="18"/>
                <w:szCs w:val="18"/>
                <w:b w:val="1"/>
                <w:bCs w:val="1"/>
                <w:color w:val="auto"/>
                <w:vertAlign w:val="superscript"/>
              </w:rPr>
              <w:t>(8)</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7.9%</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160" w:hanging="652"/>
        <w:spacing w:after="0" w:line="265" w:lineRule="auto"/>
        <w:tabs>
          <w:tab w:leader="none" w:pos="6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Private Equity includes 1,349 investments totaling $134.4 billion of capital commitments and excludes (i) two advisory co-investments and 171 client-directed investments, totaling $100.0 million and $20.9 billion, respectively, of capital commitments, (ii) investments for which StepStone does not provide monitoring and reporting services to the client that made the investment, and (iii) Greenspring investments until the data integration is completed. Investment returns are calculated on a constant currency adjusted reporting basis converting non-USD investment cash flows and NAVs to USD using the foreign currency exchange rate corresponding to each client’s first cash flow date.</w:t>
      </w:r>
    </w:p>
    <w:p>
      <w:pPr>
        <w:ind w:left="660" w:right="180" w:hanging="652"/>
        <w:spacing w:after="0" w:line="250"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1" w:lineRule="exact"/>
        <w:rPr>
          <w:rFonts w:ascii="Arial" w:cs="Arial" w:eastAsia="Arial" w:hAnsi="Arial"/>
          <w:sz w:val="18"/>
          <w:szCs w:val="18"/>
          <w:color w:val="auto"/>
        </w:rPr>
      </w:pPr>
    </w:p>
    <w:p>
      <w:pPr>
        <w:ind w:left="1300" w:right="360" w:hanging="644"/>
        <w:spacing w:after="0" w:line="250" w:lineRule="auto"/>
        <w:tabs>
          <w:tab w:leader="none" w:pos="12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5 basis points of capital commitments for fund expenses, and 1 basis point of capital commitments drawn down in the first cash flow quarter for organizational costs.</w:t>
      </w:r>
    </w:p>
    <w:p>
      <w:pPr>
        <w:ind w:left="1300" w:right="40" w:hanging="644"/>
        <w:spacing w:after="0" w:line="281" w:lineRule="auto"/>
        <w:tabs>
          <w:tab w:leader="none" w:pos="1296" w:val="left"/>
        </w:tabs>
        <w:numPr>
          <w:ilvl w:val="1"/>
          <w:numId w:val="32"/>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ind w:left="1300" w:hanging="644"/>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 5 basis points of capital commitments for fund expenses,</w:t>
      </w:r>
    </w:p>
    <w:p>
      <w:pPr>
        <w:spacing w:after="0" w:line="32" w:lineRule="exact"/>
        <w:rPr>
          <w:sz w:val="20"/>
          <w:szCs w:val="20"/>
          <w:color w:val="auto"/>
        </w:rPr>
      </w:pPr>
    </w:p>
    <w:p>
      <w:pPr>
        <w:ind w:left="1300" w:right="100"/>
        <w:spacing w:after="0" w:line="281" w:lineRule="auto"/>
        <w:rPr>
          <w:sz w:val="20"/>
          <w:szCs w:val="20"/>
          <w:color w:val="auto"/>
        </w:rPr>
      </w:pPr>
      <w:r>
        <w:rPr>
          <w:rFonts w:ascii="Arial" w:cs="Arial" w:eastAsia="Arial" w:hAnsi="Arial"/>
          <w:sz w:val="16"/>
          <w:szCs w:val="16"/>
          <w:color w:val="auto"/>
        </w:rPr>
        <w:t>and 1 basis point of capital commitments drawn down in the first cash flow quarter for organizational costs. Co-investments also include 10.0% of paid and unrealized carry (15.0% of paid and unrealized carry for Real Estate), with an 8% preferred return hurdle.</w:t>
      </w:r>
    </w:p>
    <w:p>
      <w:pPr>
        <w:spacing w:after="0" w:line="1" w:lineRule="exact"/>
        <w:rPr>
          <w:sz w:val="20"/>
          <w:szCs w:val="20"/>
          <w:color w:val="auto"/>
        </w:rPr>
      </w:pPr>
    </w:p>
    <w:p>
      <w:pPr>
        <w:ind w:left="660" w:right="420"/>
        <w:spacing w:after="0" w:line="250"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March 31, 2022, as reported by underlying managers up to 100 days following March 31, 2022. For investment returns where NAV data is not available by 100 days following March 31, 2022, such NAVs are adjusted for cash activity following the last available reported NAV.</w:t>
      </w:r>
    </w:p>
    <w:p>
      <w:pPr>
        <w:spacing w:after="0" w:line="2" w:lineRule="exact"/>
        <w:rPr>
          <w:sz w:val="20"/>
          <w:szCs w:val="20"/>
          <w:color w:val="auto"/>
        </w:rPr>
      </w:pPr>
    </w:p>
    <w:p>
      <w:pPr>
        <w:ind w:left="660" w:right="40" w:hanging="652"/>
        <w:spacing w:after="0" w:line="253"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left="660" w:right="100" w:hanging="652"/>
        <w:spacing w:after="0" w:line="268" w:lineRule="auto"/>
        <w:tabs>
          <w:tab w:leader="none" w:pos="654"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Real Estate includes 440 investments totaling $66.4 billion of capital commitments and excludes (i) 57 client-directed investments, totaling $8.9 billion of capital commitments, (ii) eight secondary core/core+ investments, totaling $691.6 million, (iii) four advisory fund investments totaling $463.6 million, and (iv)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Includes the discretionary track record of Courtland Partners, Ltd., which StepStone acquired on April 1, 2018 (the “Courtland acquisition”).</w:t>
      </w:r>
    </w:p>
    <w:p>
      <w:pPr>
        <w:ind w:left="660" w:right="20" w:hanging="652"/>
        <w:spacing w:after="0" w:line="250"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Infrastructure includes 188 investments totaling $39.0 billion of capital commitments and excludes (i) approximately 11 infrastructure investments made by the Partnership prior to the formation of the Infrastructure subsidiary in 2013 or made prior to the Courtland acquisition, and 18 client-directed investments, totaling $501.9 million and $1.4 billion, respectively,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spacing w:after="0" w:line="9" w:lineRule="exact"/>
        <w:rPr>
          <w:rFonts w:ascii="Arial" w:cs="Arial" w:eastAsia="Arial" w:hAnsi="Arial"/>
          <w:sz w:val="18"/>
          <w:szCs w:val="18"/>
          <w:color w:val="auto"/>
        </w:rPr>
      </w:pPr>
    </w:p>
    <w:p>
      <w:pPr>
        <w:ind w:left="660" w:hanging="652"/>
        <w:spacing w:after="0" w:line="265" w:lineRule="auto"/>
        <w:tabs>
          <w:tab w:leader="none" w:pos="654"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Private Debt includes 725 investments totaling $33.5 billion of capital commitments and excludes (i) 30 client-directed investments, totaling $2.4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StepStone fees and expenses are based on the following assumptions (management fees represent an annual rate): Private Debt fund investments include 65 basis points on the quarterly net asset value for management fee. Net IRR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March 31, 2022, as reported by underlying managers up to 100 days following March 31, 2022. For investment returns where NAV data is not available by 100 days following March 31, 2022, such NAVs are adjusted for cash activity following the last available reported NAV.</w:t>
      </w:r>
    </w:p>
    <w:p>
      <w:pPr>
        <w:spacing w:after="0" w:line="1" w:lineRule="exact"/>
        <w:rPr>
          <w:rFonts w:ascii="Arial" w:cs="Arial" w:eastAsia="Arial" w:hAnsi="Arial"/>
          <w:sz w:val="17"/>
          <w:szCs w:val="17"/>
          <w:color w:val="auto"/>
        </w:rPr>
      </w:pPr>
    </w:p>
    <w:p>
      <w:pPr>
        <w:ind w:left="660" w:right="600" w:hanging="652"/>
        <w:spacing w:after="0" w:line="250"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ind w:left="660" w:right="180" w:hanging="652"/>
        <w:spacing w:after="0" w:line="260"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includes mezzanine debt, infrastructure debt, collateralized loan obligations, private performing debt, senior/enhanced senior debt, fund of funds, leasing, regulatory capital, trade finance and intellectual property/royalty.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160" w:firstLine="648"/>
        <w:spacing w:after="0" w:line="244" w:lineRule="auto"/>
        <w:rPr>
          <w:sz w:val="20"/>
          <w:szCs w:val="20"/>
          <w:color w:val="auto"/>
        </w:rPr>
      </w:pPr>
      <w:r>
        <w:rPr>
          <w:rFonts w:ascii="Arial" w:cs="Arial" w:eastAsia="Arial" w:hAnsi="Arial"/>
          <w:sz w:val="20"/>
          <w:szCs w:val="20"/>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and acquisitions to expand into new businesses.</w:t>
      </w:r>
    </w:p>
    <w:p>
      <w:pPr>
        <w:spacing w:after="0" w:line="194" w:lineRule="exact"/>
        <w:rPr>
          <w:sz w:val="20"/>
          <w:szCs w:val="20"/>
          <w:color w:val="auto"/>
        </w:rPr>
      </w:pPr>
    </w:p>
    <w:p>
      <w:pPr>
        <w:jc w:val="both"/>
        <w:ind w:right="420" w:firstLine="648"/>
        <w:spacing w:after="0" w:line="250" w:lineRule="auto"/>
        <w:rPr>
          <w:sz w:val="20"/>
          <w:szCs w:val="20"/>
          <w:color w:val="auto"/>
        </w:rPr>
      </w:pPr>
      <w:r>
        <w:rPr>
          <w:rFonts w:ascii="Arial" w:cs="Arial" w:eastAsia="Arial" w:hAnsi="Arial"/>
          <w:sz w:val="20"/>
          <w:szCs w:val="20"/>
          <w:color w:val="auto"/>
        </w:rPr>
        <w:t>As of June 30, 2022, we had $107.3 million of cash, cash equivalents and restricted cash and $1,474.4 million of investments in StepStone Funds, including $1,366.3 million of accrued carried interest allocations, against $63.0 million in debt obligations, net of debt issuance costs, and $728.9 million in accrued carried interest-related compensation payable.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1"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June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75,729</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(5,660)</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(31,153)</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16" w:lineRule="exact"/>
        <w:rPr>
          <w:sz w:val="20"/>
          <w:szCs w:val="20"/>
          <w:color w:val="auto"/>
        </w:rPr>
      </w:pPr>
    </w:p>
    <w:p>
      <w:pPr>
        <w:jc w:val="both"/>
        <w:ind w:right="880" w:firstLine="648"/>
        <w:spacing w:after="0" w:line="385" w:lineRule="auto"/>
        <w:rPr>
          <w:sz w:val="20"/>
          <w:szCs w:val="20"/>
          <w:color w:val="auto"/>
        </w:rPr>
      </w:pPr>
      <w:r>
        <w:rPr>
          <w:rFonts w:ascii="Arial" w:cs="Arial" w:eastAsia="Arial" w:hAnsi="Arial"/>
          <w:sz w:val="16"/>
          <w:szCs w:val="16"/>
          <w:color w:val="auto"/>
        </w:rPr>
        <w:t>Operating activities provided $57.5 million and $75.7 million of cash for the three months ended June 30, 2022 and 2021, respectively. For the three months ended June 30, 2022 and 2021, respectively, these amounts primarily consisted of the following:</w:t>
      </w:r>
    </w:p>
    <w:p>
      <w:pPr>
        <w:spacing w:after="0" w:line="85" w:lineRule="exact"/>
        <w:rPr>
          <w:sz w:val="20"/>
          <w:szCs w:val="20"/>
          <w:color w:val="auto"/>
        </w:rPr>
      </w:pPr>
    </w:p>
    <w:p>
      <w:pPr>
        <w:jc w:val="both"/>
        <w:ind w:left="980" w:right="80" w:hanging="324"/>
        <w:spacing w:after="0" w:line="250" w:lineRule="auto"/>
        <w:tabs>
          <w:tab w:leader="none" w:pos="968" w:val="left"/>
        </w:tabs>
        <w:numPr>
          <w:ilvl w:val="0"/>
          <w:numId w:val="35"/>
        </w:numPr>
        <w:rPr>
          <w:rFonts w:ascii="Arial" w:cs="Arial" w:eastAsia="Arial" w:hAnsi="Arial"/>
          <w:sz w:val="20"/>
          <w:szCs w:val="20"/>
          <w:color w:val="auto"/>
        </w:rPr>
      </w:pPr>
      <w:r>
        <w:rPr>
          <w:rFonts w:ascii="Arial" w:cs="Arial" w:eastAsia="Arial" w:hAnsi="Arial"/>
          <w:sz w:val="20"/>
          <w:szCs w:val="20"/>
          <w:color w:val="auto"/>
        </w:rPr>
        <w:t>net income (loss), after adjustments for non-cash items (including unrealized carried interest allocations, unrealized performance fee-related compensation, unrealized investment income and acquisition-related contingent consideration), of $67.0 million and $49.6 million; and</w:t>
      </w:r>
    </w:p>
    <w:p>
      <w:pPr>
        <w:spacing w:after="0" w:line="185" w:lineRule="exact"/>
        <w:rPr>
          <w:rFonts w:ascii="Arial" w:cs="Arial" w:eastAsia="Arial" w:hAnsi="Arial"/>
          <w:sz w:val="20"/>
          <w:szCs w:val="20"/>
          <w:color w:val="auto"/>
        </w:rPr>
      </w:pPr>
    </w:p>
    <w:p>
      <w:pPr>
        <w:ind w:left="960" w:hanging="304"/>
        <w:spacing w:after="0"/>
        <w:tabs>
          <w:tab w:leader="none" w:pos="9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$(9.5) million and $26.2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Investing activities used $7.6 million and $5.7 million of cash for the three months ended June 30, 2022 and 2021, respectively, and primarily consisted of the following amounts:</w:t>
      </w:r>
    </w:p>
    <w:p>
      <w:pPr>
        <w:spacing w:after="0" w:line="177" w:lineRule="exact"/>
        <w:rPr>
          <w:sz w:val="20"/>
          <w:szCs w:val="20"/>
          <w:color w:val="auto"/>
        </w:rPr>
      </w:pPr>
    </w:p>
    <w:p>
      <w:pPr>
        <w:ind w:left="960" w:hanging="304"/>
        <w:spacing w:after="0"/>
        <w:tabs>
          <w:tab w:leader="none" w:pos="9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net contributions to investments of $4.2 million and $4.5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net contributions to investments in legacy Greenspring entities of $3.1 million and $0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purchases of fixed assets of $0.3 million and $1.2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Financing Activities</w:t>
      </w:r>
    </w:p>
    <w:p>
      <w:pPr>
        <w:spacing w:after="0" w:line="216"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Financing activities used $60.7 million and $31.2 million of cash for the three months ended June 30, 2022 and 2021, respectively, and primarily consisted of the following:</w:t>
      </w:r>
    </w:p>
    <w:p>
      <w:pPr>
        <w:spacing w:after="0" w:line="177" w:lineRule="exact"/>
        <w:rPr>
          <w:sz w:val="20"/>
          <w:szCs w:val="20"/>
          <w:color w:val="auto"/>
        </w:rPr>
      </w:pPr>
    </w:p>
    <w:p>
      <w:pPr>
        <w:ind w:left="960" w:hanging="304"/>
        <w:spacing w:after="0"/>
        <w:tabs>
          <w:tab w:leader="none" w:pos="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payment of deferred offering costs of $0 million and $1.1 million;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1" w:lineRule="exact"/>
        <w:rPr>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distributions to non-controlling interests of $45.2 million and $29.5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proceeds from capital contributions to legacy Greenspring entities of $5.0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distributions to non-controlling interests in legacy Greenspring entities of $3.5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dividends paid to common stockholders of $12.2 million and $0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payments to related parties under the Tax Receivable Agreements of $4.8 million and $0.6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September 2021, we entered into the Credit Agreement in connection with the Greenspring acquisition. The Credit Agreement was arranged by JPMorgan Chase Bank, N.A., as administrative agent, and provides for a $225.0 million multicurrency Revolver with a five-year maturity. As of June 30, 2022, we had $63.0 million outstanding on the Revolver, net of debt issuance costs.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Borrowings under the Revolver bear interest at a variable rate per annum. We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interest rate in effect for the Revolver as of June 30, 2022 was 3.69%.</w:t>
      </w:r>
    </w:p>
    <w:p>
      <w:pPr>
        <w:spacing w:after="0" w:line="170"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June 30, 2022, we were in compliance with the total net leverage ratio and minimum fee-earning assets under management covenants.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We can use available funding capacity under the Revolver to satisfy letters of credit in amounts up to $10.0 million. Amounts used to satisfy the letters of credit reduce the available capacity under the Revolver. As of June 30, 2022, we had outstanding letters of credit totaling $2.6 million.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In June 2022, we issued 257,776 shares of Class A common stock to certain limited partners of the Partnership in exchange for 257,776 Class B units. A corresponding number of shares of Class B common stock were automatically redeemed at par value and canceled in connection with such exchange and a corresponding number of Class A units of the Partnership were issued to us.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16"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On August 4, 2022, we announced a dividend of $0.20 per share of Class A common stock, payable on September 15, 2022 to holders of record at the close of business on August 31, 2022.</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regarding cash quarterly dividends on Class A common shares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Quarterly Fiscal Period</w:t>
            </w:r>
            <w:r>
              <w:rPr>
                <w:rFonts w:ascii="Arial" w:cs="Arial" w:eastAsia="Arial" w:hAnsi="Arial"/>
                <w:sz w:val="23"/>
                <w:szCs w:val="23"/>
                <w:b w:val="1"/>
                <w:bCs w:val="1"/>
                <w:color w:val="auto"/>
                <w:w w:val="91"/>
                <w:vertAlign w:val="superscript"/>
              </w:rPr>
              <w:t>1</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Dividend Payment Date</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Dividend Per Share of Class A Common Stock</w:t>
            </w:r>
          </w:p>
        </w:tc>
      </w:tr>
      <w:tr>
        <w:trPr>
          <w:trHeight w:val="223"/>
        </w:trPr>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First quarter</w:t>
            </w:r>
          </w:p>
        </w:tc>
        <w:tc>
          <w:tcPr>
            <w:tcW w:w="14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July 15, 2021</w:t>
            </w:r>
          </w:p>
        </w:tc>
        <w:tc>
          <w:tcPr>
            <w:tcW w:w="1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15, 2021</w:t>
            </w:r>
          </w:p>
        </w:tc>
        <w:tc>
          <w:tcPr>
            <w:tcW w:w="16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Third quarter</w:t>
            </w: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December 15, 2021</w:t>
            </w:r>
          </w:p>
        </w:tc>
        <w:tc>
          <w:tcPr>
            <w:tcW w:w="16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29"/>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March 15, 2022</w:t>
            </w:r>
          </w:p>
        </w:tc>
        <w:tc>
          <w:tcPr>
            <w:tcW w:w="16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FY2022</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First quarter</w:t>
            </w: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June 30, 2022</w:t>
            </w: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3"/>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Total dividends paid in FY2023</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Dividends paid, as reported in this table, relate to the preceding quarterly period in which they were earned.</w:t>
      </w:r>
    </w:p>
    <w:p>
      <w:pPr>
        <w:spacing w:after="0" w:line="208" w:lineRule="exact"/>
        <w:rPr>
          <w:sz w:val="20"/>
          <w:szCs w:val="20"/>
          <w:color w:val="auto"/>
        </w:rPr>
      </w:pPr>
    </w:p>
    <w:p>
      <w:pPr>
        <w:ind w:right="80" w:firstLine="648"/>
        <w:spacing w:after="0" w:line="230" w:lineRule="auto"/>
        <w:rPr>
          <w:sz w:val="20"/>
          <w:szCs w:val="20"/>
          <w:color w:val="auto"/>
        </w:rPr>
      </w:pPr>
      <w:r>
        <w:rPr>
          <w:rFonts w:ascii="Arial" w:cs="Arial" w:eastAsia="Arial" w:hAnsi="Arial"/>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16"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Critical Accounting Policies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5" w:lineRule="exact"/>
        <w:rPr>
          <w:sz w:val="20"/>
          <w:szCs w:val="20"/>
          <w:color w:val="auto"/>
        </w:rPr>
      </w:pPr>
    </w:p>
    <w:p>
      <w:pPr>
        <w:ind w:right="100" w:firstLine="648"/>
        <w:spacing w:after="0" w:line="385" w:lineRule="auto"/>
        <w:rPr>
          <w:sz w:val="20"/>
          <w:szCs w:val="20"/>
          <w:color w:val="auto"/>
        </w:rPr>
      </w:pPr>
      <w:r>
        <w:rPr>
          <w:rFonts w:ascii="Arial" w:cs="Arial" w:eastAsia="Arial" w:hAnsi="Arial"/>
          <w:sz w:val="16"/>
          <w:szCs w:val="16"/>
          <w:color w:val="auto"/>
        </w:rPr>
        <w:t>See note 2 to our condensed consolidated financial statements included elsewhere in this quarterly report, and note 2 to our audited consolidated financial statements in our Form 10-K for the year ended March 31, 2022 for a summary of our significant accounting policies.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6" w:lineRule="exact"/>
        <w:rPr>
          <w:sz w:val="20"/>
          <w:szCs w:val="20"/>
          <w:color w:val="auto"/>
        </w:rPr>
      </w:pPr>
    </w:p>
    <w:p>
      <w:pPr>
        <w:ind w:right="40" w:firstLine="648"/>
        <w:spacing w:after="0" w:line="328" w:lineRule="auto"/>
        <w:rPr>
          <w:sz w:val="20"/>
          <w:szCs w:val="20"/>
          <w:color w:val="auto"/>
        </w:rPr>
      </w:pPr>
      <w:r>
        <w:rPr>
          <w:rFonts w:ascii="Arial" w:cs="Arial" w:eastAsia="Arial" w:hAnsi="Arial"/>
          <w:sz w:val="16"/>
          <w:szCs w:val="16"/>
          <w:color w:val="auto"/>
        </w:rPr>
        <w:t>Our management fee and advisory fee revenue is only marginally affected by changes in investment values because our management fees are generally based on commitments or net invested capital and our advisory fees are fixed. As of June 30, 2022, NAV-based management fees represented approximately 3% of total net management and advisory fees. We estimate that a 10% decline in market values of the investments held in our funds as of June 30, 2022 would result in an approximate $1.7 million decrease to annual management fees.</w:t>
      </w:r>
    </w:p>
    <w:p>
      <w:pPr>
        <w:spacing w:after="0" w:line="12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6" w:lineRule="exact"/>
        <w:rPr>
          <w:sz w:val="20"/>
          <w:szCs w:val="20"/>
          <w:color w:val="auto"/>
        </w:rPr>
      </w:pPr>
    </w:p>
    <w:p>
      <w:pPr>
        <w:ind w:left="660" w:right="240" w:hanging="328"/>
        <w:spacing w:after="0" w:line="263" w:lineRule="auto"/>
        <w:tabs>
          <w:tab w:leader="none" w:pos="648"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June 30, 2022, we had $14.2 million of deferred incentive fee revenue recorded in accounts payable, accrued expenses and other liabilities in the condensed consolidated balance sheets.</w:t>
      </w:r>
    </w:p>
    <w:p>
      <w:pPr>
        <w:spacing w:after="0" w:line="176" w:lineRule="exact"/>
        <w:rPr>
          <w:rFonts w:ascii="Arial" w:cs="Arial" w:eastAsia="Arial" w:hAnsi="Arial"/>
          <w:sz w:val="19"/>
          <w:szCs w:val="19"/>
          <w:color w:val="auto"/>
        </w:rPr>
      </w:pPr>
    </w:p>
    <w:p>
      <w:pPr>
        <w:ind w:left="660" w:hanging="328"/>
        <w:spacing w:after="0" w:line="270"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June 30, 2022, the maximum amount of carried interest allocations (excluding legacy Greenspring carried interest allocations) subject to contingent repayment was an estimated $241.4 million, net of tax, assuming the fair value of all investments was zero, a possibility that we view as remote.</w:t>
      </w:r>
    </w:p>
    <w:p>
      <w:pPr>
        <w:spacing w:after="0" w:line="172" w:lineRule="exact"/>
        <w:rPr>
          <w:rFonts w:ascii="Arial" w:cs="Arial" w:eastAsia="Arial" w:hAnsi="Arial"/>
          <w:sz w:val="18"/>
          <w:szCs w:val="18"/>
          <w:color w:val="auto"/>
        </w:rPr>
      </w:pPr>
    </w:p>
    <w:p>
      <w:pPr>
        <w:ind w:left="660" w:right="60" w:hanging="328"/>
        <w:spacing w:after="0" w:line="246"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held as of June 30, 2022, we estimate that a 10% decline in fair value of the investments would result in a $10.8 million decrease in the amount of income.</w:t>
      </w:r>
    </w:p>
    <w:p>
      <w:pPr>
        <w:spacing w:after="0" w:line="18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Exchange Rate Risk</w:t>
      </w:r>
    </w:p>
    <w:p>
      <w:pPr>
        <w:spacing w:after="0" w:line="22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1"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As of June 30, 2022, we had $65.0 million in borrowings outstanding under our Revolver. The Revolver accrues interest at a variable rate. As of June 30, 2022, we estimate that interest expense would increase by $0.7 million on an annualized basis as a result of a 100 basis point increase in interest rates. Based on the $107.3 million of cash, cash equivalents and restricted cash as of June 30, 2022, we estimate that interest income would increase by $1.1 million on an annualized basis as a result of a 100 basis point increase in interest rates.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22" w:lineRule="exact"/>
        <w:rPr>
          <w:sz w:val="20"/>
          <w:szCs w:val="20"/>
          <w:color w:val="auto"/>
        </w:rPr>
      </w:pPr>
    </w:p>
    <w:p>
      <w:pPr>
        <w:jc w:val="both"/>
        <w:ind w:right="120" w:firstLine="648"/>
        <w:spacing w:after="0" w:line="278"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Disclosure Controls and Procedures</w:t>
      </w:r>
    </w:p>
    <w:p>
      <w:pPr>
        <w:spacing w:after="0" w:line="2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Changes in Internal Controls over Financial Reporting</w:t>
      </w:r>
    </w:p>
    <w:p>
      <w:pPr>
        <w:spacing w:after="0" w:line="21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June 30, 2022, that have materially affected, or are reasonably likely to materially affect, our internal control over financial reporting.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II—OTHER INFORMATION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jc w:val="both"/>
        <w:ind w:right="580" w:firstLine="648"/>
        <w:spacing w:after="0" w:line="250" w:lineRule="auto"/>
        <w:rPr>
          <w:sz w:val="20"/>
          <w:szCs w:val="20"/>
          <w:color w:val="auto"/>
        </w:rPr>
      </w:pPr>
      <w:r>
        <w:rPr>
          <w:rFonts w:ascii="Arial" w:cs="Arial" w:eastAsia="Arial" w:hAnsi="Arial"/>
          <w:sz w:val="20"/>
          <w:szCs w:val="20"/>
          <w:color w:val="auto"/>
        </w:rPr>
        <w:t>The information required with respect to this item can be found under the heading “Litigation” in note 15, Commitments and Contingencies, to our condensed consolidated financial statements included elsewhere in this quarterly report, and such information is incorporated by reference into this Item 1.</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There have been no material changes from the risk factors previously disclosed in Part 1, Item 1A of our annual report on Form 10-K for the fiscal year ended March 31, 2022.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4720" w:type="dxa"/>
            <w:vAlign w:val="bottom"/>
            <w:tcBorders>
              <w:bottom w:val="single" w:sz="8" w:color="auto"/>
            </w:tcBorders>
            <w:gridSpan w:val="17"/>
          </w:tcPr>
          <w:p>
            <w:pPr>
              <w:spacing w:after="0"/>
              <w:rPr>
                <w:sz w:val="20"/>
                <w:szCs w:val="20"/>
                <w:color w:val="auto"/>
              </w:rPr>
            </w:pPr>
            <w:r>
              <w:rPr>
                <w:rFonts w:ascii="Arial" w:cs="Arial" w:eastAsia="Arial" w:hAnsi="Arial"/>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60" w:type="dxa"/>
            <w:vAlign w:val="bottom"/>
            <w:gridSpan w:val="2"/>
          </w:tcPr>
          <w:p>
            <w:pPr>
              <w:ind w:left="20"/>
              <w:spacing w:after="0" w:line="182" w:lineRule="exact"/>
              <w:rPr>
                <w:rFonts w:ascii="Arial" w:cs="Arial" w:eastAsia="Arial" w:hAnsi="Arial"/>
                <w:sz w:val="18"/>
                <w:szCs w:val="18"/>
                <w:color w:val="0000FF"/>
                <w:w w:val="87"/>
              </w:rPr>
            </w:pPr>
            <w:hyperlink r:id="rId84">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720" w:type="dxa"/>
            <w:vAlign w:val="bottom"/>
            <w:gridSpan w:val="17"/>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Transaction Agreement, dated July 7, 2021, by and among,</w:t>
              </w:r>
            </w:hyperlink>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40" w:type="dxa"/>
            <w:vAlign w:val="bottom"/>
            <w:tcBorders>
              <w:top w:val="single" w:sz="8" w:color="0000FF"/>
            </w:tcBorders>
            <w:gridSpan w:val="7"/>
          </w:tcPr>
          <w:p>
            <w:pPr>
              <w:spacing w:after="0" w:line="15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StepStone Group Inc., StepStone Group LP, certain wholly</w:t>
              </w:r>
            </w:hyperlink>
          </w:p>
        </w:tc>
        <w:tc>
          <w:tcPr>
            <w:tcW w:w="80" w:type="dxa"/>
            <w:vAlign w:val="bottom"/>
            <w:gridSpan w:val="2"/>
          </w:tcPr>
          <w:p>
            <w:pPr>
              <w:jc w:val="right"/>
              <w:ind w:right="20"/>
              <w:spacing w:after="0" w:line="155" w:lineRule="exact"/>
              <w:rPr>
                <w:rFonts w:ascii="Arial" w:cs="Arial" w:eastAsia="Arial" w:hAnsi="Arial"/>
                <w:sz w:val="16"/>
                <w:szCs w:val="16"/>
                <w:color w:val="0000FF"/>
                <w:w w:val="74"/>
              </w:rPr>
            </w:pPr>
            <w:hyperlink r:id="rId84">
              <w:r>
                <w:rPr>
                  <w:rFonts w:ascii="Arial" w:cs="Arial" w:eastAsia="Arial" w:hAnsi="Arial"/>
                  <w:sz w:val="16"/>
                  <w:szCs w:val="16"/>
                  <w:color w:val="0000FF"/>
                  <w:w w:val="74"/>
                </w:rPr>
                <w:t>-</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8"/>
              </w:rPr>
            </w:pPr>
            <w:hyperlink r:id="rId84">
              <w:r>
                <w:rPr>
                  <w:rFonts w:ascii="Arial" w:cs="Arial" w:eastAsia="Arial" w:hAnsi="Arial"/>
                  <w:sz w:val="18"/>
                  <w:szCs w:val="18"/>
                  <w:color w:val="0000FF"/>
                  <w:w w:val="88"/>
                </w:rPr>
                <w:t>owned subsidiaries of StepStone Group LP, the sellers party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17"/>
          </w:tcPr>
          <w:p>
            <w:pPr>
              <w:spacing w:after="0" w:line="15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thereto, Greenspring Associates, Inc. and certain of its affiliates</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and Shareholder Representative Services LLC, as Seller</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2.1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7/07/2021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Representative.</w:t>
              </w:r>
            </w:hyperlink>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gridSpan w:val="2"/>
          </w:tcPr>
          <w:p>
            <w:pPr>
              <w:ind w:left="20"/>
              <w:spacing w:after="0"/>
              <w:rPr>
                <w:rFonts w:ascii="Arial" w:cs="Arial" w:eastAsia="Arial" w:hAnsi="Arial"/>
                <w:sz w:val="18"/>
                <w:szCs w:val="18"/>
                <w:color w:val="0000FF"/>
                <w:w w:val="87"/>
              </w:rPr>
            </w:pPr>
            <w:hyperlink r:id="rId8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17"/>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Amended and Restated Certificate of Incorporation of StepStone</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Group Inc.</w:t>
              </w:r>
            </w:hyperlink>
          </w:p>
        </w:tc>
        <w:tc>
          <w:tcPr>
            <w:tcW w:w="3880" w:type="dxa"/>
            <w:vAlign w:val="bottom"/>
            <w:tcBorders>
              <w:top w:val="single" w:sz="8" w:color="0000FF"/>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87"/>
              </w:rPr>
            </w:pPr>
            <w:hyperlink r:id="rId8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17"/>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Amended and Restated Bylaws of StepStone Group Inc.</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720" w:type="dxa"/>
            <w:vAlign w:val="bottom"/>
            <w:gridSpan w:val="17"/>
          </w:tcPr>
          <w:p>
            <w:pPr>
              <w:spacing w:after="0"/>
              <w:rPr>
                <w:rFonts w:ascii="Arial" w:cs="Arial" w:eastAsia="Arial" w:hAnsi="Arial"/>
                <w:sz w:val="18"/>
                <w:szCs w:val="18"/>
                <w:color w:val="0000FF"/>
                <w:w w:val="97"/>
              </w:rPr>
            </w:pPr>
            <w:hyperlink w:anchor="page74">
              <w:r>
                <w:rPr>
                  <w:rFonts w:ascii="Arial" w:cs="Arial" w:eastAsia="Arial" w:hAnsi="Arial"/>
                  <w:sz w:val="18"/>
                  <w:szCs w:val="18"/>
                  <w:color w:val="0000FF"/>
                  <w:w w:val="97"/>
                </w:rPr>
                <w:t>Certification of Chief Executive Officer pursuant to Rule 13a-</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w:anchor="page74">
              <w:r>
                <w:rPr>
                  <w:rFonts w:ascii="Arial" w:cs="Arial" w:eastAsia="Arial" w:hAnsi="Arial"/>
                  <w:sz w:val="18"/>
                  <w:szCs w:val="18"/>
                  <w:color w:val="0000FF"/>
                  <w:w w:val="92"/>
                </w:rPr>
                <w:t>14(a) and Rule 15d-14(a) of the Securities Exchange Act, as</w:t>
              </w:r>
            </w:hyperlink>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amended</w:t>
              </w:r>
            </w:hyperlink>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76">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720" w:type="dxa"/>
            <w:vAlign w:val="bottom"/>
            <w:gridSpan w:val="17"/>
          </w:tcPr>
          <w:p>
            <w:pPr>
              <w:spacing w:after="0"/>
              <w:rPr>
                <w:rFonts w:ascii="Arial" w:cs="Arial" w:eastAsia="Arial" w:hAnsi="Arial"/>
                <w:sz w:val="18"/>
                <w:szCs w:val="18"/>
                <w:color w:val="0000FF"/>
                <w:w w:val="98"/>
              </w:rPr>
            </w:pPr>
            <w:hyperlink w:anchor="page76">
              <w:r>
                <w:rPr>
                  <w:rFonts w:ascii="Arial" w:cs="Arial" w:eastAsia="Arial" w:hAnsi="Arial"/>
                  <w:sz w:val="18"/>
                  <w:szCs w:val="18"/>
                  <w:color w:val="0000FF"/>
                  <w:w w:val="98"/>
                </w:rPr>
                <w:t>Certification of Chief Financial Officer pursuant to Rule 13a-</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w:anchor="page76">
              <w:r>
                <w:rPr>
                  <w:rFonts w:ascii="Arial" w:cs="Arial" w:eastAsia="Arial" w:hAnsi="Arial"/>
                  <w:sz w:val="18"/>
                  <w:szCs w:val="18"/>
                  <w:color w:val="0000FF"/>
                  <w:w w:val="91"/>
                </w:rPr>
                <w:t>14(a) and Rule 15d-14(a) of the Securities Exchange Act, as</w:t>
              </w:r>
            </w:hyperlink>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6">
              <w:r>
                <w:rPr>
                  <w:rFonts w:ascii="Arial" w:cs="Arial" w:eastAsia="Arial" w:hAnsi="Arial"/>
                  <w:sz w:val="18"/>
                  <w:szCs w:val="18"/>
                  <w:color w:val="0000FF"/>
                </w:rPr>
                <w:t>amended</w:t>
              </w:r>
            </w:hyperlink>
          </w:p>
        </w:tc>
        <w:tc>
          <w:tcPr>
            <w:tcW w:w="2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78">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720" w:type="dxa"/>
            <w:vAlign w:val="bottom"/>
            <w:gridSpan w:val="17"/>
          </w:tcPr>
          <w:p>
            <w:pPr>
              <w:spacing w:after="0"/>
              <w:rPr>
                <w:rFonts w:ascii="Arial" w:cs="Arial" w:eastAsia="Arial" w:hAnsi="Arial"/>
                <w:sz w:val="18"/>
                <w:szCs w:val="18"/>
                <w:color w:val="0000FF"/>
                <w:w w:val="94"/>
              </w:rPr>
            </w:pPr>
            <w:hyperlink w:anchor="page78">
              <w:r>
                <w:rPr>
                  <w:rFonts w:ascii="Arial" w:cs="Arial" w:eastAsia="Arial" w:hAnsi="Arial"/>
                  <w:sz w:val="18"/>
                  <w:szCs w:val="18"/>
                  <w:color w:val="0000FF"/>
                  <w:w w:val="94"/>
                </w:rPr>
                <w:t>Certification of Chief Executive Officer pursuant to Section 906</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6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78">
              <w:r>
                <w:rPr>
                  <w:rFonts w:ascii="Arial" w:cs="Arial" w:eastAsia="Arial" w:hAnsi="Arial"/>
                  <w:sz w:val="18"/>
                  <w:szCs w:val="18"/>
                  <w:color w:val="0000FF"/>
                </w:rPr>
                <w:t>of the Sarbanes-Oxley Act of 2002</w:t>
              </w:r>
            </w:hyperlink>
          </w:p>
        </w:tc>
        <w:tc>
          <w:tcPr>
            <w:tcW w:w="1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79">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720" w:type="dxa"/>
            <w:vAlign w:val="bottom"/>
            <w:gridSpan w:val="17"/>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Certification of Chief Financial Officer pursuant to Section 906</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of the Sarbanes-Oxley Act of 2002</w:t>
              </w:r>
            </w:hyperlink>
          </w:p>
        </w:tc>
        <w:tc>
          <w:tcPr>
            <w:tcW w:w="16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220" w:right="5420" w:hanging="1194"/>
        <w:spacing w:after="0" w:line="231" w:lineRule="auto"/>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June 30, 2022 formatted in Inline XBRL (Extensible Business Reporting Language): (i) the Condensed Consolidated Balance Sheets; (ii) the Condensed Consolidated Statements of Income (Loss); (iii) the Condensed Consolidated Statements of Comprehensive Income (Loss); (iv) the Condensed Consolidated Statements of Stockholders’ Equity; (v) the Condensed Consolidated Statements of Cash</w:t>
      </w:r>
    </w:p>
    <w:tbl>
      <w:tblPr>
        <w:tblLayout w:type="fixed"/>
        <w:tblInd w:w="20" w:type="dxa"/>
        <w:tblCellMar>
          <w:top w:w="0" w:type="dxa"/>
          <w:left w:w="0" w:type="dxa"/>
          <w:bottom w:w="0" w:type="dxa"/>
          <w:right w:w="0" w:type="dxa"/>
        </w:tblCellMar>
      </w:tblPr>
      <w:tr>
        <w:trPr>
          <w:trHeight w:val="164"/>
        </w:trPr>
        <w:tc>
          <w:tcPr>
            <w:tcW w:w="740" w:type="dxa"/>
            <w:vAlign w:val="bottom"/>
          </w:tcPr>
          <w:p>
            <w:pPr>
              <w:spacing w:after="0"/>
              <w:rPr>
                <w:sz w:val="14"/>
                <w:szCs w:val="14"/>
                <w:color w:val="auto"/>
              </w:rPr>
            </w:pPr>
          </w:p>
        </w:tc>
        <w:tc>
          <w:tcPr>
            <w:tcW w:w="7500" w:type="dxa"/>
            <w:vAlign w:val="bottom"/>
          </w:tcPr>
          <w:p>
            <w:pPr>
              <w:ind w:left="460"/>
              <w:spacing w:after="0" w:line="163" w:lineRule="exact"/>
              <w:rPr>
                <w:sz w:val="20"/>
                <w:szCs w:val="20"/>
                <w:color w:val="auto"/>
              </w:rPr>
            </w:pPr>
            <w:r>
              <w:rPr>
                <w:rFonts w:ascii="Arial" w:cs="Arial" w:eastAsia="Arial" w:hAnsi="Arial"/>
                <w:sz w:val="18"/>
                <w:szCs w:val="18"/>
                <w:color w:val="auto"/>
              </w:rPr>
              <w:t>Flows; and (vi) Notes to Condensed Consolidated Financial</w:t>
            </w:r>
          </w:p>
        </w:tc>
        <w:tc>
          <w:tcPr>
            <w:tcW w:w="2520" w:type="dxa"/>
            <w:vAlign w:val="bottom"/>
            <w:vMerge w:val="restart"/>
          </w:tcPr>
          <w:p>
            <w:pPr>
              <w:ind w:left="2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7500" w:type="dxa"/>
            <w:vAlign w:val="bottom"/>
          </w:tcPr>
          <w:p>
            <w:pPr>
              <w:ind w:left="460"/>
              <w:spacing w:after="0"/>
              <w:rPr>
                <w:sz w:val="20"/>
                <w:szCs w:val="20"/>
                <w:color w:val="auto"/>
              </w:rPr>
            </w:pPr>
            <w:r>
              <w:rPr>
                <w:rFonts w:ascii="Arial" w:cs="Arial" w:eastAsia="Arial" w:hAnsi="Arial"/>
                <w:sz w:val="18"/>
                <w:szCs w:val="18"/>
                <w:color w:val="auto"/>
              </w:rPr>
              <w:t>Statements.</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0" w:type="dxa"/>
            <w:vAlign w:val="bottom"/>
          </w:tcPr>
          <w:p>
            <w:pPr>
              <w:jc w:val="right"/>
              <w:ind w:right="370"/>
              <w:spacing w:after="0" w:line="176" w:lineRule="exact"/>
              <w:rPr>
                <w:sz w:val="20"/>
                <w:szCs w:val="20"/>
                <w:color w:val="auto"/>
              </w:rPr>
            </w:pPr>
            <w:r>
              <w:rPr>
                <w:rFonts w:ascii="Arial" w:cs="Arial" w:eastAsia="Arial" w:hAnsi="Arial"/>
                <w:sz w:val="18"/>
                <w:szCs w:val="18"/>
                <w:color w:val="auto"/>
                <w:w w:val="86"/>
              </w:rPr>
              <w:t>104</w:t>
            </w: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2520" w:type="dxa"/>
            <w:vAlign w:val="bottom"/>
            <w:vMerge w:val="restart"/>
          </w:tcPr>
          <w:p>
            <w:pPr>
              <w:ind w:left="2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7500" w:type="dxa"/>
            <w:vAlign w:val="bottom"/>
          </w:tcPr>
          <w:p>
            <w:pPr>
              <w:ind w:left="460"/>
              <w:spacing w:after="0"/>
              <w:rPr>
                <w:sz w:val="20"/>
                <w:szCs w:val="20"/>
                <w:color w:val="auto"/>
              </w:rPr>
            </w:pPr>
            <w:r>
              <w:rPr>
                <w:rFonts w:ascii="Arial" w:cs="Arial" w:eastAsia="Arial" w:hAnsi="Arial"/>
                <w:sz w:val="18"/>
                <w:szCs w:val="18"/>
                <w:color w:val="auto"/>
              </w:rPr>
              <w:t>contained in Exhibit 101)</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 on August 5, 2022</w:t>
      </w:r>
      <w:r>
        <w:rPr>
          <w:rFonts w:ascii="Arial" w:cs="Arial" w:eastAsia="Arial" w:hAnsi="Arial"/>
          <w:sz w:val="20"/>
          <w:szCs w:val="20"/>
          <w:b w:val="1"/>
          <w:bCs w:val="1"/>
          <w:color w:val="auto"/>
        </w:rPr>
        <w: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STEPSTONE GROUP INC.</w:t>
      </w:r>
    </w:p>
    <w:p>
      <w:pPr>
        <w:spacing w:after="0" w:line="28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40"/>
          </w:cols>
          <w:pgMar w:left="320" w:top="1440" w:right="6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Scott W. Hart, certify that:</w:t>
      </w:r>
    </w:p>
    <w:p>
      <w:pPr>
        <w:spacing w:after="0" w:line="21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200" w:hanging="328"/>
        <w:spacing w:after="0" w:line="250"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20"/>
          <w:szCs w:val="20"/>
          <w:color w:val="auto"/>
        </w:rPr>
      </w:pPr>
    </w:p>
    <w:p>
      <w:pPr>
        <w:ind w:left="1300" w:right="100" w:hanging="320"/>
        <w:spacing w:after="0" w:line="291" w:lineRule="auto"/>
        <w:tabs>
          <w:tab w:leader="none" w:pos="1289"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560" w:hanging="320"/>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6"/>
          <w:szCs w:val="16"/>
          <w:color w:val="auto"/>
        </w:rPr>
      </w:pPr>
    </w:p>
    <w:p>
      <w:pPr>
        <w:ind w:left="1300" w:right="60" w:hanging="320"/>
        <w:spacing w:after="0" w:line="250" w:lineRule="auto"/>
        <w:tabs>
          <w:tab w:leader="none" w:pos="1289" w:val="left"/>
        </w:tabs>
        <w:numPr>
          <w:ilvl w:val="1"/>
          <w:numId w:val="4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600" w:hanging="320"/>
        <w:spacing w:after="0" w:line="260" w:lineRule="auto"/>
        <w:tabs>
          <w:tab w:leader="none" w:pos="13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ind w:right="20"/>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80" w:right="160"/>
        <w:spacing w:after="0" w:line="260" w:lineRule="auto"/>
        <w:rPr>
          <w:sz w:val="20"/>
          <w:szCs w:val="20"/>
          <w:color w:val="auto"/>
        </w:rPr>
      </w:pPr>
      <w:r>
        <w:rPr>
          <w:rFonts w:ascii="Arial" w:cs="Arial" w:eastAsia="Arial" w:hAnsi="Arial"/>
          <w:sz w:val="20"/>
          <w:szCs w:val="20"/>
          <w:color w:val="auto"/>
        </w:rPr>
        <w:t>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left="640" w:right="60" w:hanging="328"/>
        <w:spacing w:after="0" w:line="250" w:lineRule="auto"/>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280" w:right="340" w:hanging="320"/>
        <w:spacing w:after="0" w:line="250" w:lineRule="auto"/>
        <w:tabs>
          <w:tab w:leader="none" w:pos="1269" w:val="left"/>
        </w:tabs>
        <w:numPr>
          <w:ilvl w:val="1"/>
          <w:numId w:val="4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280" w:right="740" w:hanging="320"/>
        <w:spacing w:after="0" w:line="260" w:lineRule="auto"/>
        <w:tabs>
          <w:tab w:leader="none" w:pos="12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20" w:type="dxa"/>
            <w:vAlign w:val="bottom"/>
          </w:tcPr>
          <w:p>
            <w:pPr>
              <w:spacing w:after="0"/>
              <w:rPr>
                <w:sz w:val="20"/>
                <w:szCs w:val="20"/>
                <w:color w:val="auto"/>
              </w:rPr>
            </w:pPr>
            <w:r>
              <w:rPr>
                <w:rFonts w:ascii="Arial" w:cs="Arial" w:eastAsia="Arial" w:hAnsi="Arial"/>
                <w:sz w:val="20"/>
                <w:szCs w:val="20"/>
                <w:color w:val="auto"/>
              </w:rPr>
              <w:t>Date: August 5, 2022</w:t>
            </w:r>
          </w:p>
        </w:tc>
        <w:tc>
          <w:tcPr>
            <w:tcW w:w="7800" w:type="dxa"/>
            <w:vAlign w:val="bottom"/>
            <w:gridSpan w:val="2"/>
          </w:tcPr>
          <w:p>
            <w:pPr>
              <w:ind w:left="1740"/>
              <w:spacing w:after="0"/>
              <w:rPr>
                <w:sz w:val="20"/>
                <w:szCs w:val="20"/>
                <w:color w:val="auto"/>
              </w:rPr>
            </w:pPr>
            <w:r>
              <w:rPr>
                <w:rFonts w:ascii="Arial" w:cs="Arial" w:eastAsia="Arial" w:hAnsi="Arial"/>
                <w:sz w:val="20"/>
                <w:szCs w:val="20"/>
                <w:color w:val="auto"/>
              </w:rPr>
              <w:t>By: /s/ Scott W. Hart</w:t>
            </w:r>
          </w:p>
        </w:tc>
      </w:tr>
      <w:tr>
        <w:trPr>
          <w:trHeight w:val="233"/>
        </w:trPr>
        <w:tc>
          <w:tcPr>
            <w:tcW w:w="3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W. Hart</w:t>
            </w:r>
          </w:p>
        </w:tc>
      </w:tr>
      <w:tr>
        <w:trPr>
          <w:trHeight w:val="243"/>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50"/>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20"/>
          </w:cols>
          <w:pgMar w:left="340" w:top="118" w:right="339" w:bottom="1440" w:gutter="0" w:footer="0" w:header="0"/>
        </w:sectPr>
      </w:pPr>
    </w:p>
    <w:bookmarkStart w:id="75" w:name="page76"/>
    <w:bookmarkEnd w:id="75"/>
    <w:p>
      <w:pPr>
        <w:ind w:left="10000"/>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 Johnny D. Randel, certify that:</w:t>
      </w:r>
    </w:p>
    <w:p>
      <w:pPr>
        <w:spacing w:after="0" w:line="21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200" w:hanging="328"/>
        <w:spacing w:after="0" w:line="25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20"/>
          <w:szCs w:val="20"/>
          <w:color w:val="auto"/>
        </w:rPr>
      </w:pPr>
    </w:p>
    <w:p>
      <w:pPr>
        <w:ind w:left="1300" w:right="100" w:hanging="320"/>
        <w:spacing w:after="0" w:line="291" w:lineRule="auto"/>
        <w:tabs>
          <w:tab w:leader="none" w:pos="12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56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6"/>
          <w:szCs w:val="16"/>
          <w:color w:val="auto"/>
        </w:rPr>
      </w:pPr>
    </w:p>
    <w:p>
      <w:pPr>
        <w:ind w:left="1300" w:right="60" w:hanging="320"/>
        <w:spacing w:after="0" w:line="250" w:lineRule="auto"/>
        <w:tabs>
          <w:tab w:leader="none" w:pos="1289" w:val="left"/>
        </w:tabs>
        <w:numPr>
          <w:ilvl w:val="1"/>
          <w:numId w:val="4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600" w:hanging="320"/>
        <w:spacing w:after="0" w:line="260" w:lineRule="auto"/>
        <w:tabs>
          <w:tab w:leader="none" w:pos="13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8" w:right="339" w:bottom="1440" w:gutter="0" w:footer="0" w:header="0"/>
        </w:sectPr>
      </w:pPr>
    </w:p>
    <w:bookmarkStart w:id="76" w:name="page77"/>
    <w:bookmarkEnd w:id="76"/>
    <w:p>
      <w:pPr>
        <w:ind w:left="9980"/>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ind w:right="20"/>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right="160"/>
        <w:spacing w:after="0" w:line="260" w:lineRule="auto"/>
        <w:rPr>
          <w:sz w:val="20"/>
          <w:szCs w:val="20"/>
          <w:color w:val="auto"/>
        </w:rPr>
      </w:pPr>
      <w:r>
        <w:rPr>
          <w:rFonts w:ascii="Arial" w:cs="Arial" w:eastAsia="Arial" w:hAnsi="Arial"/>
          <w:sz w:val="20"/>
          <w:szCs w:val="20"/>
          <w:color w:val="auto"/>
        </w:rPr>
        <w:t>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left="640" w:right="60" w:hanging="328"/>
        <w:spacing w:after="0" w:line="250" w:lineRule="auto"/>
        <w:tabs>
          <w:tab w:leader="none" w:pos="6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280" w:right="340" w:hanging="320"/>
        <w:spacing w:after="0" w:line="250" w:lineRule="auto"/>
        <w:tabs>
          <w:tab w:leader="none" w:pos="1269" w:val="left"/>
        </w:tabs>
        <w:numPr>
          <w:ilvl w:val="1"/>
          <w:numId w:val="4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280" w:right="740" w:hanging="320"/>
        <w:spacing w:after="0" w:line="260" w:lineRule="auto"/>
        <w:tabs>
          <w:tab w:leader="none" w:pos="12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20" w:type="dxa"/>
            <w:vAlign w:val="bottom"/>
          </w:tcPr>
          <w:p>
            <w:pPr>
              <w:spacing w:after="0"/>
              <w:rPr>
                <w:sz w:val="20"/>
                <w:szCs w:val="20"/>
                <w:color w:val="auto"/>
              </w:rPr>
            </w:pPr>
            <w:r>
              <w:rPr>
                <w:rFonts w:ascii="Arial" w:cs="Arial" w:eastAsia="Arial" w:hAnsi="Arial"/>
                <w:sz w:val="20"/>
                <w:szCs w:val="20"/>
                <w:color w:val="auto"/>
              </w:rPr>
              <w:t>Date: August 5, 2022</w:t>
            </w:r>
          </w:p>
        </w:tc>
        <w:tc>
          <w:tcPr>
            <w:tcW w:w="7800" w:type="dxa"/>
            <w:vAlign w:val="bottom"/>
            <w:gridSpan w:val="2"/>
          </w:tcPr>
          <w:p>
            <w:pPr>
              <w:ind w:left="1740"/>
              <w:spacing w:after="0"/>
              <w:rPr>
                <w:sz w:val="20"/>
                <w:szCs w:val="20"/>
                <w:color w:val="auto"/>
              </w:rPr>
            </w:pPr>
            <w:r>
              <w:rPr>
                <w:rFonts w:ascii="Arial" w:cs="Arial" w:eastAsia="Arial" w:hAnsi="Arial"/>
                <w:sz w:val="20"/>
                <w:szCs w:val="20"/>
                <w:color w:val="auto"/>
              </w:rPr>
              <w:t>By: /s/ Johnny D. Randel</w:t>
            </w:r>
          </w:p>
        </w:tc>
      </w:tr>
      <w:tr>
        <w:trPr>
          <w:trHeight w:val="233"/>
        </w:trPr>
        <w:tc>
          <w:tcPr>
            <w:tcW w:w="3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D. Randel</w:t>
            </w:r>
          </w:p>
        </w:tc>
      </w:tr>
      <w:tr>
        <w:trPr>
          <w:trHeight w:val="243"/>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0"/>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20"/>
          </w:cols>
          <w:pgMar w:left="340" w:top="11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June 30, 2022,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August 5, 2022</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June 30, 2022,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August 5, 2022</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2"/>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endash "/>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4"/>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4"/>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lvl w:ilvl="1">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lvl w:ilvl="1">
      <w:lvlJc w:val="left"/>
      <w:lvlText w:val="%2."/>
      <w:numFmt w:val="lowerRoman"/>
      <w:start w:val="1"/>
    </w:lvl>
  </w:abstractNum>
  <w:abstractNum w:abstractNumId="32">
    <w:nsid w:val="2D517796"/>
    <w:multiLevelType w:val="hybridMultilevel"/>
    <w:lvl w:ilvl="0">
      <w:lvlJc w:val="left"/>
      <w:lvlText w:val="(%1)"/>
      <w:numFmt w:val="decimal"/>
      <w:start w:val="3"/>
    </w:lvl>
  </w:abstractNum>
  <w:abstractNum w:abstractNumId="33">
    <w:nsid w:val="580BD78F"/>
    <w:multiLevelType w:val="hybridMultilevel"/>
    <w:lvl w:ilvl="0">
      <w:lvlJc w:val="left"/>
      <w:lvlText w:val="(%1)"/>
      <w:numFmt w:val="decimal"/>
      <w:start w:val="4"/>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0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5"/>
    </w:lvl>
    <w:lvl w:ilvl="1">
      <w:lvlJc w:val="left"/>
      <w:lvlText w:val="%2."/>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5"/>
    </w:lvl>
    <w:lvl w:ilvl="1">
      <w:lvlJc w:val="left"/>
      <w:lvlText w:val="%2."/>
      <w:numFmt w:val="lowerLetter"/>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4" Type="http://schemas.openxmlformats.org/officeDocument/2006/relationships/hyperlink" Target="https://www.sec.gov/Archives/edgar/data/1796022/000119312521209305/d197424dex21.htm" TargetMode="External"/><Relationship Id="rId85" Type="http://schemas.openxmlformats.org/officeDocument/2006/relationships/hyperlink" Target="https://www.sec.gov/Archives/edgar/data/1796022/000119312520248881/d23934dex31.htm" TargetMode="External"/><Relationship Id="rId86" Type="http://schemas.openxmlformats.org/officeDocument/2006/relationships/hyperlink" Target="https://www.sec.gov/Archives/edgar/data/1796022/000119312520248881/d2393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2022-08-05T15:33:06Z</dcterms:created>
  <dcterms:modified xsi:type="dcterms:W3CDTF">2022-08-05T15:33:06Z</dcterms:modified>
</cp:coreProperties>
</file>