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0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283"/>
        <w:jc w:val="center"/>
        <w:rPr/>
      </w:pPr>
      <w:r>
        <w:rPr>
          <w:rFonts w:ascii="Times New Roman;sans-serif" w:hAnsi="Times New Roman;sans-serif"/>
          <w:b/>
          <w:color w:val="000000"/>
          <w:sz w:val="28"/>
        </w:rPr>
        <w:t>FORM</w:t>
      </w:r>
      <w:r>
        <w:rPr>
          <w:color w:val="000000"/>
        </w:rPr>
        <w:t xml:space="preserve"> </w:t>
      </w:r>
      <w:r>
        <w:rPr>
          <w:rFonts w:ascii="Times New Roman;sans-serif" w:hAnsi="Times New Roman;sans-serif"/>
          <w:b/>
          <w:color w:val="000000"/>
          <w:sz w:val="28"/>
        </w:rPr>
        <w:t>10-Q</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80" w:after="283"/>
              <w:jc w:val="both"/>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June 30, 2023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 the transition period from _______________________ to ___________________________</w:t>
      </w:r>
    </w:p>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 file number 001-39510</w:t>
      </w:r>
    </w:p>
    <w:p>
      <w:pPr>
        <w:pStyle w:val="TextBody"/>
        <w:bidi w:val="0"/>
        <w:spacing w:lineRule="auto" w:line="288" w:before="60" w:after="283"/>
        <w:ind w:left="0" w:right="0" w:firstLine="360"/>
        <w:jc w:val="center"/>
        <w:rPr>
          <w:rFonts w:ascii="Times New Roman;sans-serif" w:hAnsi="Times New Roman;sans-serif"/>
          <w:b/>
          <w:color w:val="000000"/>
          <w:sz w:val="36"/>
        </w:rPr>
      </w:pPr>
      <w:r>
        <w:rPr>
          <w:rFonts w:ascii="Times New Roman;sans-serif" w:hAnsi="Times New Roman;sans-serif"/>
          <w:b/>
          <w:color w:val="000000"/>
          <w:sz w:val="36"/>
        </w:rPr>
        <w:t>STEPSTONE GROUP INC.</w:t>
      </w:r>
    </w:p>
    <w:p>
      <w:pPr>
        <w:pStyle w:val="TextBody"/>
        <w:bidi w:val="0"/>
        <w:spacing w:lineRule="auto" w:line="288" w:before="60" w:after="283"/>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4631" w:type="dxa"/>
        <w:jc w:val="center"/>
        <w:tblInd w:w="0" w:type="dxa"/>
        <w:tblLayout w:type="fixed"/>
        <w:tblCellMar>
          <w:top w:w="28" w:type="dxa"/>
          <w:left w:w="28" w:type="dxa"/>
          <w:bottom w:w="28" w:type="dxa"/>
          <w:right w:w="28" w:type="dxa"/>
        </w:tblCellMar>
      </w:tblPr>
      <w:tblGrid>
        <w:gridCol w:w="1037"/>
        <w:gridCol w:w="911"/>
        <w:gridCol w:w="917"/>
        <w:gridCol w:w="109"/>
        <w:gridCol w:w="109"/>
        <w:gridCol w:w="109"/>
        <w:gridCol w:w="419"/>
        <w:gridCol w:w="419"/>
        <w:gridCol w:w="601"/>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84-3868757</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No.)</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450 Lexington Avenue, 31st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10017</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ind w:left="0" w:right="0" w:firstLine="360"/>
        <w:jc w:val="center"/>
        <w:rPr/>
      </w:pPr>
      <w:r>
        <w:rPr>
          <w:rFonts w:ascii="Times New Roman;sans-serif" w:hAnsi="Times New Roman;sans-serif"/>
          <w:b/>
          <w:color w:val="000000"/>
          <w:sz w:val="16"/>
        </w:rPr>
        <w:t>(212)</w:t>
      </w:r>
      <w:r>
        <w:rPr>
          <w:color w:val="000000"/>
        </w:rPr>
        <w:t xml:space="preserve"> </w:t>
      </w:r>
      <w:r>
        <w:rPr>
          <w:rFonts w:ascii="Times New Roman;sans-serif" w:hAnsi="Times New Roman;sans-serif"/>
          <w:b/>
          <w:color w:val="000000"/>
          <w:sz w:val="16"/>
        </w:rPr>
        <w:t>351-6100</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632"/>
        <w:gridCol w:w="630"/>
        <w:gridCol w:w="630"/>
        <w:gridCol w:w="630"/>
        <w:gridCol w:w="630"/>
        <w:gridCol w:w="630"/>
        <w:gridCol w:w="192"/>
        <w:gridCol w:w="192"/>
        <w:gridCol w:w="192"/>
        <w:gridCol w:w="469"/>
        <w:gridCol w:w="469"/>
        <w:gridCol w:w="471"/>
        <w:gridCol w:w="192"/>
        <w:gridCol w:w="192"/>
        <w:gridCol w:w="192"/>
        <w:gridCol w:w="524"/>
        <w:gridCol w:w="523"/>
        <w:gridCol w:w="522"/>
        <w:gridCol w:w="522"/>
        <w:gridCol w:w="522"/>
        <w:gridCol w:w="522"/>
        <w:gridCol w:w="109"/>
        <w:gridCol w:w="109"/>
        <w:gridCol w:w="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 $0.001 par value per share</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STEP</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60" w:after="283"/>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left"/>
        <w:tblInd w:w="0" w:type="dxa"/>
        <w:tblLayout w:type="fixed"/>
        <w:tblCellMar>
          <w:top w:w="28" w:type="dxa"/>
          <w:left w:w="28" w:type="dxa"/>
          <w:bottom w:w="28" w:type="dxa"/>
          <w:right w:w="28" w:type="dxa"/>
        </w:tblCellMar>
      </w:tblPr>
      <w:tblGrid>
        <w:gridCol w:w="124"/>
        <w:gridCol w:w="109"/>
        <w:gridCol w:w="109"/>
        <w:gridCol w:w="679"/>
        <w:gridCol w:w="679"/>
        <w:gridCol w:w="681"/>
        <w:gridCol w:w="109"/>
        <w:gridCol w:w="109"/>
        <w:gridCol w:w="109"/>
        <w:gridCol w:w="674"/>
        <w:gridCol w:w="674"/>
        <w:gridCol w:w="6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80" w:after="283"/>
              <w:jc w:val="both"/>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spacing w:lineRule="auto" w:line="288" w:before="80" w:after="283"/>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ans-serif" w:hAnsi="Times New Roman;sans-serif"/>
          <w:b w:val="false"/>
          <w:color w:val="000000"/>
          <w:sz w:val="18"/>
          <w:shd w:fill="FFFFFF" w:val="clear"/>
        </w:rPr>
        <w:t xml:space="preserve">. </w:t>
      </w:r>
      <w:r>
        <w:rPr>
          <w:color w:val="000000"/>
        </w:rPr>
        <w:t>☐</w:t>
      </w:r>
    </w:p>
    <w:p>
      <w:pPr>
        <w:pStyle w:val="TextBody"/>
        <w:bidi w:val="0"/>
        <w:spacing w:lineRule="auto" w:line="288" w:before="80" w:after="283"/>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  </w:t>
      </w:r>
    </w:p>
    <w:p>
      <w:pPr>
        <w:pStyle w:val="TextBody"/>
        <w:bidi w:val="0"/>
        <w:spacing w:lineRule="auto" w:line="288" w:before="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the number of shares outstanding of each of the registrant’s classes of common stock, as of the latest practicable date: As of August 2, 2023, there were 62,834,871 shares of the registrant’s Class A common stock, par value $0.001, and 46,420,141 shares of the registrant’s Class B common stock, par value $0.001,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100"/>
        <w:jc w:val="center"/>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10205" w:type="dxa"/>
        <w:jc w:val="center"/>
        <w:tblInd w:w="0" w:type="dxa"/>
        <w:tblLayout w:type="fixed"/>
        <w:tblCellMar>
          <w:top w:w="28" w:type="dxa"/>
          <w:left w:w="28" w:type="dxa"/>
          <w:bottom w:w="28" w:type="dxa"/>
          <w:right w:w="28" w:type="dxa"/>
        </w:tblCellMar>
      </w:tblPr>
      <w:tblGrid>
        <w:gridCol w:w="3097"/>
        <w:gridCol w:w="2664"/>
        <w:gridCol w:w="2629"/>
        <w:gridCol w:w="527"/>
        <w:gridCol w:w="527"/>
        <w:gridCol w:w="761"/>
      </w:tblGrid>
      <w:tr>
        <w:trPr/>
        <w:tc>
          <w:tcPr>
            <w:tcW w:w="3097"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8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 I - FINANCIAL INFORMATION</w:t>
            </w:r>
          </w:p>
        </w:tc>
      </w:tr>
      <w:tr>
        <w:trPr/>
        <w:tc>
          <w:tcPr>
            <w:tcW w:w="8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073b1d06f604cfe91fe0fce7aa36bad_16">
              <w:r>
                <w:rPr>
                  <w:rStyle w:val="InternetLink"/>
                  <w:rFonts w:ascii="Times New Roman;sans-serif" w:hAnsi="Times New Roman;sans-serif"/>
                  <w:b w:val="false"/>
                  <w:color w:val="0000FF"/>
                  <w:sz w:val="20"/>
                  <w:u w:val="single"/>
                </w:rPr>
                <w:t>Item 1. Financial Statements</w:t>
              </w:r>
            </w:hyperlink>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073b1d06f604cfe91fe0fce7aa36bad_19">
              <w:r>
                <w:rPr>
                  <w:rStyle w:val="InternetLink"/>
                  <w:rFonts w:ascii="Times New Roman;sans-serif" w:hAnsi="Times New Roman;sans-serif"/>
                  <w:b w:val="false"/>
                  <w:color w:val="000080"/>
                  <w:sz w:val="20"/>
                  <w:u w:val="single"/>
                </w:rPr>
                <w:t xml:space="preserve">Condensed Consolidated Balance Sheets as of </w:t>
              </w:r>
            </w:hyperlink>
            <w:r>
              <w:rPr>
                <w:rFonts w:ascii="Times New Roman;sans-serif" w:hAnsi="Times New Roman;sans-serif"/>
                <w:b w:val="false"/>
                <w:color w:val="0000FF"/>
                <w:sz w:val="20"/>
                <w:u w:val="single"/>
              </w:rPr>
              <w:t>June 30, 2023</w:t>
            </w:r>
            <w:hyperlink w:anchor="id073b1d06f604cfe91fe0fce7aa36bad_19">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March 31, 2023</w:t>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073b1d06f604cfe91fe0fce7aa36bad_19">
              <w:r>
                <w:rPr>
                  <w:rStyle w:val="InternetLink"/>
                  <w:rFonts w:ascii="Times New Roman;sans-serif" w:hAnsi="Times New Roman;sans-serif"/>
                  <w:b w:val="false"/>
                  <w:color w:val="0000FF"/>
                  <w:sz w:val="20"/>
                  <w:u w:val="single"/>
                </w:rPr>
                <w:t>5</w:t>
              </w:r>
            </w:hyperlink>
          </w:p>
        </w:tc>
      </w:tr>
      <w:tr>
        <w:trPr/>
        <w:tc>
          <w:tcPr>
            <w:tcW w:w="8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073b1d06f604cfe91fe0fce7aa36bad_22">
              <w:r>
                <w:rPr>
                  <w:rStyle w:val="InternetLink"/>
                  <w:rFonts w:ascii="Times New Roman;sans-serif" w:hAnsi="Times New Roman;sans-serif"/>
                  <w:b w:val="false"/>
                  <w:color w:val="000080"/>
                  <w:sz w:val="20"/>
                  <w:u w:val="single"/>
                </w:rPr>
                <w:t xml:space="preserve">Condensed Consolidated Statements of Income (Loss) for the </w:t>
              </w:r>
            </w:hyperlink>
            <w:r>
              <w:rPr>
                <w:rFonts w:ascii="Times New Roman;sans-serif" w:hAnsi="Times New Roman;sans-serif"/>
                <w:b w:val="false"/>
                <w:color w:val="0000FF"/>
                <w:sz w:val="20"/>
                <w:u w:val="single"/>
              </w:rPr>
              <w:t>Three Months Ended June 30, 2023</w:t>
            </w:r>
            <w:hyperlink w:anchor="id073b1d06f604cfe91fe0fce7aa36bad_22">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2022</w:t>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073b1d06f604cfe91fe0fce7aa36bad_22">
              <w:r>
                <w:rPr>
                  <w:rStyle w:val="InternetLink"/>
                  <w:rFonts w:ascii="Times New Roman;sans-serif" w:hAnsi="Times New Roman;sans-serif"/>
                  <w:b w:val="false"/>
                  <w:color w:val="0000FF"/>
                  <w:sz w:val="20"/>
                  <w:u w:val="single"/>
                </w:rPr>
                <w:t>7</w:t>
              </w:r>
            </w:hyperlink>
          </w:p>
        </w:tc>
      </w:tr>
      <w:tr>
        <w:trPr/>
        <w:tc>
          <w:tcPr>
            <w:tcW w:w="8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073b1d06f604cfe91fe0fce7aa36bad_28">
              <w:r>
                <w:rPr>
                  <w:rStyle w:val="InternetLink"/>
                  <w:rFonts w:ascii="Times New Roman;sans-serif" w:hAnsi="Times New Roman;sans-serif"/>
                  <w:b w:val="false"/>
                  <w:color w:val="000080"/>
                  <w:sz w:val="20"/>
                  <w:u w:val="single"/>
                </w:rPr>
                <w:t xml:space="preserve">Condensed Consolidated Statements of Comprehensive Income (Loss) for the </w:t>
              </w:r>
            </w:hyperlink>
            <w:r>
              <w:rPr>
                <w:rFonts w:ascii="Times New Roman;sans-serif" w:hAnsi="Times New Roman;sans-serif"/>
                <w:b w:val="false"/>
                <w:color w:val="0000FF"/>
                <w:sz w:val="20"/>
                <w:u w:val="single"/>
              </w:rPr>
              <w:t>Three Months Ended June 30, 2023</w:t>
            </w:r>
            <w:hyperlink w:anchor="id073b1d06f604cfe91fe0fce7aa36bad_28">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2022</w:t>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073b1d06f604cfe91fe0fce7aa36bad_28">
              <w:r>
                <w:rPr>
                  <w:rStyle w:val="InternetLink"/>
                  <w:rFonts w:ascii="Times New Roman;sans-serif" w:hAnsi="Times New Roman;sans-serif"/>
                  <w:b w:val="false"/>
                  <w:color w:val="0000FF"/>
                  <w:sz w:val="20"/>
                  <w:u w:val="single"/>
                </w:rPr>
                <w:t>8</w:t>
              </w:r>
            </w:hyperlink>
          </w:p>
        </w:tc>
      </w:tr>
      <w:tr>
        <w:trPr/>
        <w:tc>
          <w:tcPr>
            <w:tcW w:w="8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073b1d06f604cfe91fe0fce7aa36bad_31">
              <w:r>
                <w:rPr>
                  <w:rStyle w:val="InternetLink"/>
                  <w:rFonts w:ascii="Times New Roman;sans-serif" w:hAnsi="Times New Roman;sans-serif"/>
                  <w:b w:val="false"/>
                  <w:color w:val="000080"/>
                  <w:sz w:val="20"/>
                  <w:u w:val="single"/>
                </w:rPr>
                <w:t xml:space="preserve">Condensed Consolidated Statements of Stockholders’ Equity for the </w:t>
              </w:r>
            </w:hyperlink>
            <w:r>
              <w:rPr>
                <w:rFonts w:ascii="Times New Roman;sans-serif" w:hAnsi="Times New Roman;sans-serif"/>
                <w:b w:val="false"/>
                <w:color w:val="0000FF"/>
                <w:sz w:val="20"/>
                <w:u w:val="single"/>
              </w:rPr>
              <w:t>Three Months Ended June 30, 2023</w:t>
            </w:r>
            <w:hyperlink w:anchor="id073b1d06f604cfe91fe0fce7aa36bad_31">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2022</w:t>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073b1d06f604cfe91fe0fce7aa36bad_31">
              <w:r>
                <w:rPr>
                  <w:rStyle w:val="InternetLink"/>
                  <w:rFonts w:ascii="Times New Roman;sans-serif" w:hAnsi="Times New Roman;sans-serif"/>
                  <w:b w:val="false"/>
                  <w:color w:val="0000FF"/>
                  <w:sz w:val="20"/>
                  <w:u w:val="single"/>
                </w:rPr>
                <w:t>9</w:t>
              </w:r>
            </w:hyperlink>
          </w:p>
        </w:tc>
      </w:tr>
      <w:tr>
        <w:trPr/>
        <w:tc>
          <w:tcPr>
            <w:tcW w:w="8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073b1d06f604cfe91fe0fce7aa36bad_34">
              <w:r>
                <w:rPr>
                  <w:rStyle w:val="InternetLink"/>
                  <w:rFonts w:ascii="Times New Roman;sans-serif" w:hAnsi="Times New Roman;sans-serif"/>
                  <w:b w:val="false"/>
                  <w:color w:val="000080"/>
                  <w:sz w:val="20"/>
                  <w:u w:val="single"/>
                </w:rPr>
                <w:t xml:space="preserve">Condensed Consolidated Statements of Cash Flows for the </w:t>
              </w:r>
            </w:hyperlink>
            <w:r>
              <w:rPr>
                <w:rFonts w:ascii="Times New Roman;sans-serif" w:hAnsi="Times New Roman;sans-serif"/>
                <w:b w:val="false"/>
                <w:color w:val="0000FF"/>
                <w:sz w:val="20"/>
                <w:u w:val="single"/>
              </w:rPr>
              <w:t>Three Months Ended June 30, 2023</w:t>
            </w:r>
            <w:hyperlink w:anchor="id073b1d06f604cfe91fe0fce7aa36bad_34">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2022</w:t>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073b1d06f604cfe91fe0fce7aa36bad_34">
              <w:r>
                <w:rPr>
                  <w:rStyle w:val="InternetLink"/>
                  <w:rFonts w:ascii="Times New Roman;sans-serif" w:hAnsi="Times New Roman;sans-serif"/>
                  <w:b w:val="false"/>
                  <w:color w:val="0000FF"/>
                  <w:sz w:val="20"/>
                  <w:u w:val="single"/>
                </w:rPr>
                <w:t>10</w:t>
              </w:r>
            </w:hyperlink>
          </w:p>
        </w:tc>
      </w:tr>
      <w:tr>
        <w:trPr/>
        <w:tc>
          <w:tcPr>
            <w:tcW w:w="8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073b1d06f604cfe91fe0fce7aa36bad_37">
              <w:r>
                <w:rPr>
                  <w:rStyle w:val="InternetLink"/>
                  <w:rFonts w:ascii="Times New Roman;sans-serif" w:hAnsi="Times New Roman;sans-serif"/>
                  <w:b w:val="false"/>
                  <w:color w:val="0000FF"/>
                  <w:sz w:val="20"/>
                  <w:u w:val="single"/>
                </w:rPr>
                <w:t>Notes to Condensed Consolidated Financial Statements</w:t>
              </w:r>
            </w:hyperlink>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073b1d06f604cfe91fe0fce7aa36bad_37">
              <w:r>
                <w:rPr>
                  <w:rStyle w:val="InternetLink"/>
                  <w:rFonts w:ascii="Times New Roman;sans-serif" w:hAnsi="Times New Roman;sans-serif"/>
                  <w:b w:val="false"/>
                  <w:color w:val="0000FF"/>
                  <w:sz w:val="20"/>
                  <w:u w:val="single"/>
                </w:rPr>
                <w:t>12</w:t>
              </w:r>
            </w:hyperlink>
          </w:p>
        </w:tc>
      </w:tr>
      <w:tr>
        <w:trPr/>
        <w:tc>
          <w:tcPr>
            <w:tcW w:w="8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073b1d06f604cfe91fe0fce7aa36bad_109">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073b1d06f604cfe91fe0fce7aa36bad_109">
              <w:r>
                <w:rPr>
                  <w:rStyle w:val="InternetLink"/>
                  <w:rFonts w:ascii="Times New Roman;sans-serif" w:hAnsi="Times New Roman;sans-serif"/>
                  <w:b w:val="false"/>
                  <w:color w:val="0000FF"/>
                  <w:sz w:val="20"/>
                  <w:u w:val="single"/>
                </w:rPr>
                <w:t>42</w:t>
              </w:r>
            </w:hyperlink>
          </w:p>
        </w:tc>
      </w:tr>
      <w:tr>
        <w:trPr/>
        <w:tc>
          <w:tcPr>
            <w:tcW w:w="8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073b1d06f604cfe91fe0fce7aa36bad_163">
              <w:r>
                <w:rPr>
                  <w:rStyle w:val="InternetLink"/>
                  <w:rFonts w:ascii="Times New Roman;sans-serif" w:hAnsi="Times New Roman;sans-serif"/>
                  <w:b w:val="false"/>
                  <w:color w:val="0000FF"/>
                  <w:sz w:val="20"/>
                  <w:u w:val="single"/>
                </w:rPr>
                <w:t>Item 3. Qualitative and Quantitative Disclosures about Market Risk</w:t>
              </w:r>
            </w:hyperlink>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073b1d06f604cfe91fe0fce7aa36bad_163">
              <w:r>
                <w:rPr>
                  <w:rStyle w:val="InternetLink"/>
                  <w:rFonts w:ascii="Times New Roman;sans-serif" w:hAnsi="Times New Roman;sans-serif"/>
                  <w:b w:val="false"/>
                  <w:color w:val="0000FF"/>
                  <w:sz w:val="20"/>
                  <w:u w:val="single"/>
                </w:rPr>
                <w:t>70</w:t>
              </w:r>
            </w:hyperlink>
          </w:p>
        </w:tc>
      </w:tr>
      <w:tr>
        <w:trPr/>
        <w:tc>
          <w:tcPr>
            <w:tcW w:w="8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073b1d06f604cfe91fe0fce7aa36bad_166">
              <w:r>
                <w:rPr>
                  <w:rStyle w:val="InternetLink"/>
                  <w:rFonts w:ascii="Times New Roman;sans-serif" w:hAnsi="Times New Roman;sans-serif"/>
                  <w:b w:val="false"/>
                  <w:color w:val="0000FF"/>
                  <w:sz w:val="20"/>
                  <w:u w:val="single"/>
                </w:rPr>
                <w:t>Item 4. Controls and Procedures</w:t>
              </w:r>
            </w:hyperlink>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073b1d06f604cfe91fe0fce7aa36bad_166">
              <w:r>
                <w:rPr>
                  <w:rStyle w:val="InternetLink"/>
                  <w:rFonts w:ascii="Times New Roman;sans-serif" w:hAnsi="Times New Roman;sans-serif"/>
                  <w:b w:val="false"/>
                  <w:color w:val="0000FF"/>
                  <w:sz w:val="20"/>
                  <w:u w:val="single"/>
                </w:rPr>
                <w:t>72</w:t>
              </w:r>
            </w:hyperlink>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 II - OTHER INFORMATION</w:t>
            </w:r>
          </w:p>
        </w:tc>
      </w:tr>
      <w:tr>
        <w:trPr/>
        <w:tc>
          <w:tcPr>
            <w:tcW w:w="8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073b1d06f604cfe91fe0fce7aa36bad_172">
              <w:r>
                <w:rPr>
                  <w:rStyle w:val="InternetLink"/>
                  <w:rFonts w:ascii="Times New Roman;sans-serif" w:hAnsi="Times New Roman;sans-serif"/>
                  <w:b w:val="false"/>
                  <w:color w:val="0000FF"/>
                  <w:sz w:val="20"/>
                  <w:u w:val="single"/>
                </w:rPr>
                <w:t>Item 1. Legal Proceedings</w:t>
              </w:r>
            </w:hyperlink>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073b1d06f604cfe91fe0fce7aa36bad_172">
              <w:r>
                <w:rPr>
                  <w:rStyle w:val="InternetLink"/>
                  <w:rFonts w:ascii="Times New Roman;sans-serif" w:hAnsi="Times New Roman;sans-serif"/>
                  <w:b w:val="false"/>
                  <w:color w:val="0000FF"/>
                  <w:sz w:val="20"/>
                  <w:u w:val="single"/>
                </w:rPr>
                <w:t>73</w:t>
              </w:r>
            </w:hyperlink>
          </w:p>
        </w:tc>
      </w:tr>
      <w:tr>
        <w:trPr/>
        <w:tc>
          <w:tcPr>
            <w:tcW w:w="8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073b1d06f604cfe91fe0fce7aa36bad_175">
              <w:r>
                <w:rPr>
                  <w:rStyle w:val="InternetLink"/>
                  <w:rFonts w:ascii="Times New Roman;sans-serif" w:hAnsi="Times New Roman;sans-serif"/>
                  <w:b w:val="false"/>
                  <w:color w:val="0000FF"/>
                  <w:sz w:val="20"/>
                  <w:u w:val="single"/>
                </w:rPr>
                <w:t>Item 1A. Risk Factors</w:t>
              </w:r>
            </w:hyperlink>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073b1d06f604cfe91fe0fce7aa36bad_175">
              <w:r>
                <w:rPr>
                  <w:rStyle w:val="InternetLink"/>
                  <w:rFonts w:ascii="Times New Roman;sans-serif" w:hAnsi="Times New Roman;sans-serif"/>
                  <w:b w:val="false"/>
                  <w:color w:val="0000FF"/>
                  <w:sz w:val="20"/>
                  <w:u w:val="single"/>
                </w:rPr>
                <w:t>73</w:t>
              </w:r>
            </w:hyperlink>
          </w:p>
        </w:tc>
      </w:tr>
      <w:tr>
        <w:trPr/>
        <w:tc>
          <w:tcPr>
            <w:tcW w:w="8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073b1d06f604cfe91fe0fce7aa36bad_178">
              <w:r>
                <w:rPr>
                  <w:rStyle w:val="InternetLink"/>
                  <w:rFonts w:ascii="Times New Roman;sans-serif" w:hAnsi="Times New Roman;sans-serif"/>
                  <w:b w:val="false"/>
                  <w:color w:val="0000FF"/>
                  <w:sz w:val="20"/>
                  <w:u w:val="single"/>
                </w:rPr>
                <w:t>Item 2. Unregistered Sales of Equity Securities and Use of Proceeds</w:t>
              </w:r>
            </w:hyperlink>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073b1d06f604cfe91fe0fce7aa36bad_178">
              <w:r>
                <w:rPr>
                  <w:rStyle w:val="InternetLink"/>
                  <w:rFonts w:ascii="Times New Roman;sans-serif" w:hAnsi="Times New Roman;sans-serif"/>
                  <w:b w:val="false"/>
                  <w:color w:val="0000FF"/>
                  <w:sz w:val="20"/>
                  <w:u w:val="single"/>
                </w:rPr>
                <w:t>73</w:t>
              </w:r>
            </w:hyperlink>
          </w:p>
        </w:tc>
      </w:tr>
      <w:tr>
        <w:trPr/>
        <w:tc>
          <w:tcPr>
            <w:tcW w:w="8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073b1d06f604cfe91fe0fce7aa36bad_181">
              <w:r>
                <w:rPr>
                  <w:rStyle w:val="InternetLink"/>
                  <w:rFonts w:ascii="Times New Roman;sans-serif" w:hAnsi="Times New Roman;sans-serif"/>
                  <w:b w:val="false"/>
                  <w:color w:val="0000FF"/>
                  <w:sz w:val="20"/>
                  <w:u w:val="single"/>
                </w:rPr>
                <w:t>Item 3. Defaults Upon Senior Securities</w:t>
              </w:r>
            </w:hyperlink>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073b1d06f604cfe91fe0fce7aa36bad_181">
              <w:r>
                <w:rPr>
                  <w:rStyle w:val="InternetLink"/>
                  <w:rFonts w:ascii="Times New Roman;sans-serif" w:hAnsi="Times New Roman;sans-serif"/>
                  <w:b w:val="false"/>
                  <w:color w:val="0000FF"/>
                  <w:sz w:val="20"/>
                  <w:u w:val="single"/>
                </w:rPr>
                <w:t>73</w:t>
              </w:r>
            </w:hyperlink>
          </w:p>
        </w:tc>
      </w:tr>
      <w:tr>
        <w:trPr/>
        <w:tc>
          <w:tcPr>
            <w:tcW w:w="8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073b1d06f604cfe91fe0fce7aa36bad_184">
              <w:r>
                <w:rPr>
                  <w:rStyle w:val="InternetLink"/>
                  <w:rFonts w:ascii="Times New Roman;sans-serif" w:hAnsi="Times New Roman;sans-serif"/>
                  <w:b w:val="false"/>
                  <w:color w:val="0000FF"/>
                  <w:sz w:val="20"/>
                  <w:u w:val="single"/>
                </w:rPr>
                <w:t>Item 4. Mine Safety Disclosures</w:t>
              </w:r>
            </w:hyperlink>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073b1d06f604cfe91fe0fce7aa36bad_184">
              <w:r>
                <w:rPr>
                  <w:rStyle w:val="InternetLink"/>
                  <w:rFonts w:ascii="Times New Roman;sans-serif" w:hAnsi="Times New Roman;sans-serif"/>
                  <w:b w:val="false"/>
                  <w:color w:val="0000FF"/>
                  <w:sz w:val="20"/>
                  <w:u w:val="single"/>
                </w:rPr>
                <w:t>73</w:t>
              </w:r>
            </w:hyperlink>
          </w:p>
        </w:tc>
      </w:tr>
      <w:tr>
        <w:trPr/>
        <w:tc>
          <w:tcPr>
            <w:tcW w:w="8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073b1d06f604cfe91fe0fce7aa36bad_187">
              <w:r>
                <w:rPr>
                  <w:rStyle w:val="InternetLink"/>
                  <w:rFonts w:ascii="Times New Roman;sans-serif" w:hAnsi="Times New Roman;sans-serif"/>
                  <w:b w:val="false"/>
                  <w:color w:val="0000FF"/>
                  <w:sz w:val="20"/>
                  <w:u w:val="single"/>
                </w:rPr>
                <w:t>Item 5. Other Information</w:t>
              </w:r>
            </w:hyperlink>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073b1d06f604cfe91fe0fce7aa36bad_187">
              <w:r>
                <w:rPr>
                  <w:rStyle w:val="InternetLink"/>
                  <w:rFonts w:ascii="Times New Roman;sans-serif" w:hAnsi="Times New Roman;sans-serif"/>
                  <w:b w:val="false"/>
                  <w:color w:val="0000FF"/>
                  <w:sz w:val="20"/>
                  <w:u w:val="single"/>
                </w:rPr>
                <w:t>73</w:t>
              </w:r>
            </w:hyperlink>
          </w:p>
        </w:tc>
      </w:tr>
      <w:tr>
        <w:trPr/>
        <w:tc>
          <w:tcPr>
            <w:tcW w:w="8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073b1d06f604cfe91fe0fce7aa36bad_190">
              <w:r>
                <w:rPr>
                  <w:rStyle w:val="InternetLink"/>
                  <w:rFonts w:ascii="Times New Roman;sans-serif" w:hAnsi="Times New Roman;sans-serif"/>
                  <w:b w:val="false"/>
                  <w:color w:val="0000FF"/>
                  <w:sz w:val="20"/>
                  <w:u w:val="single"/>
                </w:rPr>
                <w:t>Item 6. Exhibits</w:t>
              </w:r>
            </w:hyperlink>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073b1d06f604cfe91fe0fce7aa36bad_190">
              <w:r>
                <w:rPr>
                  <w:rStyle w:val="InternetLink"/>
                  <w:rFonts w:ascii="Times New Roman;sans-serif" w:hAnsi="Times New Roman;sans-serif"/>
                  <w:b w:val="false"/>
                  <w:color w:val="0000FF"/>
                  <w:sz w:val="20"/>
                  <w:u w:val="single"/>
                </w:rPr>
                <w:t>74</w:t>
              </w:r>
            </w:hyperlink>
          </w:p>
        </w:tc>
      </w:tr>
      <w:tr>
        <w:trPr/>
        <w:tc>
          <w:tcPr>
            <w:tcW w:w="8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073b1d06f604cfe91fe0fce7aa36bad_193">
              <w:r>
                <w:rPr>
                  <w:rStyle w:val="InternetLink"/>
                  <w:rFonts w:ascii="Times New Roman;sans-serif" w:hAnsi="Times New Roman;sans-serif"/>
                  <w:b w:val="false"/>
                  <w:color w:val="0000FF"/>
                  <w:sz w:val="20"/>
                  <w:u w:val="single"/>
                </w:rPr>
                <w:t>Signatures</w:t>
              </w:r>
            </w:hyperlink>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073b1d06f604cfe91fe0fce7aa36bad_193">
              <w:r>
                <w:rPr>
                  <w:rStyle w:val="InternetLink"/>
                  <w:rFonts w:ascii="Times New Roman;sans-serif" w:hAnsi="Times New Roman;sans-serif"/>
                  <w:b w:val="false"/>
                  <w:color w:val="0000FF"/>
                  <w:sz w:val="20"/>
                  <w:u w:val="single"/>
                </w:rPr>
                <w:t>75</w:t>
              </w:r>
            </w:hyperlink>
          </w:p>
        </w:tc>
      </w:tr>
    </w:tbl>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This quarterly report on Form 10-Q (“Form 10-Q”)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Unless otherwise indicated or the context otherwise requires:</w:t>
      </w:r>
    </w:p>
    <w:p>
      <w:pPr>
        <w:pStyle w:val="TextBody"/>
        <w:bidi w:val="0"/>
        <w:spacing w:lineRule="auto" w:line="288" w:before="0" w:after="240"/>
        <w:jc w:val="left"/>
        <w:rPr/>
      </w:pPr>
      <w:r>
        <w:rPr>
          <w:color w:val="000000"/>
        </w:rPr>
        <w:t>• “</w:t>
      </w:r>
      <w:r>
        <w:rPr>
          <w:rFonts w:ascii="Times New Roman;sans-serif" w:hAnsi="Times New Roman;sans-serif"/>
          <w:b/>
          <w:color w:val="000000"/>
          <w:sz w:val="22"/>
        </w:rPr>
        <w:t>StepStone Group Inc.</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SSG</w:t>
      </w:r>
      <w:r>
        <w:rPr>
          <w:color w:val="000000"/>
        </w:rPr>
        <w:t xml:space="preserve">” </w:t>
      </w:r>
      <w:r>
        <w:rPr>
          <w:rFonts w:ascii="Times New Roman;sans-serif" w:hAnsi="Times New Roman;sans-serif"/>
          <w:b w:val="false"/>
          <w:color w:val="000000"/>
          <w:sz w:val="22"/>
        </w:rPr>
        <w:t>refers solely to StepStone Group Inc., a Delaware corporation, and not to any of its subsidiaries;</w:t>
      </w:r>
    </w:p>
    <w:p>
      <w:pPr>
        <w:pStyle w:val="TextBody"/>
        <w:bidi w:val="0"/>
        <w:spacing w:lineRule="auto" w:line="288" w:before="0" w:after="240"/>
        <w:jc w:val="left"/>
        <w:rPr/>
      </w:pP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2"/>
        </w:rPr>
        <w:t>Partnership</w:t>
      </w:r>
      <w:r>
        <w:rPr>
          <w:color w:val="000000"/>
        </w:rPr>
        <w:t xml:space="preserve">” </w:t>
      </w:r>
      <w:r>
        <w:rPr>
          <w:rFonts w:ascii="Times New Roman;sans-serif" w:hAnsi="Times New Roman;sans-serif"/>
          <w:b w:val="false"/>
          <w:color w:val="000000"/>
          <w:sz w:val="22"/>
        </w:rPr>
        <w:t>refers solely to StepStone Group LP, a Delaware limited partnership, and not to any of its subsidiaries;</w:t>
      </w:r>
    </w:p>
    <w:p>
      <w:pPr>
        <w:pStyle w:val="TextBody"/>
        <w:bidi w:val="0"/>
        <w:spacing w:lineRule="auto" w:line="288" w:before="0" w:after="240"/>
        <w:jc w:val="left"/>
        <w:rPr/>
      </w:pPr>
      <w:r>
        <w:rPr>
          <w:color w:val="000000"/>
        </w:rPr>
        <w:t>• “</w:t>
      </w:r>
      <w:r>
        <w:rPr>
          <w:rFonts w:ascii="Times New Roman;sans-serif" w:hAnsi="Times New Roman;sans-serif"/>
          <w:b/>
          <w:color w:val="000000"/>
          <w:sz w:val="22"/>
        </w:rPr>
        <w:t>General Partner</w:t>
      </w:r>
      <w:r>
        <w:rPr>
          <w:color w:val="000000"/>
        </w:rPr>
        <w:t xml:space="preserve">” </w:t>
      </w:r>
      <w:r>
        <w:rPr>
          <w:rFonts w:ascii="Times New Roman;sans-serif" w:hAnsi="Times New Roman;sans-serif"/>
          <w:b w:val="false"/>
          <w:color w:val="000000"/>
          <w:sz w:val="22"/>
        </w:rPr>
        <w:t>refers to StepStone Group Holdings LLC, a Delaware limited liability company, and the sole general partner of the Partnership;</w:t>
      </w:r>
    </w:p>
    <w:p>
      <w:pPr>
        <w:pStyle w:val="TextBody"/>
        <w:bidi w:val="0"/>
        <w:spacing w:lineRule="auto" w:line="288" w:before="0" w:after="240"/>
        <w:jc w:val="left"/>
        <w:rPr/>
      </w:pPr>
      <w:r>
        <w:rPr>
          <w:color w:val="000000"/>
        </w:rPr>
        <w:t>• “</w:t>
      </w:r>
      <w:r>
        <w:rPr>
          <w:rFonts w:ascii="Times New Roman;sans-serif" w:hAnsi="Times New Roman;sans-serif"/>
          <w:b/>
          <w:color w:val="000000"/>
          <w:sz w:val="22"/>
        </w:rPr>
        <w:t>we</w:t>
      </w:r>
      <w:r>
        <w:rPr>
          <w:rFonts w:ascii="Times New Roman;sans-serif" w:hAnsi="Times New Roman;sans-serif"/>
          <w:b w:val="false"/>
          <w:color w:val="000000"/>
          <w:sz w:val="22"/>
        </w:rPr>
        <w:t>,” “</w:t>
      </w:r>
      <w:r>
        <w:rPr>
          <w:rFonts w:ascii="Times New Roman;sans-serif" w:hAnsi="Times New Roman;sans-serif"/>
          <w:b/>
          <w:color w:val="000000"/>
          <w:sz w:val="22"/>
        </w:rPr>
        <w:t>us</w:t>
      </w:r>
      <w:r>
        <w:rPr>
          <w:rFonts w:ascii="Times New Roman;sans-serif" w:hAnsi="Times New Roman;sans-serif"/>
          <w:b w:val="false"/>
          <w:color w:val="000000"/>
          <w:sz w:val="22"/>
        </w:rPr>
        <w:t>,” “</w:t>
      </w:r>
      <w:r>
        <w:rPr>
          <w:rFonts w:ascii="Times New Roman;sans-serif" w:hAnsi="Times New Roman;sans-serif"/>
          <w:b/>
          <w:color w:val="000000"/>
          <w:sz w:val="22"/>
        </w:rPr>
        <w:t>our</w:t>
      </w:r>
      <w:r>
        <w:rPr>
          <w:rFonts w:ascii="Times New Roman;sans-serif" w:hAnsi="Times New Roman;sans-serif"/>
          <w:b w:val="false"/>
          <w:color w:val="000000"/>
          <w:sz w:val="22"/>
        </w:rPr>
        <w:t>,” the “</w:t>
      </w:r>
      <w:r>
        <w:rPr>
          <w:rFonts w:ascii="Times New Roman;sans-serif" w:hAnsi="Times New Roman;sans-serif"/>
          <w:b/>
          <w:color w:val="000000"/>
          <w:sz w:val="22"/>
        </w:rPr>
        <w:t>Company</w:t>
      </w:r>
      <w:r>
        <w:rPr>
          <w:rFonts w:ascii="Times New Roman;sans-serif" w:hAnsi="Times New Roman;sans-serif"/>
          <w:b w:val="false"/>
          <w:color w:val="000000"/>
          <w:sz w:val="22"/>
        </w:rPr>
        <w:t>,” “</w:t>
      </w:r>
      <w:r>
        <w:rPr>
          <w:rFonts w:ascii="Times New Roman;sans-serif" w:hAnsi="Times New Roman;sans-serif"/>
          <w:b/>
          <w:color w:val="000000"/>
          <w:sz w:val="22"/>
        </w:rPr>
        <w:t>our</w:t>
      </w:r>
      <w:r>
        <w:rPr>
          <w:color w:val="000000"/>
        </w:rPr>
        <w:t xml:space="preserve"> </w:t>
      </w:r>
      <w:r>
        <w:rPr>
          <w:rFonts w:ascii="Times New Roman;sans-serif" w:hAnsi="Times New Roman;sans-serif"/>
          <w:b/>
          <w:color w:val="000000"/>
          <w:sz w:val="22"/>
        </w:rPr>
        <w:t>company</w:t>
      </w:r>
      <w:r>
        <w:rPr>
          <w:rFonts w:ascii="Times New Roman;sans-serif" w:hAnsi="Times New Roman;sans-serif"/>
          <w:b w:val="false"/>
          <w:color w:val="000000"/>
          <w:sz w:val="22"/>
        </w:rPr>
        <w:t>,” “</w:t>
      </w:r>
      <w:r>
        <w:rPr>
          <w:rFonts w:ascii="Times New Roman;sans-serif" w:hAnsi="Times New Roman;sans-serif"/>
          <w:b/>
          <w:color w:val="000000"/>
          <w:sz w:val="22"/>
        </w:rPr>
        <w:t>StepStone</w:t>
      </w:r>
      <w:r>
        <w:rPr>
          <w:color w:val="000000"/>
        </w:rPr>
        <w:t xml:space="preserve">” </w:t>
      </w:r>
      <w:r>
        <w:rPr>
          <w:rFonts w:ascii="Times New Roman;sans-serif" w:hAnsi="Times New Roman;sans-serif"/>
          <w:b w:val="false"/>
          <w:color w:val="000000"/>
          <w:sz w:val="22"/>
        </w:rPr>
        <w:t>and similar terms refer to SSG and its consolidated subsidiaries, including the Partnership;</w:t>
      </w:r>
    </w:p>
    <w:p>
      <w:pPr>
        <w:pStyle w:val="TextBody"/>
        <w:bidi w:val="0"/>
        <w:spacing w:lineRule="auto" w:line="288" w:before="0" w:after="240"/>
        <w:jc w:val="left"/>
        <w:rPr/>
      </w:pPr>
      <w:r>
        <w:rPr>
          <w:color w:val="000000"/>
        </w:rPr>
        <w:t>• “</w:t>
      </w:r>
      <w:r>
        <w:rPr>
          <w:rFonts w:ascii="Times New Roman;sans-serif" w:hAnsi="Times New Roman;sans-serif"/>
          <w:b/>
          <w:color w:val="000000"/>
          <w:sz w:val="22"/>
        </w:rPr>
        <w:t>StepStone</w:t>
      </w:r>
      <w:r>
        <w:rPr>
          <w:color w:val="000000"/>
        </w:rPr>
        <w:t xml:space="preserve"> </w:t>
      </w:r>
      <w:r>
        <w:rPr>
          <w:rFonts w:ascii="Times New Roman;sans-serif" w:hAnsi="Times New Roman;sans-serif"/>
          <w:b/>
          <w:color w:val="000000"/>
          <w:sz w:val="22"/>
        </w:rPr>
        <w:t>Funds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our</w:t>
      </w:r>
      <w:r>
        <w:rPr>
          <w:color w:val="000000"/>
        </w:rPr>
        <w:t xml:space="preserve"> </w:t>
      </w:r>
      <w:r>
        <w:rPr>
          <w:rFonts w:ascii="Times New Roman;sans-serif" w:hAnsi="Times New Roman;sans-serif"/>
          <w:b/>
          <w:color w:val="000000"/>
          <w:sz w:val="22"/>
        </w:rPr>
        <w:t>funds</w:t>
      </w:r>
      <w:r>
        <w:rPr>
          <w:color w:val="000000"/>
        </w:rPr>
        <w:t xml:space="preserve">” </w:t>
      </w:r>
      <w:r>
        <w:rPr>
          <w:rFonts w:ascii="Times New Roman;sans-serif" w:hAnsi="Times New Roman;sans-serif"/>
          <w:b w:val="false"/>
          <w:color w:val="000000"/>
          <w:sz w:val="22"/>
        </w:rPr>
        <w:t>refer to our focused commingled funds and our separately managed accounts, including acquired Greenspring funds, for which we act as both investment adviser and general partner or managing member;</w:t>
      </w:r>
    </w:p>
    <w:p>
      <w:pPr>
        <w:pStyle w:val="TextBody"/>
        <w:bidi w:val="0"/>
        <w:spacing w:lineRule="auto" w:line="288" w:before="0" w:after="240"/>
        <w:jc w:val="left"/>
        <w:rPr/>
      </w:pPr>
      <w:r>
        <w:rPr>
          <w:color w:val="000000"/>
        </w:rPr>
        <w:t xml:space="preserve">• </w:t>
      </w:r>
      <w:r>
        <w:rPr>
          <w:rFonts w:ascii="Times New Roman;sans-serif" w:hAnsi="Times New Roman;sans-serif"/>
          <w:b w:val="false"/>
          <w:color w:val="000000"/>
          <w:sz w:val="22"/>
        </w:rPr>
        <w:t>references to the “</w:t>
      </w:r>
      <w:r>
        <w:rPr>
          <w:rFonts w:ascii="Times New Roman;sans-serif" w:hAnsi="Times New Roman;sans-serif"/>
          <w:b/>
          <w:color w:val="000000"/>
          <w:sz w:val="22"/>
        </w:rPr>
        <w:t>Greenspring acquisition</w:t>
      </w:r>
      <w:r>
        <w:rPr>
          <w:color w:val="000000"/>
        </w:rPr>
        <w:t xml:space="preserve">” </w:t>
      </w:r>
      <w:r>
        <w:rPr>
          <w:rFonts w:ascii="Times New Roman;sans-serif" w:hAnsi="Times New Roman;sans-serif"/>
          <w:b w:val="false"/>
          <w:color w:val="000000"/>
          <w:sz w:val="22"/>
        </w:rPr>
        <w:t>refer to the acquisition of Greenspring Associates, Inc. and certain of its affiliates (“</w:t>
      </w:r>
      <w:r>
        <w:rPr>
          <w:rFonts w:ascii="Times New Roman;sans-serif" w:hAnsi="Times New Roman;sans-serif"/>
          <w:b/>
          <w:color w:val="000000"/>
          <w:sz w:val="22"/>
        </w:rPr>
        <w:t>Greenspring</w:t>
      </w:r>
      <w:r>
        <w:rPr>
          <w:color w:val="000000"/>
        </w:rPr>
        <w:t>”</w:t>
      </w:r>
      <w:r>
        <w:rPr>
          <w:rFonts w:ascii="Times New Roman;sans-serif" w:hAnsi="Times New Roman;sans-serif"/>
          <w:b w:val="false"/>
          <w:color w:val="000000"/>
          <w:sz w:val="22"/>
        </w:rPr>
        <w:t>) that was completed on September 20, 2021;</w:t>
      </w:r>
    </w:p>
    <w:p>
      <w:pPr>
        <w:pStyle w:val="TextBody"/>
        <w:bidi w:val="0"/>
        <w:spacing w:lineRule="auto" w:line="288" w:before="0" w:after="240"/>
        <w:jc w:val="left"/>
        <w:rPr/>
      </w:pPr>
      <w:r>
        <w:rPr>
          <w:color w:val="000000"/>
        </w:rPr>
        <w:t xml:space="preserve">• </w:t>
      </w:r>
      <w:r>
        <w:rPr>
          <w:rFonts w:ascii="Times New Roman;sans-serif" w:hAnsi="Times New Roman;sans-serif"/>
          <w:b w:val="false"/>
          <w:color w:val="000000"/>
          <w:sz w:val="22"/>
        </w:rPr>
        <w:t>references to “</w:t>
      </w:r>
      <w:r>
        <w:rPr>
          <w:rFonts w:ascii="Times New Roman;sans-serif" w:hAnsi="Times New Roman;sans-serif"/>
          <w:b/>
          <w:color w:val="000000"/>
          <w:sz w:val="22"/>
        </w:rPr>
        <w:t>FY</w:t>
      </w:r>
      <w:r>
        <w:rPr>
          <w:rFonts w:ascii="Times New Roman;sans-serif" w:hAnsi="Times New Roman;sans-serif"/>
          <w:b w:val="false"/>
          <w:color w:val="000000"/>
          <w:sz w:val="22"/>
        </w:rPr>
        <w:t>,” “</w:t>
      </w:r>
      <w:r>
        <w:rPr>
          <w:rFonts w:ascii="Times New Roman;sans-serif" w:hAnsi="Times New Roman;sans-serif"/>
          <w:b/>
          <w:color w:val="000000"/>
          <w:sz w:val="22"/>
        </w:rPr>
        <w:t>fiscal</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fiscal</w:t>
      </w:r>
      <w:r>
        <w:rPr>
          <w:color w:val="000000"/>
        </w:rPr>
        <w:t xml:space="preserve"> </w:t>
      </w:r>
      <w:r>
        <w:rPr>
          <w:rFonts w:ascii="Times New Roman;sans-serif" w:hAnsi="Times New Roman;sans-serif"/>
          <w:b/>
          <w:color w:val="000000"/>
          <w:sz w:val="22"/>
        </w:rPr>
        <w:t>year</w:t>
      </w:r>
      <w:r>
        <w:rPr>
          <w:color w:val="000000"/>
        </w:rPr>
        <w:t xml:space="preserve">” </w:t>
      </w:r>
      <w:r>
        <w:rPr>
          <w:rFonts w:ascii="Times New Roman;sans-serif" w:hAnsi="Times New Roman;sans-serif"/>
          <w:b w:val="false"/>
          <w:color w:val="000000"/>
          <w:sz w:val="22"/>
        </w:rPr>
        <w:t>are to the fiscal year ended March 31 of the applicable year;</w:t>
      </w:r>
    </w:p>
    <w:p>
      <w:pPr>
        <w:pStyle w:val="TextBody"/>
        <w:bidi w:val="0"/>
        <w:spacing w:lineRule="auto" w:line="288" w:before="0" w:after="240"/>
        <w:jc w:val="left"/>
        <w:rPr/>
      </w:pPr>
      <w:r>
        <w:rPr>
          <w:color w:val="000000"/>
        </w:rPr>
        <w:t xml:space="preserve">• </w:t>
      </w:r>
      <w:r>
        <w:rPr>
          <w:rFonts w:ascii="Times New Roman;sans-serif" w:hAnsi="Times New Roman;sans-serif"/>
          <w:b w:val="false"/>
          <w:color w:val="000000"/>
          <w:sz w:val="22"/>
        </w:rPr>
        <w:t>references to the “</w:t>
      </w:r>
      <w:r>
        <w:rPr>
          <w:rFonts w:ascii="Times New Roman;sans-serif" w:hAnsi="Times New Roman;sans-serif"/>
          <w:b/>
          <w:color w:val="000000"/>
          <w:sz w:val="22"/>
        </w:rPr>
        <w:t>Reorganization</w:t>
      </w:r>
      <w:r>
        <w:rPr>
          <w:color w:val="000000"/>
        </w:rPr>
        <w:t xml:space="preserve">” </w:t>
      </w:r>
      <w:r>
        <w:rPr>
          <w:rFonts w:ascii="Times New Roman;sans-serif" w:hAnsi="Times New Roman;sans-serif"/>
          <w:b w:val="false"/>
          <w:color w:val="000000"/>
          <w:sz w:val="22"/>
        </w:rPr>
        <w:t>refer to the series of transactions immediately before the Company’s initial public offering (“</w:t>
      </w:r>
      <w:r>
        <w:rPr>
          <w:rFonts w:ascii="Times New Roman;sans-serif" w:hAnsi="Times New Roman;sans-serif"/>
          <w:b/>
          <w:color w:val="000000"/>
          <w:sz w:val="22"/>
        </w:rPr>
        <w:t>IPO</w:t>
      </w:r>
      <w:r>
        <w:rPr>
          <w:color w:val="000000"/>
        </w:rPr>
        <w:t>”</w:t>
      </w:r>
      <w:r>
        <w:rPr>
          <w:rFonts w:ascii="Times New Roman;sans-serif" w:hAnsi="Times New Roman;sans-serif"/>
          <w:b w:val="false"/>
          <w:color w:val="000000"/>
          <w:sz w:val="22"/>
        </w:rPr>
        <w:t>), which was completed on September 18, 2020;</w:t>
      </w:r>
    </w:p>
    <w:p>
      <w:pPr>
        <w:pStyle w:val="TextBody"/>
        <w:bidi w:val="0"/>
        <w:spacing w:lineRule="auto" w:line="288" w:before="0" w:after="240"/>
        <w:jc w:val="left"/>
        <w:rPr/>
      </w:pPr>
      <w:r>
        <w:rPr>
          <w:color w:val="000000"/>
        </w:rPr>
        <w:t xml:space="preserve">• </w:t>
      </w:r>
      <w:r>
        <w:rPr>
          <w:rFonts w:ascii="Times New Roman;sans-serif" w:hAnsi="Times New Roman;sans-serif"/>
          <w:b w:val="false"/>
          <w:color w:val="000000"/>
          <w:sz w:val="22"/>
        </w:rPr>
        <w:t>references to “</w:t>
      </w:r>
      <w:r>
        <w:rPr>
          <w:rFonts w:ascii="Times New Roman;sans-serif" w:hAnsi="Times New Roman;sans-serif"/>
          <w:b/>
          <w:color w:val="000000"/>
          <w:sz w:val="22"/>
        </w:rPr>
        <w:t>private markets allocations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total capital responsibility</w:t>
      </w:r>
      <w:r>
        <w:rPr>
          <w:color w:val="000000"/>
        </w:rPr>
        <w:t xml:space="preserve">” </w:t>
      </w:r>
      <w:r>
        <w:rPr>
          <w:rFonts w:ascii="Times New Roman;sans-serif" w:hAnsi="Times New Roman;sans-serif"/>
          <w:b w:val="false"/>
          <w:color w:val="000000"/>
          <w:sz w:val="22"/>
        </w:rPr>
        <w:t>refer to the aggregate amount of our assets under management (“</w:t>
      </w:r>
      <w:r>
        <w:rPr>
          <w:rFonts w:ascii="Times New Roman;sans-serif" w:hAnsi="Times New Roman;sans-serif"/>
          <w:b/>
          <w:color w:val="000000"/>
          <w:sz w:val="22"/>
        </w:rPr>
        <w:t>AUM</w:t>
      </w:r>
      <w:r>
        <w:rPr>
          <w:color w:val="000000"/>
        </w:rPr>
        <w:t>”</w:t>
      </w:r>
      <w:r>
        <w:rPr>
          <w:rFonts w:ascii="Times New Roman;sans-serif" w:hAnsi="Times New Roman;sans-serif"/>
          <w:b w:val="false"/>
          <w:color w:val="000000"/>
          <w:sz w:val="22"/>
        </w:rPr>
        <w:t>) and our assets under advisement (“</w:t>
      </w:r>
      <w:r>
        <w:rPr>
          <w:rFonts w:ascii="Times New Roman;sans-serif" w:hAnsi="Times New Roman;sans-serif"/>
          <w:b/>
          <w:color w:val="000000"/>
          <w:sz w:val="22"/>
        </w:rPr>
        <w:t>AUA”</w:t>
      </w:r>
      <w:r>
        <w:rPr>
          <w:rFonts w:ascii="Times New Roman;sans-serif" w:hAnsi="Times New Roman;sans-serif"/>
          <w:b w:val="false"/>
          <w:color w:val="000000"/>
          <w:sz w:val="22"/>
        </w:rPr>
        <w:t>);</w:t>
      </w:r>
    </w:p>
    <w:p>
      <w:pPr>
        <w:pStyle w:val="TextBody"/>
        <w:bidi w:val="0"/>
        <w:spacing w:lineRule="auto" w:line="288" w:before="0" w:after="240"/>
        <w:jc w:val="left"/>
        <w:rPr/>
      </w:pPr>
      <w:r>
        <w:rPr>
          <w:color w:val="000000"/>
        </w:rPr>
        <w:t xml:space="preserve">• </w:t>
      </w:r>
      <w:r>
        <w:rPr>
          <w:rFonts w:ascii="Times New Roman;sans-serif" w:hAnsi="Times New Roman;sans-serif"/>
          <w:b w:val="false"/>
          <w:color w:val="000000"/>
          <w:sz w:val="22"/>
        </w:rPr>
        <w:t>references to “</w:t>
      </w:r>
      <w:r>
        <w:rPr>
          <w:rFonts w:ascii="Times New Roman;sans-serif" w:hAnsi="Times New Roman;sans-serif"/>
          <w:b/>
          <w:color w:val="000000"/>
          <w:sz w:val="22"/>
        </w:rPr>
        <w:t>high-net-worth</w:t>
      </w:r>
      <w:r>
        <w:rPr>
          <w:color w:val="000000"/>
        </w:rPr>
        <w:t xml:space="preserve">” </w:t>
      </w:r>
      <w:r>
        <w:rPr>
          <w:rFonts w:ascii="Times New Roman;sans-serif" w:hAnsi="Times New Roman;sans-serif"/>
          <w:b w:val="false"/>
          <w:color w:val="000000"/>
          <w:sz w:val="22"/>
        </w:rPr>
        <w:t>individuals refer to individuals with net worth of over $5 million, excluding primary residence;</w:t>
      </w:r>
    </w:p>
    <w:p>
      <w:pPr>
        <w:pStyle w:val="TextBody"/>
        <w:bidi w:val="0"/>
        <w:spacing w:lineRule="auto" w:line="288" w:before="0" w:after="240"/>
        <w:jc w:val="left"/>
        <w:rPr/>
      </w:pPr>
      <w:r>
        <w:rPr>
          <w:color w:val="000000"/>
        </w:rPr>
        <w:t xml:space="preserve">• </w:t>
      </w:r>
      <w:r>
        <w:rPr>
          <w:rFonts w:ascii="Times New Roman;sans-serif" w:hAnsi="Times New Roman;sans-serif"/>
          <w:b w:val="false"/>
          <w:color w:val="000000"/>
          <w:sz w:val="22"/>
        </w:rPr>
        <w:t>references to “</w:t>
      </w:r>
      <w:r>
        <w:rPr>
          <w:rFonts w:ascii="Times New Roman;sans-serif" w:hAnsi="Times New Roman;sans-serif"/>
          <w:b/>
          <w:color w:val="000000"/>
          <w:sz w:val="22"/>
        </w:rPr>
        <w:t>mass affluent</w:t>
      </w:r>
      <w:r>
        <w:rPr>
          <w:color w:val="000000"/>
        </w:rPr>
        <w:t xml:space="preserve">” </w:t>
      </w:r>
      <w:r>
        <w:rPr>
          <w:rFonts w:ascii="Times New Roman;sans-serif" w:hAnsi="Times New Roman;sans-serif"/>
          <w:b w:val="false"/>
          <w:color w:val="000000"/>
          <w:sz w:val="22"/>
        </w:rPr>
        <w:t>individuals refer to individuals with annual income over $200,000 or net worth between $1 million and $5 million, excluding primary residence; and</w:t>
      </w:r>
    </w:p>
    <w:p>
      <w:pPr>
        <w:pStyle w:val="TextBody"/>
        <w:bidi w:val="0"/>
        <w:spacing w:lineRule="auto" w:line="288" w:before="0" w:after="240"/>
        <w:jc w:val="left"/>
        <w:rPr/>
      </w:pPr>
      <w:r>
        <w:rPr>
          <w:color w:val="000000"/>
        </w:rPr>
        <w:t xml:space="preserve">• </w:t>
      </w:r>
      <w:r>
        <w:rPr>
          <w:rFonts w:ascii="Times New Roman;sans-serif" w:hAnsi="Times New Roman;sans-serif"/>
          <w:b w:val="false"/>
          <w:color w:val="000000"/>
          <w:sz w:val="22"/>
        </w:rPr>
        <w:t>references to “</w:t>
      </w:r>
      <w:r>
        <w:rPr>
          <w:rFonts w:ascii="Times New Roman;sans-serif" w:hAnsi="Times New Roman;sans-serif"/>
          <w:b/>
          <w:color w:val="000000"/>
          <w:sz w:val="22"/>
        </w:rPr>
        <w:t>Consolidated Funds</w:t>
      </w:r>
      <w:r>
        <w:rPr>
          <w:color w:val="000000"/>
        </w:rPr>
        <w:t xml:space="preserve">” </w:t>
      </w:r>
      <w:r>
        <w:rPr>
          <w:rFonts w:ascii="Times New Roman;sans-serif" w:hAnsi="Times New Roman;sans-serif"/>
          <w:b w:val="false"/>
          <w:color w:val="000000"/>
          <w:sz w:val="22"/>
        </w:rPr>
        <w:t>refer to the StepStone Funds that we are required to consolidate as of the applicable reporting period.</w:t>
      </w:r>
    </w:p>
    <w:p>
      <w:pPr>
        <w:pStyle w:val="TextBody"/>
        <w:bidi w:val="0"/>
        <w:spacing w:before="0" w:after="240"/>
        <w:ind w:left="0" w:right="0" w:firstLine="720"/>
        <w:jc w:val="center"/>
        <w:rPr/>
      </w:pPr>
      <w:r>
        <w:rPr/>
      </w:r>
    </w:p>
    <w:p>
      <w:pPr>
        <w:pStyle w:val="TextBody"/>
        <w:bidi w:val="0"/>
        <w:spacing w:before="0" w:after="24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TRADEMARKS, SERVICE MARKS AND TRADE NAMES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10-Q are listed without the ©, ® and ™ symbols, but we will assert, to the fullest extent under applicable law, our rights or the rights of the applicable licensors to these trademarks, service marks, trade names and copyrights.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FORWARD-LOOKING STATEMENTS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This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10-Q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and the risks and uncertainties described in greater detail under “Risk Factors” in Part I, Item 1A of our annual report on Form 10-K for the fiscal year ended March 31, 2023 and in our subsequent reports filed from time to time with the U.S. Securities and Exchange Commission (“SEC”), which are accessible on the SEC’s website at www.sec.gov. These factors should not be construed as exhaustive and should be read in conjunction with the other cautionary statements that are included in this Form 10-Q and in our other periodic filings. We undertake no obligation to revise or update any forward-looking statements, whether as a result of new information, future events or otherwise, except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ans-serif" w:hAnsi="Times New Roman;sans-serif"/>
          <w:b/>
          <w:color w:val="000000"/>
          <w:sz w:val="22"/>
        </w:rPr>
      </w:pPr>
      <w:r>
        <w:rPr>
          <w:rFonts w:ascii="Times New Roman;sans-serif" w:hAnsi="Times New Roman;sans-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Balance Sheets (Unaudited)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78"/>
        <w:gridCol w:w="2311"/>
        <w:gridCol w:w="2345"/>
        <w:gridCol w:w="196"/>
        <w:gridCol w:w="871"/>
        <w:gridCol w:w="109"/>
        <w:gridCol w:w="109"/>
        <w:gridCol w:w="109"/>
        <w:gridCol w:w="109"/>
        <w:gridCol w:w="203"/>
        <w:gridCol w:w="904"/>
        <w:gridCol w:w="161"/>
      </w:tblGrid>
      <w:tr>
        <w:trPr/>
        <w:tc>
          <w:tcPr>
            <w:tcW w:w="2778"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Fees and accounts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from affiliates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Investments: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 in funds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115,187 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carried interest allocations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1,227,173 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Legacy Greenspring investments in funds and accrued carried interest allocations</w:t>
            </w:r>
            <w:r>
              <w:rPr>
                <w:rFonts w:ascii="Times New Roman;sans-serif" w:hAnsi="Times New Roman;sans-serif"/>
                <w:b w:val="false"/>
                <w:color w:val="000000"/>
                <w:sz w:val="10"/>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770,652 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right-of-use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 and receivables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354,645 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580,542 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i/>
                <w:color w:val="000000"/>
                <w:sz w:val="16"/>
              </w:rPr>
            </w:pPr>
            <w:r>
              <w:rPr>
                <w:rFonts w:ascii="Times New Roman;sans-serif" w:hAnsi="Times New Roman;sans-serif"/>
                <w:b w:val="false"/>
                <w:i/>
                <w:color w:val="000000"/>
                <w:sz w:val="16"/>
              </w:rPr>
              <w:t>Assets of Consolidated Funds: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3,530,782 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3,497,403 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other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benefits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carried interest-related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644,517 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Legacy Greenspring accrued carried interest-related compensation</w:t>
            </w:r>
            <w:r>
              <w:rPr>
                <w:rFonts w:ascii="Times New Roman;sans-serif" w:hAnsi="Times New Roman;sans-serif"/>
                <w:b w:val="false"/>
                <w:color w:val="000000"/>
                <w:sz w:val="10"/>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617,994 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to affiliates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205,424 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i/>
                <w:color w:val="000000"/>
                <w:sz w:val="16"/>
              </w:rPr>
            </w:pPr>
            <w:r>
              <w:rPr>
                <w:rFonts w:ascii="Times New Roman;sans-serif" w:hAnsi="Times New Roman;sans-serif"/>
                <w:b w:val="false"/>
                <w:i/>
                <w:color w:val="000000"/>
                <w:sz w:val="16"/>
              </w:rPr>
              <w:t>Liabilities of Consolidated Funds: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1,860,621 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1,844,086 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14)</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Redeemable non-controlling interests in Consolidated Funds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4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$0.001 par value, 650,000,000 authorized; 62,834,871 and 62,834,791 issued and outstanding as of June 30, 2023 and March 31, 2023,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Class B common stock, $0.001 par value, 125,000,000 authorized; 46,420,141 and 46,420,141 issued and outstanding as of June 30, 2023 and March 31, 2023,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610,567 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160,430 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StepStone Group Inc.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771,567 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 in subsidiaries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Non-controlling interests in legacy Greenspring entities</w:t>
            </w:r>
            <w:r>
              <w:rPr>
                <w:rFonts w:ascii="Times New Roman;sans-serif" w:hAnsi="Times New Roman;sans-serif"/>
                <w:b w:val="false"/>
                <w:color w:val="000000"/>
                <w:sz w:val="10"/>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152,658 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 in the Partnership</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668,182 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1,628,543 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1,628,787 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3,530,782 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3,497,403 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720"/>
        <w:jc w:val="left"/>
        <w:rPr>
          <w:rFonts w:ascii="Times New Roman;sans-serif" w:hAnsi="Times New Roman;sans-serif"/>
          <w:b w:val="false"/>
          <w:color w:val="000000"/>
          <w:sz w:val="14"/>
        </w:rPr>
      </w:pPr>
      <w:r>
        <w:rPr>
          <w:rFonts w:ascii="Times New Roman;sans-serif" w:hAnsi="Times New Roman;sans-serif"/>
          <w:b w:val="false"/>
          <w:color w:val="000000"/>
          <w:sz w:val="14"/>
        </w:rPr>
        <w:t>(1)Reflects amounts attributable to consolidated VIEs for which the Company did not acquire any direct economic interests. See note 5 for more information.</w:t>
      </w:r>
    </w:p>
    <w:p>
      <w:pPr>
        <w:pStyle w:val="TextBody"/>
        <w:bidi w:val="0"/>
        <w:spacing w:lineRule="auto" w:line="288" w:before="0" w:after="0"/>
        <w:jc w:val="left"/>
        <w:rPr>
          <w:rFonts w:ascii="Times New Roman;sans-serif" w:hAnsi="Times New Roman;sans-serif"/>
          <w:b w:val="false"/>
          <w:i/>
          <w:color w:val="000000"/>
          <w:sz w:val="14"/>
        </w:rPr>
      </w:pPr>
      <w:r>
        <w:rPr>
          <w:rFonts w:ascii="Times New Roman;sans-serif" w:hAnsi="Times New Roman;sans-serif"/>
          <w:b w:val="false"/>
          <w:i/>
          <w:color w:val="000000"/>
          <w:sz w:val="14"/>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72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Balance Sheets (Unaudited)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presents the portion of the condensed consolidated balances presented above attributable to consolidated variable interest entities.</w:t>
      </w:r>
    </w:p>
    <w:tbl>
      <w:tblPr>
        <w:tblW w:w="9504" w:type="dxa"/>
        <w:jc w:val="left"/>
        <w:tblInd w:w="0" w:type="dxa"/>
        <w:tblLayout w:type="fixed"/>
        <w:tblCellMar>
          <w:top w:w="28" w:type="dxa"/>
          <w:left w:w="28" w:type="dxa"/>
          <w:bottom w:w="28" w:type="dxa"/>
          <w:right w:w="28" w:type="dxa"/>
        </w:tblCellMar>
      </w:tblPr>
      <w:tblGrid>
        <w:gridCol w:w="2417"/>
        <w:gridCol w:w="2128"/>
        <w:gridCol w:w="2144"/>
        <w:gridCol w:w="212"/>
        <w:gridCol w:w="833"/>
        <w:gridCol w:w="109"/>
        <w:gridCol w:w="109"/>
        <w:gridCol w:w="109"/>
        <w:gridCol w:w="109"/>
        <w:gridCol w:w="236"/>
        <w:gridCol w:w="926"/>
        <w:gridCol w:w="172"/>
      </w:tblGrid>
      <w:tr>
        <w:trPr/>
        <w:tc>
          <w:tcPr>
            <w:tcW w:w="2417"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and accounts receivable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funds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Greenspring investments in funds and accrued carried interest allocations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770,652 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right-of-use assets, net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receivables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of Consolidated Funds: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at fair value</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964,192 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Greenspring accrued carried interest-related compensation</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617,994 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affiliates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 of Consolidated Funds: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682,718 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StepStone Group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Statements of Income (Loss) (Unaudited)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w:t>
      </w:r>
    </w:p>
    <w:tbl>
      <w:tblPr>
        <w:tblW w:w="9427" w:type="dxa"/>
        <w:jc w:val="center"/>
        <w:tblInd w:w="0" w:type="dxa"/>
        <w:tblLayout w:type="fixed"/>
        <w:tblCellMar>
          <w:top w:w="28" w:type="dxa"/>
          <w:left w:w="28" w:type="dxa"/>
          <w:bottom w:w="28" w:type="dxa"/>
          <w:right w:w="28" w:type="dxa"/>
        </w:tblCellMar>
      </w:tblPr>
      <w:tblGrid>
        <w:gridCol w:w="2340"/>
        <w:gridCol w:w="2056"/>
        <w:gridCol w:w="2083"/>
        <w:gridCol w:w="202"/>
        <w:gridCol w:w="759"/>
        <w:gridCol w:w="109"/>
        <w:gridCol w:w="109"/>
        <w:gridCol w:w="109"/>
        <w:gridCol w:w="109"/>
        <w:gridCol w:w="202"/>
        <w:gridCol w:w="759"/>
        <w:gridCol w:w="109"/>
        <w:gridCol w:w="109"/>
        <w:gridCol w:w="109"/>
        <w:gridCol w:w="109"/>
        <w:gridCol w:w="154"/>
      </w:tblGrid>
      <w:tr>
        <w:trPr/>
        <w:tc>
          <w:tcPr>
            <w:tcW w:w="2340"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Management and advisory fees, net</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fees: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Incentive fees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Carried interest allocations: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Realized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carried interest allocations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Legacy Greenspring carried interest allocations</w:t>
            </w:r>
            <w:r>
              <w:rPr>
                <w:rFonts w:ascii="Times New Roman;sans-serif" w:hAnsi="Times New Roman;sans-serif"/>
                <w:b w:val="false"/>
                <w:color w:val="000000"/>
                <w:sz w:val="10"/>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and benefits: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fee-related compensation:</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Realized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performance fee-related compensation</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Legacy Greenspring performance fee-related compensation</w:t>
            </w:r>
            <w:r>
              <w:rPr>
                <w:rFonts w:ascii="Times New Roman;sans-serif" w:hAnsi="Times New Roman;sans-serif"/>
                <w:b w:val="false"/>
                <w:color w:val="000000"/>
                <w:sz w:val="10"/>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compensation and benefits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administrative and other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Other income (expense)</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Legacy Greenspring investment loss</w:t>
            </w:r>
            <w:r>
              <w:rPr>
                <w:rFonts w:ascii="Times New Roman;sans-serif" w:hAnsi="Times New Roman;sans-serif"/>
                <w:b w:val="false"/>
                <w:color w:val="000000"/>
                <w:sz w:val="10"/>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income of Consolidated Funds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income (expense)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income attributable to non-controlling interests in subsidiaries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6"/>
              </w:rPr>
              <w:t>Less: Net loss attributable to non-controlling interests in legacy Greenspring entities</w:t>
            </w:r>
            <w:r>
              <w:rPr>
                <w:rFonts w:ascii="Times New Roman;sans-serif" w:hAnsi="Times New Roman;sans-serif"/>
                <w:b w:val="false"/>
                <w:color w:val="000000"/>
                <w:sz w:val="10"/>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income (loss) attributable to non-controlling interests in the Partnership</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income attributable to redeemable non-controlling interests in Consolidated Funds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attributable to StepStone Group Inc.</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per share of Class A common stock:</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shares of Class A common stock:</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62,834,818 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61,144,139 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65,739,470 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61,144,139 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40"/>
        <w:ind w:left="0" w:right="0" w:hanging="720"/>
        <w:jc w:val="left"/>
        <w:rPr>
          <w:rFonts w:ascii="Times New Roman;sans-serif" w:hAnsi="Times New Roman;sans-serif"/>
          <w:b w:val="false"/>
          <w:color w:val="000000"/>
          <w:sz w:val="14"/>
        </w:rPr>
      </w:pPr>
      <w:r>
        <w:rPr>
          <w:rFonts w:ascii="Times New Roman;sans-serif" w:hAnsi="Times New Roman;sans-serif"/>
          <w:b w:val="false"/>
          <w:color w:val="000000"/>
          <w:sz w:val="14"/>
        </w:rPr>
        <w:t>(1)Reflects amounts attributable to consolidated VIEs for which the Company did not acquire any direct economic interests. See notes 3 and 5 for more information.</w:t>
      </w:r>
    </w:p>
    <w:p>
      <w:pPr>
        <w:pStyle w:val="TextBody"/>
        <w:bidi w:val="0"/>
        <w:spacing w:lineRule="auto" w:line="288" w:before="0" w:after="0"/>
        <w:jc w:val="left"/>
        <w:rPr>
          <w:rFonts w:ascii="Times New Roman;sans-serif" w:hAnsi="Times New Roman;sans-serif"/>
          <w:b w:val="false"/>
          <w:i/>
          <w:color w:val="000000"/>
          <w:sz w:val="14"/>
        </w:rPr>
      </w:pPr>
      <w:r>
        <w:rPr>
          <w:rFonts w:ascii="Times New Roman;sans-serif" w:hAnsi="Times New Roman;sans-serif"/>
          <w:b w:val="false"/>
          <w:i/>
          <w:color w:val="000000"/>
          <w:sz w:val="14"/>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StepStone Group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Statements of Comprehensive Income (Loss) (Unaudited)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2646"/>
        <w:gridCol w:w="2309"/>
        <w:gridCol w:w="2295"/>
        <w:gridCol w:w="211"/>
        <w:gridCol w:w="721"/>
        <w:gridCol w:w="109"/>
        <w:gridCol w:w="109"/>
        <w:gridCol w:w="109"/>
        <w:gridCol w:w="109"/>
        <w:gridCol w:w="211"/>
        <w:gridCol w:w="784"/>
        <w:gridCol w:w="109"/>
        <w:gridCol w:w="109"/>
        <w:gridCol w:w="109"/>
        <w:gridCol w:w="109"/>
        <w:gridCol w:w="156"/>
      </w:tblGrid>
      <w:tr>
        <w:trPr/>
        <w:tc>
          <w:tcPr>
            <w:tcW w:w="2646"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before non-controlling interests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interests in subsidiaries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attributable to non-controlling interests in legacy Greenspring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(loss) attributable to non-controlling interests in the Partnership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redeemable non-controlling interests in Consolidated 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StepStone Group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 xml:space="preserve">StepStone Group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Statements of Stockholders’ Equity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bl>
      <w:tblPr>
        <w:tblW w:w="10951" w:type="dxa"/>
        <w:jc w:val="left"/>
        <w:tblInd w:w="0" w:type="dxa"/>
        <w:tblLayout w:type="fixed"/>
        <w:tblCellMar>
          <w:top w:w="28" w:type="dxa"/>
          <w:left w:w="28" w:type="dxa"/>
          <w:bottom w:w="28" w:type="dxa"/>
          <w:right w:w="28" w:type="dxa"/>
        </w:tblCellMar>
      </w:tblPr>
      <w:tblGrid>
        <w:gridCol w:w="525"/>
        <w:gridCol w:w="177"/>
        <w:gridCol w:w="169"/>
        <w:gridCol w:w="183"/>
        <w:gridCol w:w="282"/>
        <w:gridCol w:w="121"/>
        <w:gridCol w:w="109"/>
        <w:gridCol w:w="109"/>
        <w:gridCol w:w="109"/>
        <w:gridCol w:w="183"/>
        <w:gridCol w:w="282"/>
        <w:gridCol w:w="121"/>
        <w:gridCol w:w="109"/>
        <w:gridCol w:w="109"/>
        <w:gridCol w:w="109"/>
        <w:gridCol w:w="166"/>
        <w:gridCol w:w="526"/>
        <w:gridCol w:w="109"/>
        <w:gridCol w:w="109"/>
        <w:gridCol w:w="109"/>
        <w:gridCol w:w="109"/>
        <w:gridCol w:w="166"/>
        <w:gridCol w:w="526"/>
        <w:gridCol w:w="109"/>
        <w:gridCol w:w="109"/>
        <w:gridCol w:w="109"/>
        <w:gridCol w:w="109"/>
        <w:gridCol w:w="257"/>
        <w:gridCol w:w="489"/>
        <w:gridCol w:w="170"/>
        <w:gridCol w:w="109"/>
        <w:gridCol w:w="109"/>
        <w:gridCol w:w="109"/>
        <w:gridCol w:w="211"/>
        <w:gridCol w:w="594"/>
        <w:gridCol w:w="141"/>
        <w:gridCol w:w="109"/>
        <w:gridCol w:w="109"/>
        <w:gridCol w:w="109"/>
        <w:gridCol w:w="196"/>
        <w:gridCol w:w="621"/>
        <w:gridCol w:w="129"/>
        <w:gridCol w:w="109"/>
        <w:gridCol w:w="109"/>
        <w:gridCol w:w="109"/>
        <w:gridCol w:w="196"/>
        <w:gridCol w:w="621"/>
        <w:gridCol w:w="129"/>
        <w:gridCol w:w="109"/>
        <w:gridCol w:w="109"/>
        <w:gridCol w:w="109"/>
        <w:gridCol w:w="166"/>
        <w:gridCol w:w="616"/>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 in Legacy Greenspring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 in the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Stockholders’ Equity</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March 31, 2023</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610,567 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160,430 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36,380 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152,658 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668,182 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1,628,787 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 (loss)</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9,630 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(2,866)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19,860 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47,893 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comprehensive loss</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Contributed capital</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Equity-based compensation</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4,613 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Distributions</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(8,440)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(17,273)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Dividends declared</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(29,087)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 reallocation between controlling and non-controlling interests</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20"/>
              <w:jc w:val="left"/>
              <w:rPr/>
            </w:pPr>
            <w:r>
              <w:rPr>
                <w:rFonts w:ascii="Times New Roman;sans-serif" w:hAnsi="Times New Roman;sans-serif"/>
                <w:b w:val="false"/>
                <w:color w:val="000000"/>
                <w:sz w:val="12"/>
              </w:rPr>
              <w:t>Deferred tax effect resulting from transactions affecting ownership in the Partnership, including net amounts payable under Tax Receivable Agreements</w:t>
            </w:r>
            <w:r>
              <w:rPr>
                <w:rFonts w:ascii="Times New Roman;sans-serif" w:hAnsi="Times New Roman;sans-serif"/>
                <w:b w:val="false"/>
                <w:color w:val="000000"/>
                <w:sz w:val="8"/>
              </w:rPr>
              <w:t>(1)</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June 30, 2023</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612,799 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152,612 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439 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37,678 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151,916 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672,990 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1,628,543 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10080" w:type="dxa"/>
            <w:gridSpan w:val="51"/>
            <w:tcBorders/>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
        <w:gridCol w:w="238"/>
        <w:gridCol w:w="231"/>
        <w:gridCol w:w="166"/>
        <w:gridCol w:w="256"/>
        <w:gridCol w:w="109"/>
        <w:gridCol w:w="109"/>
        <w:gridCol w:w="109"/>
        <w:gridCol w:w="109"/>
        <w:gridCol w:w="166"/>
        <w:gridCol w:w="256"/>
        <w:gridCol w:w="109"/>
        <w:gridCol w:w="109"/>
        <w:gridCol w:w="109"/>
        <w:gridCol w:w="109"/>
        <w:gridCol w:w="166"/>
        <w:gridCol w:w="526"/>
        <w:gridCol w:w="109"/>
        <w:gridCol w:w="109"/>
        <w:gridCol w:w="109"/>
        <w:gridCol w:w="109"/>
        <w:gridCol w:w="166"/>
        <w:gridCol w:w="526"/>
        <w:gridCol w:w="109"/>
        <w:gridCol w:w="109"/>
        <w:gridCol w:w="109"/>
        <w:gridCol w:w="109"/>
        <w:gridCol w:w="166"/>
        <w:gridCol w:w="316"/>
        <w:gridCol w:w="109"/>
        <w:gridCol w:w="109"/>
        <w:gridCol w:w="109"/>
        <w:gridCol w:w="109"/>
        <w:gridCol w:w="166"/>
        <w:gridCol w:w="466"/>
        <w:gridCol w:w="109"/>
        <w:gridCol w:w="109"/>
        <w:gridCol w:w="109"/>
        <w:gridCol w:w="109"/>
        <w:gridCol w:w="166"/>
        <w:gridCol w:w="526"/>
        <w:gridCol w:w="109"/>
        <w:gridCol w:w="109"/>
        <w:gridCol w:w="109"/>
        <w:gridCol w:w="109"/>
        <w:gridCol w:w="166"/>
        <w:gridCol w:w="526"/>
        <w:gridCol w:w="109"/>
        <w:gridCol w:w="109"/>
        <w:gridCol w:w="109"/>
        <w:gridCol w:w="109"/>
        <w:gridCol w:w="166"/>
        <w:gridCol w:w="616"/>
        <w:gridCol w:w="155"/>
      </w:tblGrid>
      <w:tr>
        <w:trPr/>
        <w:tc>
          <w:tcPr>
            <w:tcW w:w="58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March 31, 2022</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587,243 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194,480 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780,162 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1,824,330 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 (loss)</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(21,471)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comprehensive loss</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(225)</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Contributed capital</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4,987 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Equity-based compensation</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3,714 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Distributions</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(48,695)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Dividends declared</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(12,629)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 reallocation between controlling and non-controlling interests</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20"/>
              <w:jc w:val="left"/>
              <w:rPr/>
            </w:pPr>
            <w:r>
              <w:rPr>
                <w:rFonts w:ascii="Times New Roman;sans-serif" w:hAnsi="Times New Roman;sans-serif"/>
                <w:b w:val="false"/>
                <w:color w:val="000000"/>
                <w:sz w:val="12"/>
              </w:rPr>
              <w:t>Deferred tax effect resulting from transactions affecting ownership in the Partnership, including net amounts payable under Tax Receivable Agreements</w:t>
            </w:r>
            <w:r>
              <w:rPr>
                <w:rFonts w:ascii="Times New Roman;sans-serif" w:hAnsi="Times New Roman;sans-serif"/>
                <w:b w:val="false"/>
                <w:color w:val="000000"/>
                <w:sz w:val="8"/>
              </w:rPr>
              <w:t>(1)</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June 30, 2022</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593,159 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205,946 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31,829 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187,365 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730,381 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1,749,375 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(1)See notes 10 and 13 for more information.</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StepStone Group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Statements of Cash Flows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2809"/>
        <w:gridCol w:w="2448"/>
        <w:gridCol w:w="2467"/>
        <w:gridCol w:w="206"/>
        <w:gridCol w:w="683"/>
        <w:gridCol w:w="114"/>
        <w:gridCol w:w="114"/>
        <w:gridCol w:w="114"/>
        <w:gridCol w:w="114"/>
        <w:gridCol w:w="206"/>
        <w:gridCol w:w="760"/>
        <w:gridCol w:w="170"/>
      </w:tblGrid>
      <w:tr>
        <w:trPr/>
        <w:tc>
          <w:tcPr>
            <w:tcW w:w="2809"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(21,471)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operating activities:</w:t>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carried interest allocations and investment (income) loss</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(51,893)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117,020 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legacy Greenspring carried interest allocations and investment loss</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193,413 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performance fee-related compensation</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(54,553)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legacy Greenspring performance fee-related compensation</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(183,195)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deferred income taxes</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adjustment for acquisition-related contingent consideration</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activities</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Adjustments to reconcile net income (loss) to net cash provided by operating activities of Consolidated Funds:</w:t>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investment income of Consolidated Funds</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 of Consolidated Funds</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Fees and accounts receivable</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from affiliates</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and receivables</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liabilities</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to affiliates</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right-of-use assets, net and lease liabilities</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Changes in operating assets and liabilities of Consolidated Funds:</w:t>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and receivables</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and payables</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57,587 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57,482 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72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to investments</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received from investments</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to investments in legacy Greenspring entities</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received from investments in legacy Greenspring entities</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8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(14,486)</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(7,601)</w:t>
            </w:r>
          </w:p>
        </w:tc>
        <w:tc>
          <w:tcPr>
            <w:tcW w:w="1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StepStone Group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Statements of Cash Flows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2871"/>
        <w:gridCol w:w="2325"/>
        <w:gridCol w:w="2341"/>
        <w:gridCol w:w="211"/>
        <w:gridCol w:w="827"/>
        <w:gridCol w:w="109"/>
        <w:gridCol w:w="109"/>
        <w:gridCol w:w="109"/>
        <w:gridCol w:w="109"/>
        <w:gridCol w:w="211"/>
        <w:gridCol w:w="827"/>
        <w:gridCol w:w="156"/>
      </w:tblGrid>
      <w:tr>
        <w:trPr/>
        <w:tc>
          <w:tcPr>
            <w:tcW w:w="2871"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7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capital contributions from non-controlling interests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capital contributions to legacy Greenspring entities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 in legacy Greenspring entities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to common stockholders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to related parties under Tax Receivable Agreements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 of Consolidated Funds: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redeemable non-controlling interests in Consolidated Funds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changes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investing, and financing activities: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dividends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effect resulting from transactions affecting ownership in the Partnership, including net amounts payable under Tax Receivable Agreements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Establishment of lease liabilities in exchange for lease right-of-use assets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cash, cash equivalents and restricted cash:</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of Consolidated Funds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107,332 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    Organization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StepStone Group Inc. (“SSG”) was incorporated in the state of Delaware on November 20, 2019. The company was formed for the purpose of completing an initial public offering (“IPO”) in order to conduct the business of StepStone Group LP (the “Partnership”) as a publicly-traded entity. SSG is the sole managing member of StepStone Group Holdings LLC (the “General Partner”), the general partner of the Partnership. Unless otherwise specified, “StepStone” or the “Company” refers to SSG and its consolidated subsidiaries, including the Partnership, throughout the remainder of these notes to the condensed consolidated financial statements.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is a global private markets investment firm focused on providing customized investment solutions and advisory, data and administrative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through its subsidiaries, acts as the investment advisor and general partner or managing member to separately managed accounts (“SMAs”) and focused commingled funds, including acquired Greenspring funds (collectively, the “StepStone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SSG is a holding company whose principal asset is a controlling financial interest in the Partnership through its ownership of all of the Partnership’s Class A units and 100% of the membership interests in the General Partner of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and Class C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10). Each share of Class A common stock is entitled to one vote and each share of Class B common stock is entitled to five votes. As of June 30, 2023, SSG held approximately 56.2% of the economic interest in the Partnership. As the Partnership’s limited partners exchange their Class B and Class C units into SSG’s Class A common stock in the future, SSG’s economic interest in the Partnership will increase relative to that of the Class B and Class C unitholders.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2.    Summary of Significant Accounting Policies</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Basis of Presentation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accompanying unaudited condensed consolidated financial statements are prepared in accordance with accounting principles generally accepted in the United States (“GAAP”) for interim financial information. Management believes it has made all necessary adjustments (consisting of only normal recurring items) such that the condensed consolidated financial statements are presented fairly and that estimates made in preparing the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 These unaudited condensed consolidated financial statements should be read in conjunction with the Company’s audited consolidated financial statements included in its annual report on Form 10-K for the fiscal year ended March 31, 2023 filed with the Securities and Exchange Commission (“SEC”).</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Reclassifications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Certain prior year amounts have been reclassified to conform to the current period presentation. Amounts relating to unpaid realized carried interest-related compensation that were previously reported within accrued carried interest-related compensation have been presented within accrued compensation and benefits in the condensed consolidated balance sheets.</w:t>
      </w:r>
    </w:p>
    <w:p>
      <w:pPr>
        <w:pStyle w:val="TextBody"/>
        <w:bidi w:val="0"/>
        <w:spacing w:lineRule="auto" w:line="247"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Consolidation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liquidate the fund or remove the general partner or substantive rights to participate. Certain StepStone Funds are VIEs because they have not granted unaffiliated limited partners or members substantive rights to terminate the fund or remove the general partner or substantive rights to participate. The Company does not consolidate these StepStone Funds because it is not the primary beneficiary of those funds, primarily because it does not hold an interest in those funds that is considered more than insignificant and its fee arrangements are considered customary and commensurate.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determined that certain of its operating subsidiaries, StepStone Group Real Assets LP (“SRA”), StepStone Group Real Estate LP (“SRE”), Swiss Capital Alternative Investments AG (“Swiss Capital”), and StepStone Group Private Wealth LLC (“SPW”) and certain StepStone Funds are VIEs, and that the Company is the primary beneficiary of each entity because it has a controlling financial interest in each entity; accordingly, the Company consolidates these entities. The assets and liabilities of the consolidated VIEs are presented gross in the condensed consolidated balance sheets. The assets of the consolidated VIEs may only be used to settle obligations of the consolidated VIEs. See note 4 for more information on both consolidated and unconsolidated VIEs.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connection with the acquisition of Greenspring Associates, Inc. and certain of its affiliates (“Greenspring”) that was completed on September 20, 2021, the Company, indirectly through its subsidiaries, became the sole and/or managing member of certain entities, each of which is the general partner of an investment fund (“legacy Greenspring general partner entities”). The Company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The Company determined that the legacy Greenspring general partner entities are VIEs and it is the primary beneficiary of each such entity because it has a controlling financial interest in each entity. As a result, the Company consolidates these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and its subsidiaries manages or controls certain entities that constitute client investment funds that have been consolidated in the accompanying condensed consolidated financial statements (“Consolidated Funds”). Including the results of the Consolidated Funds increases the reported amounts of the assets, liabilities, expenses and cash flows in the accompanying condensed consolidated financial statements, and amounts related to economic interests held by third-party investors are reflected as redeemable non-controlling interests in Consolidated Funds. The revenues earned by the Company as investment manager of the Consolidated Funds are eliminated in consolidation and generally have no direct effect on the net income attributable to SSG or to Stockholders' Equity.</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Non-Controlling Interests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condensed consolidated balance sheets to clearly distinguish between the Company’s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 See note 13 for more information on ownership interests in the Company.</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Non-controlling interests in subsidiaries</w:t>
      </w:r>
      <w:r>
        <w:rPr>
          <w:color w:val="000000"/>
        </w:rPr>
        <w:t xml:space="preserve"> </w:t>
      </w:r>
      <w:r>
        <w:rPr>
          <w:rFonts w:ascii="Times New Roman;sans-serif" w:hAnsi="Times New Roman;sans-serif"/>
          <w:b w:val="false"/>
          <w:color w:val="000000"/>
          <w:sz w:val="22"/>
        </w:rPr>
        <w:t>represent the economic interests in SRA, SRE, and Swiss Capital (the variable interest entities included in the Company’s condensed consolidated financial statements) held by 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Non-controlling interests in legacy Greenspring entities</w:t>
      </w:r>
      <w:r>
        <w:rPr>
          <w:color w:val="000000"/>
        </w:rPr>
        <w:t xml:space="preserve"> </w:t>
      </w:r>
      <w:r>
        <w:rPr>
          <w:rFonts w:ascii="Times New Roman;sans-serif" w:hAnsi="Times New Roman;sans-serif"/>
          <w:b w:val="false"/>
          <w:color w:val="000000"/>
          <w:sz w:val="22"/>
        </w:rPr>
        <w:t>represent the economic interests in the legacy Greenspring general partner entities. The Company did not acquire any direct economic interests in the legacy Greenspring general partner entities. As a result, all of the net income or loss related to the legacy Greenspring general partner entities is allocated to non-controlling interests in legacy Greenspring entities.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 xml:space="preserve">Non-controlling interests in the Partnership </w:t>
      </w:r>
      <w:r>
        <w:rPr>
          <w:rFonts w:ascii="Times New Roman;sans-serif" w:hAnsi="Times New Roman;sans-serif"/>
          <w:b w:val="false"/>
          <w:color w:val="000000"/>
          <w:sz w:val="22"/>
        </w:rPr>
        <w:t>represent the economic interests related to the Class B and Class C units of the Partnership which are not owned by SSG. Non-controlling interests in the Partnership are allocated a share of income or loss in the Partnership in proportion to their relative ownership interests, after consideration of contractual arrangements that govern allocations of income or loss.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 xml:space="preserve">Redeemable non-controlling interests in Consolidated Funds </w:t>
      </w:r>
      <w:r>
        <w:rPr>
          <w:rFonts w:ascii="Times New Roman;sans-serif" w:hAnsi="Times New Roman;sans-serif"/>
          <w:b w:val="false"/>
          <w:color w:val="000000"/>
          <w:sz w:val="22"/>
        </w:rPr>
        <w:t>represent the economic interests in the Consolidated Funds which are not held by SSG, but are held by the client investors in the funds. These interests are presented as redeemable non-controlling interests in Consolidated Funds within the condensed consolidated balance sheets, outside of permanent capital as the investors in these funds generally have the right to withdraw their capital, subject to the terms of the respective contractual agreements.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jc w:val="left"/>
        <w:rPr/>
      </w:pPr>
      <w:r>
        <w:rPr>
          <w:rFonts w:ascii="Times New Roman;sans-serif" w:hAnsi="Times New Roman;sans-serif"/>
          <w:b/>
          <w:color w:val="000000"/>
          <w:sz w:val="22"/>
        </w:rPr>
        <w:t>Accounting for Differing Fiscal Periods</w:t>
      </w:r>
      <w:r>
        <w:rPr>
          <w:color w:val="000000"/>
        </w:rPr>
        <w:t xml:space="preserve">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 For this interim period ended June 30, 2023, the Company used the March 31, 2023 unaudited financial statements of the StepStone Funds, which reflect the underlying private market funds as of March 31, 2023, to record its investments (including any carried interest allocated by those investments), as adjusted for capital contributions and distributions during the three-month lag period ended June 30, 2023.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does not account for management and advisory fees or incentive fees on a three-month lag.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To the extent that management becomes aware of any material events that affect the StepStone Funds during the three-month lag period, the effect of the events would be disclosed in the notes to the condensed consolidated financial statements.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Current Events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2022, financial markets experienced increased volatility amid rising interest rates, slowing economic growth, persistently high inflation and the ongoing Russia-Ukraine conflict. Central banks around the world pursued monetary policy tightening in an effort to bring down inflation to target rates, stoking recession fears. In the first half of calendar 2023, signs of slowing inflation coupled with a strong labor market contributed to a rebound in financial markets despite banking system volatility as recession fears receded in anticipation that interest rates may not rise as much as previously expected.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is continuing to closely monitor developments related to inflation, rising interest rates, the ongoing Russia-Ukraine conflict and banking system volatility, and assess the impact on financial markets and the Company’s business. The Company’s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profitably exit existing investments. Such conditions have resulted in, and may continue to result in, delayed or decreased performance fee revenues. It is currently not possible to predict the ultimate effects of these events on the financial markets, overall economy and the Company’s condensed consolidated financial statements.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Fair Value Measurements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Financial instruments measured and reported at fair value are classified and disclosed based on the observability of inputs used in the determination of their fair values, as follows: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 xml:space="preserve">Level I – Pricing inputs are unadjusted, quoted prices in active markets for identical assets or liabilities as of the measurement date.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 xml:space="preserve">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 xml:space="preserve">Level III – Pricing inputs are unobservable for the financial instruments and include situations where there is little, if any, market activity for the financial instrument. The inputs into the determination of fair value require significant management judgment or estimation.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considers its cash, cash equivalents, restricted cash, fees and accounts receivable, accounts payable, investments, revolving credit facility, and contingent consideration obligation balances to be financial instruments. The carrying amounts of cash, cash equivalents, restricted cash, fees and accounts receivable and accounts payable equal or approximate their fair values due to their nature and/or the relatively short period over which they are held. See note 6 for additional details regarding the fair value of the Company’s contingent consideration obligation balance and see note 8 for additional details regarding the fair value of the Company’s revolving credit facility balance. </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Restricted Cash</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Restricted cash consists of cash that the Company is contractually obligated to maintain to secure its letters of credit used primarily related to its office facilities and other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Investments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Legacy Greenspring investments in funds and accrued carried interest allocations represent the economic interests held by the legacy Greenspring general partner entities in certain funds for which the Company does not have any direct economic interests. All of the economics in respect of such interests are payable to employees and are therefore reflected as non-controlling interests in legacy Greenspring entities and legacy Greenspring performance fee-related compensation. The Company evaluates its equity method investments for impairment whenever events or changes in circumstances indicate that the carrying amounts of such investments may not be recoverable.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Investments of Consolidated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Consolidated Funds are investment companies under GAAP and reflect their investments at estimated fair value. The Company has retained the specialized investment company accounting for the Consolidated Funds under GAAP. Investments of the Consolidated Funds are recorded at fair value and the unrealized appreciation (depreciation) in fair value is recognized in the condensed consolidated statements of income. In addition, the Consolidated Funds do not consolidate their majority-owned and controlled investments in underlying portfolio companies.</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Leases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determines whether an arrangement contains a lease at inception of the arrangement. A lease is a contract that provides the right to control an identified asset for a period of time in exchange for consideration. For identified leases, the Company determines the classification as either an operating or finance lease. The Company’s identified leases primarily consist of operating lease agreements for office space and certain equipment, as the lessee. Operating leases are included in lease right-of-use-assets, net and lease liabilities in the condensed consolidated balance sheets. Certain leases include lease and non-lease components, which the Company accounts for as a single lease component. Lease right-of-use (“ROU”) assets and lease liabilities are measured based on the present value of future minimum lease payments over the lease term at the commencement date. Lease ROU assets include initial direct costs incurred by the Company and are presented net of deferred rent and lease incentives. The Company uses its incremental borrowing rate in determining the present value of future minimum lease payments. The Company’s lease terms may include options to extend or terminate the lease, which are included in the measurement of ROU assets and lease liabilities when it is reasonably certain that the Company will exercise those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Operating lease expense associated with minimum lease payments is recognized on a straight-line basis over the lease term in general, administrative and other expenses in the condensed consolidated statements of income. Minimum lease payments for leases with an initial term of twelve months or less are not recorded in the condensed consolidated balance sheets. See note 14 for more information.</w:t>
      </w:r>
    </w:p>
    <w:p>
      <w:pPr>
        <w:pStyle w:val="TextBody"/>
        <w:bidi w:val="0"/>
        <w:spacing w:lineRule="auto" w:line="288" w:before="0" w:after="240"/>
        <w:ind w:left="0" w:right="0" w:firstLine="72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Intangibles and Goodwill</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finite-lived intangible assets consist of acquired contractual rights to earn future management and advisory fee income and client relationships. Finite-lived intangible assets are amortized over their estimated useful lives, which range from 8 to 10 years. The Company did not have any intangible assets that were deemed to have an indefinite life as of June 30, 2023.</w:t>
      </w:r>
    </w:p>
    <w:p>
      <w:pPr>
        <w:pStyle w:val="TextBody"/>
        <w:bidi w:val="0"/>
        <w:spacing w:lineRule="auto" w:line="288" w:before="0" w:after="240"/>
        <w:ind w:left="0" w:right="0" w:firstLine="72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Finite-lived intangible assets are reviewed for impairment whenever events or changes in circumstances indicate that the carrying amount of the asset may not be recoverable. There were no impairment charges related to the Company’s finite-lived intangible assets during the three months ended June 30, 2023 and 2022.</w:t>
      </w:r>
    </w:p>
    <w:p>
      <w:pPr>
        <w:pStyle w:val="TextBody"/>
        <w:bidi w:val="0"/>
        <w:spacing w:lineRule="auto" w:line="288" w:before="0" w:after="240"/>
        <w:ind w:left="0" w:right="0" w:firstLine="720"/>
        <w:jc w:val="left"/>
        <w:rPr/>
      </w:pPr>
      <w:r>
        <w:rPr>
          <w:rFonts w:ascii="Times New Roman;sans-serif" w:hAnsi="Times New Roman;sans-serif"/>
          <w:b w:val="false"/>
          <w:color w:val="000000"/>
          <w:sz w:val="22"/>
          <w:shd w:fill="FFFFFF" w:val="clear"/>
        </w:rPr>
        <w:t>Goodwill represents the excess amount of consideration transferred in a business combination above the fair value of the identifiable net assets</w:t>
      </w:r>
      <w:r>
        <w:rPr>
          <w:rFonts w:ascii="Times New Roman;sans-serif" w:hAnsi="Times New Roman;sans-serif"/>
          <w:b w:val="false"/>
          <w:color w:val="000000"/>
          <w:sz w:val="22"/>
        </w:rPr>
        <w:t>.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lesser of (a) the difference between the carrying amount of the reporting unit and its fair value and (b) the total carrying amount of the reporting unit’s goodwill.</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Revenues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The Company recognizes revenue in accordance with Accounting Standards Codification Topic 606 (“ASC 606”), </w:t>
      </w:r>
      <w:r>
        <w:rPr>
          <w:rFonts w:ascii="Times New Roman;sans-serif" w:hAnsi="Times New Roman;sans-serif"/>
          <w:b w:val="false"/>
          <w:i/>
          <w:color w:val="000000"/>
          <w:sz w:val="22"/>
        </w:rPr>
        <w:t>Revenue from Contracts with Customers</w:t>
      </w:r>
      <w:r>
        <w:rPr>
          <w:rFonts w:ascii="Times New Roman;sans-serif" w:hAnsi="Times New Roman;sans-serif"/>
          <w:b w:val="false"/>
          <w:color w:val="000000"/>
          <w:sz w:val="22"/>
        </w:rPr>
        <w:t xml:space="preserve">. Revenue is recognized in a manner that depicts the transfer of promised goods or services to customers and for an 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 </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Management and Advisory Fees, Net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earns management fees for services provided to its SMAs and focused commingled funds.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while the investment fund is generally considered to be the customer for arrangements with focused commingled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may incur certain costs in connection with satisfying its performance obligations for investment management services – primarily employee travel costs and certain professional fees – for which it receives reimbursements from its customers. For reimbursable employee travel costs and certain professional fees, the Company concluded it controls the services provided by its employees and other parties and, therefore, is acting as principal. Accordingly, the Company records the reimbursement for these costs incurred on a gross basis – that is, as revenue in management and advisory fees, net and expense in general, administrative and other expenses in the condensed consolidated statements of income. For reimbursable costs incurred in connection with satisfying its performance obligations for administration services, the Company concluded it does not control the services provided by its employees and other parties and, therefore, is acting as agent. Accordingly, the Company records the reimbursement for these costs incurred on a net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Performance Fees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earns two types of performance fee revenues: incentive fees and carried interest allocations, as described below.</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Incentive fees</w:t>
      </w:r>
      <w:r>
        <w:rPr>
          <w:color w:val="000000"/>
        </w:rPr>
        <w:t xml:space="preserve"> </w:t>
      </w:r>
      <w:r>
        <w:rPr>
          <w:rFonts w:ascii="Times New Roman;sans-serif" w:hAnsi="Times New Roman;sans-serif"/>
          <w:b w:val="false"/>
          <w:color w:val="000000"/>
          <w:sz w:val="22"/>
        </w:rPr>
        <w:t>are generally calculated as a percentage of the profits (up to 15%) earned in respect of certain accounts, including certain permanent capital vehicles, for which the 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recognizes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Carried interest allocations</w:t>
      </w:r>
      <w:r>
        <w:rPr>
          <w:color w:val="000000"/>
        </w:rPr>
        <w:t xml:space="preserve"> </w:t>
      </w:r>
      <w:r>
        <w:rPr>
          <w:rFonts w:ascii="Times New Roman;sans-serif" w:hAnsi="Times New Roman;sans-serif"/>
          <w:b w:val="false"/>
          <w:color w:val="000000"/>
          <w:sz w:val="22"/>
        </w:rPr>
        <w:t>include the allocation of performance-based fees, commonly referred to as carried interest, to the Company from unaffiliated limited partners in the StepStone Funds in which the Company holds an equity interest. The Company is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pStyle w:val="TextBody"/>
        <w:bidi w:val="0"/>
        <w:spacing w:lineRule="auto" w:line="288" w:before="0" w:after="240"/>
        <w:ind w:left="0" w:right="0" w:firstLine="720"/>
        <w:jc w:val="left"/>
        <w:rPr/>
      </w:pPr>
      <w:r>
        <w:rPr>
          <w:rFonts w:ascii="Times New Roman;sans-serif" w:hAnsi="Times New Roman;sans-serif"/>
          <w:b w:val="false"/>
          <w:i/>
          <w:color w:val="231F20"/>
          <w:sz w:val="22"/>
        </w:rPr>
        <w:t>Legacy Greenspring carried interest allocations</w:t>
      </w:r>
      <w:r>
        <w:rPr>
          <w:color w:val="231F20"/>
        </w:rPr>
        <w:t xml:space="preserve"> </w:t>
      </w:r>
      <w:r>
        <w:rPr>
          <w:rFonts w:ascii="Times New Roman;sans-serif" w:hAnsi="Times New Roman;sans-serif"/>
          <w:b w:val="false"/>
          <w:color w:val="231F20"/>
          <w:sz w:val="22"/>
        </w:rPr>
        <w:t xml:space="preserve">reflect the allocation of carried interest to legacy Greenspring general partner 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The Company accounts for the investment balances in the legacy Greenspring funds, including carried interest allocations, under the equity method of accounting </w:t>
      </w:r>
      <w:r>
        <w:rPr>
          <w:rFonts w:ascii="Times New Roman;sans-serif" w:hAnsi="Times New Roman;sans-serif"/>
          <w:b w:val="false"/>
          <w:color w:val="000000"/>
          <w:sz w:val="22"/>
        </w:rPr>
        <w:t>because it is presumed to have significant influence as the general partner or managing member</w:t>
      </w:r>
      <w:r>
        <w:rPr>
          <w:rFonts w:ascii="Times New Roman;sans-serif" w:hAnsi="Times New Roman;sans-serif"/>
          <w:b w:val="false"/>
          <w:color w:val="231F20"/>
          <w:sz w:val="22"/>
        </w:rPr>
        <w:t xml:space="preserve">. </w:t>
      </w:r>
      <w:r>
        <w:rPr>
          <w:rFonts w:ascii="Times New Roman;sans-serif" w:hAnsi="Times New Roman;sans-serif"/>
          <w:b w:val="false"/>
          <w:color w:val="000000"/>
          <w:sz w:val="22"/>
        </w:rPr>
        <w:t xml:space="preserve">Accordingly, legacy Greenspring carried interest allocations are not deemed to be within the scope of ASC 606. </w:t>
      </w:r>
      <w:r>
        <w:rPr>
          <w:rFonts w:ascii="Times New Roman;sans-serif" w:hAnsi="Times New Roman;sans-serif"/>
          <w:b w:val="false"/>
          <w:color w:val="231F20"/>
          <w:sz w:val="22"/>
        </w:rPr>
        <w:t>The Company does not hold any direct economic interests in the legacy Greenspring general partner entities and thus is not entitled to any carried interest allocation from the legacy funds. All of the carried interest allocations in respect of the legacy Greenspring funds are payable to employees who are considered affiliates of the Company and are therefore reflected as legacy Greenspring performance fee-related compensation in the condensed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condensed consolidated balance sheets. 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w:t>
      </w:r>
      <w:r>
        <w:rPr>
          <w:color w:val="231F20"/>
        </w:rPr>
        <w:t xml:space="preserve"> </w:t>
      </w:r>
      <w:r>
        <w:rPr>
          <w:rFonts w:ascii="Times New Roman;sans-serif" w:hAnsi="Times New Roman;sans-serif"/>
          <w:b w:val="false"/>
          <w:color w:val="000000"/>
          <w:sz w:val="22"/>
        </w:rPr>
        <w:t>As of June 30, 2023 and March 31, 2023, no material amounts for potential clawback obligations had been accrued.</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Equity-Based Compensation</w:t>
      </w:r>
    </w:p>
    <w:p>
      <w:pPr>
        <w:pStyle w:val="TextBody"/>
        <w:bidi w:val="0"/>
        <w:spacing w:lineRule="auto" w:line="26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Equity-based compensation represents grants of equity-based awards or arrangements to certain employees and directors. The Company accounts for grants of equity-based awards, including restricted stock units (“RSUs”), to certain employees and directors at fair value as of the grant date. The Company recognizes non-cash compensation expense attributable to these grants on a straight-line basis over the requisite service period, which is generally the vesting period. Expense related to grants of equity-based awards is recognized as equity-based compensation expense in the condensed consolidated statements of income. The fair value of RSUs is determined by the closing stock price on the grant date. Forfeitures of equity-based awards are recognized as they occur. Awards classified as liabilities are remeasured at the end of each reporting period until settlement. See note 9 for additional information regarding the Company’s accounting for equity-based awards.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Income Taxes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condensed consolidated statements of income. As a result, the Partnership does not record U.S. federal and state income taxes on income in the Partnership or its subsidiaries, except for certain local and foreign income taxes discussed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condensed consolidated balance sheets. The principal items giving rise to temporary differences are certain basis differences resulting from exchanges of Partnership units. See Tax Receivable Agreements below.</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The Company is subject to the provisions of ASC Subtopic 740-10, </w:t>
      </w:r>
      <w:r>
        <w:rPr>
          <w:rFonts w:ascii="Times New Roman;sans-serif" w:hAnsi="Times New Roman;sans-serif"/>
          <w:b w:val="false"/>
          <w:i/>
          <w:color w:val="000000"/>
          <w:sz w:val="22"/>
        </w:rPr>
        <w:t>Accounting for Uncertainty in Income Taxes</w:t>
      </w:r>
      <w:r>
        <w:rPr>
          <w:rFonts w:ascii="Times New Roman;sans-serif" w:hAnsi="Times New Roman;sans-serif"/>
          <w:b w:val="false"/>
          <w:color w:val="000000"/>
          <w:sz w:val="22"/>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respectively, in the condensed consolidated statements of income. See note 10 for more information.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has elected to account for global intangible low-taxed income (“GILTI”) earned by foreign subsidiaries in the period the tax is incurred.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Tax laws are complex and subject to different interpretations by the taxpayer and respective governmental taxing authorities. Significant judgment is required in determining tax expense and in evaluating tax positions, including evaluating uncertainties under GAAP. The Company reviews its tax positions quarterly and adjusts its tax balances as new information becomes available.</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Tax Receivable Agreements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Tax Receivable Agreements provide for payment by SSG to the Class B limited partners, Class C limited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 In connection with the Greenspring acquisition, the sellers receiving Class C units of the Partnership became parties to the Exchanges Tax Receivable Agreement. See note 13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Accumulated Other Comprehensive Income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tbl>
      <w:tblPr>
        <w:tblW w:w="6762" w:type="dxa"/>
        <w:jc w:val="left"/>
        <w:tblInd w:w="0" w:type="dxa"/>
        <w:tblLayout w:type="fixed"/>
        <w:tblCellMar>
          <w:top w:w="28" w:type="dxa"/>
          <w:left w:w="28" w:type="dxa"/>
          <w:bottom w:w="28" w:type="dxa"/>
          <w:right w:w="28" w:type="dxa"/>
        </w:tblCellMar>
      </w:tblPr>
      <w:tblGrid>
        <w:gridCol w:w="1429"/>
        <w:gridCol w:w="1256"/>
        <w:gridCol w:w="1260"/>
        <w:gridCol w:w="310"/>
        <w:gridCol w:w="685"/>
        <w:gridCol w:w="160"/>
        <w:gridCol w:w="109"/>
        <w:gridCol w:w="109"/>
        <w:gridCol w:w="109"/>
        <w:gridCol w:w="339"/>
        <w:gridCol w:w="749"/>
        <w:gridCol w:w="247"/>
      </w:tblGrid>
      <w:tr>
        <w:trPr/>
        <w:tc>
          <w:tcPr>
            <w:tcW w:w="142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defined benefit plan, net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Segments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operates as one business, a fully-integrated private markets solution provider. The Company’s chief operating decision maker,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Recent Accounting Pronouncements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considers the applicability and impact of all Accounting Standards Updates (“ASU”) issued by the Financial Accounting Standards Board (“FASB”). ASUs issued during the current period not listed below were assessed and determined to either be not applicable to the Company, or not expected to have a material impact on the condensed consolidated financial statements.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In March 2020, the FASB issued ASU 2020-04, </w:t>
      </w:r>
      <w:r>
        <w:rPr>
          <w:rFonts w:ascii="Times New Roman;sans-serif" w:hAnsi="Times New Roman;sans-serif"/>
          <w:b w:val="false"/>
          <w:i/>
          <w:color w:val="000000"/>
          <w:sz w:val="22"/>
        </w:rPr>
        <w:t>Reference Rate Reform (Topic 848): Facilitation of the Effects of Reference Rate Reform on Financial Reporting</w:t>
      </w:r>
      <w:r>
        <w:rPr>
          <w:rFonts w:ascii="Times New Roman;sans-serif" w:hAnsi="Times New Roman;sans-serif"/>
          <w:b w:val="false"/>
          <w:color w:val="000000"/>
          <w:sz w:val="22"/>
        </w:rPr>
        <w:t xml:space="preserve">, which amends current guidance to provide optional practical expedients and exceptions, if certain criteria are met, for applying GAAP to contracts, hedging relationships and other transactions that are affected by the reference rate reform. The expedients and exceptions in this update apply only to contracts, hedging relationships and other transactions that reference the London Interbank Offered Rate (“LIBOR”). Initially the update did not apply to contract modifications or hedging relationships entered into after December 31, 2022, but in December 2022, the FASB issued ASU 2022-06, which defers the sunset date for applying reference rate reform relief in ASC 848 to December 31, 2024. This guidance is effective for adoption anytime after March 12, 2020, but must be adopted prior to December 31, 2024. The Company is currently evaluating the impact on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3.    Revenues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presents revenues disaggregated by product offering, which aligns with the Company’s performance obligations and the basis for calculating each amount:</w:t>
      </w:r>
    </w:p>
    <w:tbl>
      <w:tblPr>
        <w:tblW w:w="6534" w:type="dxa"/>
        <w:jc w:val="left"/>
        <w:tblInd w:w="0" w:type="dxa"/>
        <w:tblLayout w:type="fixed"/>
        <w:tblCellMar>
          <w:top w:w="28" w:type="dxa"/>
          <w:left w:w="28" w:type="dxa"/>
          <w:bottom w:w="28" w:type="dxa"/>
          <w:right w:w="28" w:type="dxa"/>
        </w:tblCellMar>
      </w:tblPr>
      <w:tblGrid>
        <w:gridCol w:w="1244"/>
        <w:gridCol w:w="1093"/>
        <w:gridCol w:w="1097"/>
        <w:gridCol w:w="211"/>
        <w:gridCol w:w="826"/>
        <w:gridCol w:w="109"/>
        <w:gridCol w:w="109"/>
        <w:gridCol w:w="109"/>
        <w:gridCol w:w="109"/>
        <w:gridCol w:w="211"/>
        <w:gridCol w:w="826"/>
        <w:gridCol w:w="109"/>
        <w:gridCol w:w="109"/>
        <w:gridCol w:w="109"/>
        <w:gridCol w:w="109"/>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Management and Advisory Fees, Net</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Focused commingled funds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Advisory and other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 reimbursement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management and advisory fees,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276" w:type="dxa"/>
        <w:jc w:val="left"/>
        <w:tblInd w:w="0" w:type="dxa"/>
        <w:tblLayout w:type="fixed"/>
        <w:tblCellMar>
          <w:top w:w="28" w:type="dxa"/>
          <w:left w:w="28" w:type="dxa"/>
          <w:bottom w:w="28" w:type="dxa"/>
          <w:right w:w="28" w:type="dxa"/>
        </w:tblCellMar>
      </w:tblPr>
      <w:tblGrid>
        <w:gridCol w:w="852"/>
        <w:gridCol w:w="750"/>
        <w:gridCol w:w="753"/>
        <w:gridCol w:w="316"/>
        <w:gridCol w:w="384"/>
        <w:gridCol w:w="163"/>
        <w:gridCol w:w="163"/>
        <w:gridCol w:w="163"/>
        <w:gridCol w:w="163"/>
        <w:gridCol w:w="316"/>
        <w:gridCol w:w="609"/>
        <w:gridCol w:w="163"/>
        <w:gridCol w:w="109"/>
        <w:gridCol w:w="109"/>
        <w:gridCol w:w="109"/>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Incentive Fees</w:t>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Focused commingled funds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incentive fees</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709" w:type="dxa"/>
        <w:jc w:val="left"/>
        <w:tblInd w:w="0" w:type="dxa"/>
        <w:tblLayout w:type="fixed"/>
        <w:tblCellMar>
          <w:top w:w="28" w:type="dxa"/>
          <w:left w:w="28" w:type="dxa"/>
          <w:bottom w:w="28" w:type="dxa"/>
          <w:right w:w="28" w:type="dxa"/>
        </w:tblCellMar>
      </w:tblPr>
      <w:tblGrid>
        <w:gridCol w:w="993"/>
        <w:gridCol w:w="873"/>
        <w:gridCol w:w="878"/>
        <w:gridCol w:w="211"/>
        <w:gridCol w:w="721"/>
        <w:gridCol w:w="109"/>
        <w:gridCol w:w="109"/>
        <w:gridCol w:w="109"/>
        <w:gridCol w:w="109"/>
        <w:gridCol w:w="211"/>
        <w:gridCol w:w="796"/>
        <w:gridCol w:w="109"/>
        <w:gridCol w:w="109"/>
        <w:gridCol w:w="109"/>
        <w:gridCol w:w="109"/>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Carried Interest Allocations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Focused commingled funds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carried interest allocations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509" w:type="dxa"/>
        <w:jc w:val="left"/>
        <w:tblInd w:w="0" w:type="dxa"/>
        <w:tblLayout w:type="fixed"/>
        <w:tblCellMar>
          <w:top w:w="28" w:type="dxa"/>
          <w:left w:w="28" w:type="dxa"/>
          <w:bottom w:w="28" w:type="dxa"/>
          <w:right w:w="28" w:type="dxa"/>
        </w:tblCellMar>
      </w:tblPr>
      <w:tblGrid>
        <w:gridCol w:w="1582"/>
        <w:gridCol w:w="1387"/>
        <w:gridCol w:w="1395"/>
        <w:gridCol w:w="211"/>
        <w:gridCol w:w="796"/>
        <w:gridCol w:w="109"/>
        <w:gridCol w:w="109"/>
        <w:gridCol w:w="109"/>
        <w:gridCol w:w="109"/>
        <w:gridCol w:w="211"/>
        <w:gridCol w:w="901"/>
        <w:gridCol w:w="109"/>
        <w:gridCol w:w="109"/>
        <w:gridCol w:w="109"/>
        <w:gridCol w:w="109"/>
        <w:gridCol w:w="154"/>
      </w:tblGrid>
      <w:tr>
        <w:trPr/>
        <w:tc>
          <w:tcPr>
            <w:tcW w:w="158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Legacy Greenspring Carried Interest Allocations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Focused commingled funds</w:t>
            </w:r>
            <w:r>
              <w:rPr>
                <w:rFonts w:ascii="Times New Roman;sans-serif" w:hAnsi="Times New Roman;sans-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legacy Greenspring carried interest allocations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three months ended June 30, 2023 and 2022 reflect the net effect of gross realized carried interest allocations of $0.9 million and $29.6 million, respectively, and the reversal of such amounts in unrealized carried interest allocations for such periods.</w:t>
      </w:r>
    </w:p>
    <w:p>
      <w:pPr>
        <w:pStyle w:val="TextBody"/>
        <w:bidi w:val="0"/>
        <w:spacing w:lineRule="auto" w:line="26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increase in carried interest allocations for the three months ended June 30, 2023 was primarily attributable to net unrealized appreciation in the fair value of certain underlying fund investments. The decrease in legacy Greenspring carried interest allocations for the three months ended June 30, 2023 was primarily attributable to net unrealized depreciation in the fair value of certain underlying fund investments. The decrease in carried interest allocations and legacy Greenspring carried interest allocations for the three months ended June 30, 2022 was primarily attributable to net unrealized depreciation in the fair value of certain underlying fund investments. See note 2 for a discussion of the Company’s accounting policy for investments on a three-month lag.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derives revenues from clients located in both the United States and other countries. The table below presents the Company’s revenues by geographic location:</w:t>
      </w:r>
    </w:p>
    <w:tbl>
      <w:tblPr>
        <w:tblW w:w="4720" w:type="dxa"/>
        <w:jc w:val="left"/>
        <w:tblInd w:w="0" w:type="dxa"/>
        <w:tblLayout w:type="fixed"/>
        <w:tblCellMar>
          <w:top w:w="28" w:type="dxa"/>
          <w:left w:w="28" w:type="dxa"/>
          <w:bottom w:w="28" w:type="dxa"/>
          <w:right w:w="28" w:type="dxa"/>
        </w:tblCellMar>
      </w:tblPr>
      <w:tblGrid>
        <w:gridCol w:w="597"/>
        <w:gridCol w:w="526"/>
        <w:gridCol w:w="527"/>
        <w:gridCol w:w="211"/>
        <w:gridCol w:w="721"/>
        <w:gridCol w:w="109"/>
        <w:gridCol w:w="109"/>
        <w:gridCol w:w="109"/>
        <w:gridCol w:w="109"/>
        <w:gridCol w:w="211"/>
        <w:gridCol w:w="901"/>
        <w:gridCol w:w="109"/>
        <w:gridCol w:w="109"/>
        <w:gridCol w:w="109"/>
        <w:gridCol w:w="109"/>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Revenues</w:t>
            </w:r>
            <w:r>
              <w:rPr>
                <w:rFonts w:ascii="Times New Roman;sans-serif" w:hAnsi="Times New Roman;sans-serif"/>
                <w:b/>
                <w:color w:val="000000"/>
                <w:sz w:val="13"/>
              </w:rPr>
              <w:t>(1)</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countries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(1)Revenues are attributed to countries based on client location for SMAs and advisory and other services, or location of investment vehicle for focused commingled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For the three months ended June 30, 2023 and 2022, no individual client represented 10% or more of the Company’s net management and advisory fees.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of June 30, 2023 and March 31, 2023, the Company had $25.0 million and $21.6 million, respectively, of deferred revenues, which is included in accounts payable, accrued expenses and other liabilities in the condensed consolidated balance sheets. During the three months ended June 30, 2023, the Company had recognized $3.6 million as revenue from amounts included in the deferred revenue balance as of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4.    Variable Interest Entities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Consolidated VIEs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The Company consolidates certain VIEs for which it is the primary beneficiary. Such VIEs consist of certain operating entities not wholly-owned by the Company (e.g., Swiss Capital, SRA and SRE), SPW, legacy Greenspring general partner entities and certain StepStone Funds. See note 2 for more information on the Company’s accounting policies related to the consolidation of VIEs. The assets of the consolidated VIEs totaled $981.5 million and $964.2 million as of June 30, 2023 and March 31, 2023, respectively. The liabilities of the consolidated VIEs totaled $676.5 million and</w:t>
      </w:r>
      <w:r>
        <w:rPr>
          <w:color w:val="000000"/>
        </w:rPr>
        <w:t xml:space="preserve"> </w:t>
      </w:r>
      <w:r>
        <w:rPr>
          <w:rFonts w:ascii="Times New Roman;sans-serif" w:hAnsi="Times New Roman;sans-serif"/>
          <w:b w:val="false"/>
          <w:color w:val="000000"/>
          <w:sz w:val="22"/>
        </w:rPr>
        <w:t>$682.7 million as of June 30, 2023 and March 31, 2023,</w:t>
      </w:r>
      <w:r>
        <w:rPr>
          <w:color w:val="FF0000"/>
        </w:rPr>
        <w:t xml:space="preserve"> </w:t>
      </w:r>
      <w:r>
        <w:rPr>
          <w:rFonts w:ascii="Times New Roman;sans-serif" w:hAnsi="Times New Roman;sans-serif"/>
          <w:b w:val="false"/>
          <w:color w:val="000000"/>
          <w:sz w:val="22"/>
        </w:rPr>
        <w:t>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June 30, 2023 and March 31, 2023, no material amounts previously distributed have been accrued for clawback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Unconsolidated VIEs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condensed consolidated balance sheets with respect to the Company’s interests in VIEs that were not consolidated is set forth below: </w:t>
      </w:r>
    </w:p>
    <w:tbl>
      <w:tblPr>
        <w:tblW w:w="9864" w:type="dxa"/>
        <w:jc w:val="left"/>
        <w:tblInd w:w="0" w:type="dxa"/>
        <w:tblLayout w:type="fixed"/>
        <w:tblCellMar>
          <w:top w:w="28" w:type="dxa"/>
          <w:left w:w="28" w:type="dxa"/>
          <w:bottom w:w="28" w:type="dxa"/>
          <w:right w:w="28" w:type="dxa"/>
        </w:tblCellMar>
      </w:tblPr>
      <w:tblGrid>
        <w:gridCol w:w="2553"/>
        <w:gridCol w:w="2245"/>
        <w:gridCol w:w="2251"/>
        <w:gridCol w:w="212"/>
        <w:gridCol w:w="833"/>
        <w:gridCol w:w="109"/>
        <w:gridCol w:w="109"/>
        <w:gridCol w:w="109"/>
        <w:gridCol w:w="109"/>
        <w:gridCol w:w="236"/>
        <w:gridCol w:w="926"/>
        <w:gridCol w:w="172"/>
      </w:tblGrid>
      <w:tr>
        <w:trPr/>
        <w:tc>
          <w:tcPr>
            <w:tcW w:w="2553"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funds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115,187 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Greenspring investments in funds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152,658 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 net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attributable to non-controlling interests in subsidiaries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attributable to non-controlling interests in legacy Greenspring entities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152,658 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exposure to loss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124,772 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5.    Investments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investments consist of equity method investments primarily related to (i) investments in the StepStone Funds for which it serves as general partner or managing member but does not have a controlling financial interest and (ii) investments of Consolidated Funds. The Company’s equity interest in its equity method investments in the StepStone Funds typically does not exceed 1% in each fund. The Company’s share of the underlying net income or loss attributable to its equity interest in the funds is recorded in investment income in the condensed consolidated statements of income. Investment income attributable to the Consolidated Funds is recorded in investment income of Consolidated Funds. Investment income attributable to investments in certain legacy Greenspring funds for which the Company has no direct economic interests is recorded in legacy Greenspring investment income in the condensed consolidated statements of income. </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Equity Method Investments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equity method investments consist of the following:</w:t>
      </w:r>
    </w:p>
    <w:tbl>
      <w:tblPr>
        <w:tblW w:w="9819" w:type="dxa"/>
        <w:jc w:val="left"/>
        <w:tblInd w:w="0" w:type="dxa"/>
        <w:tblLayout w:type="fixed"/>
        <w:tblCellMar>
          <w:top w:w="28" w:type="dxa"/>
          <w:left w:w="28" w:type="dxa"/>
          <w:bottom w:w="28" w:type="dxa"/>
          <w:right w:w="28" w:type="dxa"/>
        </w:tblCellMar>
      </w:tblPr>
      <w:tblGrid>
        <w:gridCol w:w="2483"/>
        <w:gridCol w:w="2185"/>
        <w:gridCol w:w="2187"/>
        <w:gridCol w:w="211"/>
        <w:gridCol w:w="976"/>
        <w:gridCol w:w="109"/>
        <w:gridCol w:w="109"/>
        <w:gridCol w:w="109"/>
        <w:gridCol w:w="109"/>
        <w:gridCol w:w="211"/>
        <w:gridCol w:w="976"/>
        <w:gridCol w:w="154"/>
      </w:tblGrid>
      <w:tr>
        <w:trPr/>
        <w:tc>
          <w:tcPr>
            <w:tcW w:w="2483"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Investments in funds</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carried interest allocations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Legacy Greenspring investments in funds and accrued carried interest allocations</w:t>
            </w:r>
            <w:r>
              <w:rPr>
                <w:rFonts w:ascii="Times New Roman;sans-serif" w:hAnsi="Times New Roman;sans-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method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2,113,012 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investments in funds were $154.4 million and $147.5 million as of June 30, 2023 and March 31, 2023, respectively. The consolidation of the Consolidated Funds results in the elimination of the Company’s investments in such funds.</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(2)Reflects investments in funds of $151.9 million and $152.7 million and carried interest allocations of $593.7 million and $618.0 million as of June 30, 2023 and March 31,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recognized equity method income (loss) of the following:</w:t>
      </w:r>
    </w:p>
    <w:tbl>
      <w:tblPr>
        <w:tblW w:w="7015" w:type="dxa"/>
        <w:jc w:val="left"/>
        <w:tblInd w:w="0" w:type="dxa"/>
        <w:tblLayout w:type="fixed"/>
        <w:tblCellMar>
          <w:top w:w="28" w:type="dxa"/>
          <w:left w:w="28" w:type="dxa"/>
          <w:bottom w:w="28" w:type="dxa"/>
          <w:right w:w="28" w:type="dxa"/>
        </w:tblCellMar>
      </w:tblPr>
      <w:tblGrid>
        <w:gridCol w:w="1430"/>
        <w:gridCol w:w="1256"/>
        <w:gridCol w:w="1259"/>
        <w:gridCol w:w="211"/>
        <w:gridCol w:w="721"/>
        <w:gridCol w:w="109"/>
        <w:gridCol w:w="109"/>
        <w:gridCol w:w="109"/>
        <w:gridCol w:w="109"/>
        <w:gridCol w:w="211"/>
        <w:gridCol w:w="901"/>
        <w:gridCol w:w="109"/>
        <w:gridCol w:w="109"/>
        <w:gridCol w:w="109"/>
        <w:gridCol w:w="109"/>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Carried interest allocations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Greenspring carried interest allocations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Greenspring investment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method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increase in carried interest allocations for the three months ended June 30, 2023 as compared to the three months ended June 30, 2022 was primarily attributable to unrealized appreciation in the fair value of the underlying investments in the Company’s private equity funds. See note 2 for a discussion of the Company’s accounting policy for investments on a three-month lag.</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of June 30, 2023 and March 31, 2023, the Company’s investments in two SMAs each individually represented 10% or more of the total accrued carried interest allocations balance, and in the aggregate represented approximately 25% and 24%, respectively, of the total accrued carried interest allocations balance as of those dates. As of June 30, 2023 and March 31, 2023, the Company’s investments in three and two commingled funds, respectively, each individually represented 10% or more of the total legacy Greenspring accrued carried interest allocations balance, and in the aggregate represented approximately 35% and 24%, respectively, of the total legacy Greenspring accrued carried interest allocations balances as of those dates.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Of the total accrued carried interest allocations balance as of June 30, 2023 and March 31, 2023, $668.7 million and $644.5 million, respectively, were payable to affiliates and are included in accrued carried interest-related compensation in the condensed consolidated balance sheets. Of the total legacy Greenspring investments in funds and accrued carried interest allocations balance as of June 30, 2023 and March 31, 2023, $593.7 million and $618.0 million, respectively, were payable to employees who are considered affiliates of the Company and are included in legacy Greenspring accrued carried interest-related compensation in the condensed consolidated balance sheets and $151.9 million and $152.7 million, respectively, are reflected as non-controlling interests in legacy Greenspring entities in the condensed consolidated balance sheets.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evaluates each of its equity method investments to determine if any are considered significant as defined by the SEC. As of June 30, 2023 and March 31, 2023 and for the three months ended June 30, 2023 and 2022, no individual equity method investment held by the Company met the significance criteria. As a result, the Company is not required to provide separate financial statements for any of its equity method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Investments of Consolidated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consolidates funds and entities when it is deemed to hold a controlling financial interest. Beginning in the quarter ended December 31, 2022, the Company consolidated one investment fund for which it is deemed to have a controlling financial interest. The activity of the Consolidated Funds is reflected within the condensed consolidated financial statements.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Investments held by the Consolidated Funds are summarized below:</w:t>
      </w:r>
    </w:p>
    <w:tbl>
      <w:tblPr>
        <w:tblW w:w="10205" w:type="dxa"/>
        <w:jc w:val="left"/>
        <w:tblInd w:w="0" w:type="dxa"/>
        <w:tblLayout w:type="fixed"/>
        <w:tblCellMar>
          <w:top w:w="28" w:type="dxa"/>
          <w:left w:w="28" w:type="dxa"/>
          <w:bottom w:w="28" w:type="dxa"/>
          <w:right w:w="28" w:type="dxa"/>
        </w:tblCellMar>
      </w:tblPr>
      <w:tblGrid>
        <w:gridCol w:w="1780"/>
        <w:gridCol w:w="1565"/>
        <w:gridCol w:w="1568"/>
        <w:gridCol w:w="220"/>
        <w:gridCol w:w="753"/>
        <w:gridCol w:w="113"/>
        <w:gridCol w:w="109"/>
        <w:gridCol w:w="109"/>
        <w:gridCol w:w="109"/>
        <w:gridCol w:w="231"/>
        <w:gridCol w:w="791"/>
        <w:gridCol w:w="119"/>
        <w:gridCol w:w="109"/>
        <w:gridCol w:w="109"/>
        <w:gridCol w:w="109"/>
        <w:gridCol w:w="257"/>
        <w:gridCol w:w="228"/>
        <w:gridCol w:w="422"/>
        <w:gridCol w:w="163"/>
        <w:gridCol w:w="163"/>
        <w:gridCol w:w="163"/>
        <w:gridCol w:w="272"/>
        <w:gridCol w:w="225"/>
        <w:gridCol w:w="518"/>
      </w:tblGrid>
      <w:tr>
        <w:trPr/>
        <w:tc>
          <w:tcPr>
            <w:tcW w:w="178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4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Total Investments as of</w:t>
            </w:r>
          </w:p>
        </w:tc>
      </w:tr>
      <w:tr>
        <w:trPr/>
        <w:tc>
          <w:tcPr>
            <w:tcW w:w="4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491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Investments of Consolidated Funds: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and LLC interests (cost of $27.3 million and $21.3 million as of June 30, 2023 and March 31, 2023, respectively)</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1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491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4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of Consolidated Funds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 of June 30, 2023 and March 31, 2023, no individual investment had a fair value greater than 5% of the Company’s total assets.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net gains (losses) from investment activities of the Consolidated Funds:</w:t>
      </w:r>
    </w:p>
    <w:tbl>
      <w:tblPr>
        <w:tblW w:w="10205" w:type="dxa"/>
        <w:jc w:val="left"/>
        <w:tblInd w:w="0" w:type="dxa"/>
        <w:tblLayout w:type="fixed"/>
        <w:tblCellMar>
          <w:top w:w="28" w:type="dxa"/>
          <w:left w:w="28" w:type="dxa"/>
          <w:bottom w:w="28" w:type="dxa"/>
          <w:right w:w="28" w:type="dxa"/>
        </w:tblCellMar>
      </w:tblPr>
      <w:tblGrid>
        <w:gridCol w:w="1093"/>
        <w:gridCol w:w="961"/>
        <w:gridCol w:w="963"/>
        <w:gridCol w:w="865"/>
        <w:gridCol w:w="1665"/>
        <w:gridCol w:w="451"/>
        <w:gridCol w:w="146"/>
        <w:gridCol w:w="146"/>
        <w:gridCol w:w="146"/>
        <w:gridCol w:w="717"/>
        <w:gridCol w:w="2047"/>
        <w:gridCol w:w="361"/>
        <w:gridCol w:w="109"/>
        <w:gridCol w:w="109"/>
        <w:gridCol w:w="109"/>
        <w:gridCol w:w="317"/>
      </w:tblGrid>
      <w:tr>
        <w:trPr/>
        <w:tc>
          <w:tcPr>
            <w:tcW w:w="109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tcPr>
          <w:p>
            <w:pPr>
              <w:pStyle w:val="TableContents"/>
              <w:bidi w:val="0"/>
              <w:spacing w:before="0" w:after="283"/>
              <w:jc w:val="left"/>
              <w:rPr>
                <w:sz w:val="4"/>
                <w:szCs w:val="4"/>
              </w:rPr>
            </w:pPr>
            <w:r>
              <w:rPr>
                <w:sz w:val="4"/>
                <w:szCs w:val="4"/>
              </w:rPr>
            </w:r>
          </w:p>
        </w:tc>
      </w:tr>
      <w:tr>
        <w:trPr/>
        <w:tc>
          <w:tcPr>
            <w:tcW w:w="3017" w:type="dxa"/>
            <w:gridSpan w:val="3"/>
            <w:tcBorders/>
            <w:vAlign w:val="center"/>
          </w:tcPr>
          <w:p>
            <w:pPr>
              <w:pStyle w:val="TableContents"/>
              <w:bidi w:val="0"/>
              <w:spacing w:before="0" w:after="283"/>
              <w:jc w:val="left"/>
              <w:rPr>
                <w:sz w:val="4"/>
                <w:szCs w:val="4"/>
              </w:rPr>
            </w:pPr>
            <w:r>
              <w:rPr>
                <w:sz w:val="4"/>
                <w:szCs w:val="4"/>
              </w:rPr>
            </w:r>
          </w:p>
        </w:tc>
        <w:tc>
          <w:tcPr>
            <w:tcW w:w="298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3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Realized Gains (Losses) on Investments</w:t>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Unrealized Gains (Losses)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Investments of Consolidated Funds:</w:t>
            </w:r>
          </w:p>
        </w:tc>
        <w:tc>
          <w:tcPr>
            <w:tcW w:w="2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17" w:type="dxa"/>
            <w:gridSpan w:val="3"/>
            <w:tcBorders/>
            <w:vAlign w:val="center"/>
          </w:tcPr>
          <w:p>
            <w:pPr>
              <w:pStyle w:val="TableContents"/>
              <w:bidi w:val="0"/>
              <w:spacing w:before="0" w:after="283"/>
              <w:jc w:val="left"/>
              <w:rPr>
                <w:sz w:val="4"/>
                <w:szCs w:val="4"/>
              </w:rPr>
            </w:pPr>
            <w:r>
              <w:rPr>
                <w:sz w:val="4"/>
                <w:szCs w:val="4"/>
              </w:rPr>
            </w:r>
          </w:p>
        </w:tc>
        <w:tc>
          <w:tcPr>
            <w:tcW w:w="298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3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and LLC interests</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17" w:type="dxa"/>
            <w:gridSpan w:val="3"/>
            <w:tcBorders/>
            <w:vAlign w:val="center"/>
          </w:tcPr>
          <w:p>
            <w:pPr>
              <w:pStyle w:val="TableContents"/>
              <w:bidi w:val="0"/>
              <w:spacing w:before="0" w:after="283"/>
              <w:jc w:val="left"/>
              <w:rPr>
                <w:sz w:val="4"/>
                <w:szCs w:val="4"/>
              </w:rPr>
            </w:pPr>
            <w:r>
              <w:rPr>
                <w:sz w:val="4"/>
                <w:szCs w:val="4"/>
              </w:rPr>
            </w:r>
          </w:p>
        </w:tc>
        <w:tc>
          <w:tcPr>
            <w:tcW w:w="298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3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17" w:type="dxa"/>
            <w:gridSpan w:val="3"/>
            <w:tcBorders/>
            <w:vAlign w:val="center"/>
          </w:tcPr>
          <w:p>
            <w:pPr>
              <w:pStyle w:val="TableContents"/>
              <w:bidi w:val="0"/>
              <w:spacing w:before="0" w:after="283"/>
              <w:jc w:val="left"/>
              <w:rPr>
                <w:sz w:val="4"/>
                <w:szCs w:val="4"/>
              </w:rPr>
            </w:pPr>
            <w:r>
              <w:rPr>
                <w:sz w:val="4"/>
                <w:szCs w:val="4"/>
              </w:rPr>
            </w:r>
          </w:p>
        </w:tc>
        <w:tc>
          <w:tcPr>
            <w:tcW w:w="298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3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of Consolidated Funds</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240" w:after="24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6.    Fair Value Measurements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measures certain assets and liabilities at fair value on a recurring basis. The following tables provide details regarding the classification of these assets and liabilities within the fair value hierarchy as of the dates presented:</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Financial Instruments of the Company</w:t>
      </w:r>
    </w:p>
    <w:tbl>
      <w:tblPr>
        <w:tblW w:w="7920" w:type="dxa"/>
        <w:jc w:val="left"/>
        <w:tblInd w:w="0" w:type="dxa"/>
        <w:tblLayout w:type="fixed"/>
        <w:tblCellMar>
          <w:top w:w="28" w:type="dxa"/>
          <w:left w:w="28" w:type="dxa"/>
          <w:bottom w:w="28" w:type="dxa"/>
          <w:right w:w="28" w:type="dxa"/>
        </w:tblCellMar>
      </w:tblPr>
      <w:tblGrid>
        <w:gridCol w:w="1217"/>
        <w:gridCol w:w="1067"/>
        <w:gridCol w:w="1076"/>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 2023</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20" w:type="dxa"/>
        <w:jc w:val="left"/>
        <w:tblInd w:w="0" w:type="dxa"/>
        <w:tblLayout w:type="fixed"/>
        <w:tblCellMar>
          <w:top w:w="28" w:type="dxa"/>
          <w:left w:w="28" w:type="dxa"/>
          <w:bottom w:w="28" w:type="dxa"/>
          <w:right w:w="28" w:type="dxa"/>
        </w:tblCellMar>
      </w:tblPr>
      <w:tblGrid>
        <w:gridCol w:w="1217"/>
        <w:gridCol w:w="1067"/>
        <w:gridCol w:w="1076"/>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2023</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financial instruments presented in the tables above, there were no changes in fair value hierarchy levels during the three months ended June 30, 2023 and 2022.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changes in the fair value of Level III financial instruments of the Company are set forth below:</w:t>
      </w:r>
    </w:p>
    <w:tbl>
      <w:tblPr>
        <w:tblW w:w="10205" w:type="dxa"/>
        <w:jc w:val="left"/>
        <w:tblInd w:w="0" w:type="dxa"/>
        <w:tblLayout w:type="fixed"/>
        <w:tblCellMar>
          <w:top w:w="28" w:type="dxa"/>
          <w:left w:w="28" w:type="dxa"/>
          <w:bottom w:w="28" w:type="dxa"/>
          <w:right w:w="28" w:type="dxa"/>
        </w:tblCellMar>
      </w:tblPr>
      <w:tblGrid>
        <w:gridCol w:w="2677"/>
        <w:gridCol w:w="2301"/>
        <w:gridCol w:w="2312"/>
        <w:gridCol w:w="213"/>
        <w:gridCol w:w="728"/>
        <w:gridCol w:w="109"/>
        <w:gridCol w:w="109"/>
        <w:gridCol w:w="109"/>
        <w:gridCol w:w="109"/>
        <w:gridCol w:w="213"/>
        <w:gridCol w:w="728"/>
        <w:gridCol w:w="109"/>
        <w:gridCol w:w="109"/>
        <w:gridCol w:w="109"/>
        <w:gridCol w:w="109"/>
        <w:gridCol w:w="161"/>
      </w:tblGrid>
      <w:tr>
        <w:trPr/>
        <w:tc>
          <w:tcPr>
            <w:tcW w:w="2677"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Contingent consideration obligations</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unrealized (gains) losses included in earnings related to financial instruments still held at the reporting date</w:t>
            </w:r>
          </w:p>
        </w:tc>
        <w:tc>
          <w:tcPr>
            <w:tcW w:w="2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Contingent Consideration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fair value of the contingent consideration liabilities is based on a discounted cash flow analysis using a probability-weighted average estimate of certain performance targets, including revenue levels. The assumptions used in the analysis are inherently subjective; therefore, the ultimate amount of the contingent consideration liability may differ materially from the current estimate. The significant unobservable inputs required to value the contingent consideration liabilities primarily relate to the future expected revenues and the discount rate applied to the expected future revenues and payments of obligations which was 8% as of June 30, 2023. The contingent consideration liabilities are included in accounts payable, accrued expenses and other liabilities in the condensed consolidated balance sheets. Changes in the fair value of the liabilities are included in general, administrative and other expenses in the condensed consolidated statements of income.</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Financial Instruments of Consolidated Funds</w:t>
      </w:r>
    </w:p>
    <w:tbl>
      <w:tblPr>
        <w:tblW w:w="6923" w:type="dxa"/>
        <w:jc w:val="left"/>
        <w:tblInd w:w="0" w:type="dxa"/>
        <w:tblLayout w:type="fixed"/>
        <w:tblCellMar>
          <w:top w:w="28" w:type="dxa"/>
          <w:left w:w="28" w:type="dxa"/>
          <w:bottom w:w="28" w:type="dxa"/>
          <w:right w:w="28" w:type="dxa"/>
        </w:tblCellMar>
      </w:tblPr>
      <w:tblGrid>
        <w:gridCol w:w="910"/>
        <w:gridCol w:w="803"/>
        <w:gridCol w:w="807"/>
        <w:gridCol w:w="211"/>
        <w:gridCol w:w="406"/>
        <w:gridCol w:w="109"/>
        <w:gridCol w:w="109"/>
        <w:gridCol w:w="109"/>
        <w:gridCol w:w="109"/>
        <w:gridCol w:w="226"/>
        <w:gridCol w:w="436"/>
        <w:gridCol w:w="117"/>
        <w:gridCol w:w="109"/>
        <w:gridCol w:w="109"/>
        <w:gridCol w:w="109"/>
        <w:gridCol w:w="211"/>
        <w:gridCol w:w="616"/>
        <w:gridCol w:w="109"/>
        <w:gridCol w:w="109"/>
        <w:gridCol w:w="109"/>
        <w:gridCol w:w="109"/>
        <w:gridCol w:w="211"/>
        <w:gridCol w:w="616"/>
        <w:gridCol w:w="154"/>
      </w:tblGrid>
      <w:tr>
        <w:trPr/>
        <w:tc>
          <w:tcPr>
            <w:tcW w:w="91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 2023</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and LLC interests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23" w:type="dxa"/>
        <w:jc w:val="left"/>
        <w:tblInd w:w="0" w:type="dxa"/>
        <w:tblLayout w:type="fixed"/>
        <w:tblCellMar>
          <w:top w:w="28" w:type="dxa"/>
          <w:left w:w="28" w:type="dxa"/>
          <w:bottom w:w="28" w:type="dxa"/>
          <w:right w:w="28" w:type="dxa"/>
        </w:tblCellMar>
      </w:tblPr>
      <w:tblGrid>
        <w:gridCol w:w="910"/>
        <w:gridCol w:w="803"/>
        <w:gridCol w:w="807"/>
        <w:gridCol w:w="211"/>
        <w:gridCol w:w="406"/>
        <w:gridCol w:w="109"/>
        <w:gridCol w:w="109"/>
        <w:gridCol w:w="109"/>
        <w:gridCol w:w="109"/>
        <w:gridCol w:w="226"/>
        <w:gridCol w:w="436"/>
        <w:gridCol w:w="117"/>
        <w:gridCol w:w="109"/>
        <w:gridCol w:w="109"/>
        <w:gridCol w:w="109"/>
        <w:gridCol w:w="211"/>
        <w:gridCol w:w="616"/>
        <w:gridCol w:w="109"/>
        <w:gridCol w:w="109"/>
        <w:gridCol w:w="109"/>
        <w:gridCol w:w="109"/>
        <w:gridCol w:w="211"/>
        <w:gridCol w:w="616"/>
        <w:gridCol w:w="154"/>
      </w:tblGrid>
      <w:tr>
        <w:trPr/>
        <w:tc>
          <w:tcPr>
            <w:tcW w:w="91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and LLC interests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For the financial instruments presented in the tables above, there were no changes in fair value hierarchy levels during the three months ended June 30, 2023. There were no financial instruments held by Consolidated Funds as of June 30, 2022.</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Investment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generally values its investment funds, which are organized as partnership and LLC interests, using the NAV per share equivalent calculated by the investment manager as a practical expedient in determining an independent fair value. The Company does not categorize within the fair value hierarchy investments where fair value is measured using the net asset value per share practical expedient. As of June 30, 2023 and March 31, 2023, investments with a combined fair value of $36.3 million and $23.7 million, respectively, are excluded from presentation in the fair value hierarchy as the fair value of these investments were measured at net asset value. As of June 30, 2023 and March 31, 2023, investments with a combined fair value of $2.9 million and $6.9 million, respectively, were classified as Level III investments. The significant unobservable input used to value these investments classified as Level III are the discounts to recent transaction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changes in the fair value of Level III financial instruments of Consolidated Funds are set forth below:</w:t>
      </w:r>
    </w:p>
    <w:tbl>
      <w:tblPr>
        <w:tblW w:w="10205" w:type="dxa"/>
        <w:jc w:val="left"/>
        <w:tblInd w:w="0" w:type="dxa"/>
        <w:tblLayout w:type="fixed"/>
        <w:tblCellMar>
          <w:top w:w="28" w:type="dxa"/>
          <w:left w:w="28" w:type="dxa"/>
          <w:bottom w:w="28" w:type="dxa"/>
          <w:right w:w="28" w:type="dxa"/>
        </w:tblCellMar>
      </w:tblPr>
      <w:tblGrid>
        <w:gridCol w:w="2630"/>
        <w:gridCol w:w="2252"/>
        <w:gridCol w:w="2265"/>
        <w:gridCol w:w="445"/>
        <w:gridCol w:w="1300"/>
        <w:gridCol w:w="229"/>
        <w:gridCol w:w="109"/>
        <w:gridCol w:w="109"/>
        <w:gridCol w:w="109"/>
        <w:gridCol w:w="109"/>
        <w:gridCol w:w="109"/>
        <w:gridCol w:w="539"/>
      </w:tblGrid>
      <w:tr>
        <w:trPr/>
        <w:tc>
          <w:tcPr>
            <w:tcW w:w="2630"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7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4"/>
            <w:tcBorders/>
          </w:tcPr>
          <w:p>
            <w:pPr>
              <w:pStyle w:val="TableContents"/>
              <w:bidi w:val="0"/>
              <w:spacing w:before="0" w:after="283"/>
              <w:jc w:val="left"/>
              <w:rPr>
                <w:sz w:val="4"/>
                <w:szCs w:val="4"/>
              </w:rPr>
            </w:pPr>
            <w:r>
              <w:rPr>
                <w:sz w:val="4"/>
                <w:szCs w:val="4"/>
              </w:rPr>
            </w:r>
          </w:p>
        </w:tc>
      </w:tr>
      <w:tr>
        <w:trPr/>
        <w:tc>
          <w:tcPr>
            <w:tcW w:w="7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Partnership and LLC interests</w:t>
            </w:r>
          </w:p>
        </w:tc>
        <w:tc>
          <w:tcPr>
            <w:tcW w:w="1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ind w:left="0" w:right="0" w:firstLine="405"/>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out of level III</w:t>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714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714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unrealized gains (losses) included in earnings related to financial instruments still held at the reporting date</w:t>
            </w:r>
          </w:p>
        </w:tc>
        <w:tc>
          <w:tcPr>
            <w:tcW w:w="4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7.    Intangibles and Goodwill</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Intangible assets consist of management contracts providing economic rights to management and advisory fees and client relationships related to future fundraising, as obtained through the Company’s acquisitions of other businesses.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Intangible assets, net consists of the following:</w:t>
      </w:r>
    </w:p>
    <w:tbl>
      <w:tblPr>
        <w:tblW w:w="5560" w:type="dxa"/>
        <w:jc w:val="left"/>
        <w:tblInd w:w="0" w:type="dxa"/>
        <w:tblLayout w:type="fixed"/>
        <w:tblCellMar>
          <w:top w:w="28" w:type="dxa"/>
          <w:left w:w="28" w:type="dxa"/>
          <w:bottom w:w="28" w:type="dxa"/>
          <w:right w:w="28" w:type="dxa"/>
        </w:tblCellMar>
      </w:tblPr>
      <w:tblGrid>
        <w:gridCol w:w="995"/>
        <w:gridCol w:w="872"/>
        <w:gridCol w:w="878"/>
        <w:gridCol w:w="212"/>
        <w:gridCol w:w="833"/>
        <w:gridCol w:w="109"/>
        <w:gridCol w:w="109"/>
        <w:gridCol w:w="109"/>
        <w:gridCol w:w="109"/>
        <w:gridCol w:w="236"/>
        <w:gridCol w:w="926"/>
        <w:gridCol w:w="172"/>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352,002 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Client relationships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agreements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(103,544)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354,645 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pPr>
      <w:r>
        <w:rPr>
          <w:rFonts w:ascii="Times New Roman;sans-serif" w:hAnsi="Times New Roman;sans-serif"/>
          <w:b w:val="false"/>
          <w:color w:val="000000"/>
          <w:sz w:val="22"/>
        </w:rPr>
        <w:t>Amortization expense related to intangible assets was $10.7 million and</w:t>
      </w:r>
      <w:r>
        <w:rPr>
          <w:color w:val="000000"/>
        </w:rPr>
        <w:t xml:space="preserve"> </w:t>
      </w:r>
      <w:r>
        <w:rPr>
          <w:rFonts w:ascii="Times New Roman;sans-serif" w:hAnsi="Times New Roman;sans-serif"/>
          <w:b w:val="false"/>
          <w:color w:val="000000"/>
          <w:sz w:val="22"/>
        </w:rPr>
        <w:t>$10.9 million for the three months ended June 30, 2023 and 2022, respectively. These amounts are included in general, administrative and other expenses in the condensed consolidated statements of income.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At June 30, 2023, the expected future amortization of finite-lived intangible assets is as follows:</w:t>
      </w:r>
    </w:p>
    <w:tbl>
      <w:tblPr>
        <w:tblW w:w="3111" w:type="dxa"/>
        <w:jc w:val="left"/>
        <w:tblInd w:w="0" w:type="dxa"/>
        <w:tblLayout w:type="fixed"/>
        <w:tblCellMar>
          <w:top w:w="28" w:type="dxa"/>
          <w:left w:w="28" w:type="dxa"/>
          <w:bottom w:w="28" w:type="dxa"/>
          <w:right w:w="28" w:type="dxa"/>
        </w:tblCellMar>
      </w:tblPr>
      <w:tblGrid>
        <w:gridCol w:w="695"/>
        <w:gridCol w:w="611"/>
        <w:gridCol w:w="614"/>
        <w:gridCol w:w="211"/>
        <w:gridCol w:w="82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FY2024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carrying value of goodwill was $580.5 million as of June 30, 2023 and March 31, 2023. The Company determined there was no indication of goodwill impairment as of June 30, 2023 and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240" w:after="24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8. Debt Obligations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is party to a credit agreement, as amended in April 2023, with various lenders (the “Credit Agreement”) that was arranged by JPMorgan Chase Bank, N.A., as the administrative agent, and provides for a $225.0 million multicurrency revolving credit facility (the “Revolver”) with a five-year maturity. As of June 30, 2023, the Company had $98.5 million outstanding on the Revolver, net of debt issuance costs.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debt obligations consist of the following:</w:t>
      </w:r>
    </w:p>
    <w:tbl>
      <w:tblPr>
        <w:tblW w:w="5246" w:type="dxa"/>
        <w:jc w:val="left"/>
        <w:tblInd w:w="0" w:type="dxa"/>
        <w:tblLayout w:type="fixed"/>
        <w:tblCellMar>
          <w:top w:w="28" w:type="dxa"/>
          <w:left w:w="28" w:type="dxa"/>
          <w:bottom w:w="28" w:type="dxa"/>
          <w:right w:w="28" w:type="dxa"/>
        </w:tblCellMar>
      </w:tblPr>
      <w:tblGrid>
        <w:gridCol w:w="781"/>
        <w:gridCol w:w="687"/>
        <w:gridCol w:w="692"/>
        <w:gridCol w:w="234"/>
        <w:gridCol w:w="919"/>
        <w:gridCol w:w="121"/>
        <w:gridCol w:w="109"/>
        <w:gridCol w:w="109"/>
        <w:gridCol w:w="109"/>
        <w:gridCol w:w="263"/>
        <w:gridCol w:w="1030"/>
        <w:gridCol w:w="192"/>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obligations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98,468 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98,351 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Borrowings under the Revolver bear interest at a variable rate per annum. The Company may designate each borrowing as (i) in the case of any borrowing in U.S. dollars, a base rate loan or a Term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June 30, 2023 was 7.23%.</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Revolver bears a fee on undrawn commitments equal to 0.25% per annum if total utilization of revolving commitments is equal to or greater than 50% and 0.35% per annum if total utilization of revolving commitments is less than 50%.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carrying value of the Revolver approximates fair value, as the loan is subject to variable interest rates that adjust with changes in market rates and market conditions and the current interest rate approximates that which would be available under similar financial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Under the terms of the Credit Agreement, certain of the Company’s assets serve as pledged collateral. In addition, the Credit Agreement contains covenants that, among other things: limit the Company’s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the Company to maintain a total net leverage ratio and a minimum total of fee-earning assets under management. As of June 30, 2023, the Company was in compliance with the total net leverage ratio and minimum fee-earning assets under management covenants.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can use available funding capacity under the Revolver to satisfy letters of credit in amounts up to $10.0 million. Amounts used to satisfy the letters of credit reduce the available capacity under the Revolver. As of June 30, 2023, the Company had outstanding letters of credit totaling $7.8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9.    Equity-Based Compensation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change in unvested RSUs is as follows:</w:t>
      </w:r>
    </w:p>
    <w:tbl>
      <w:tblPr>
        <w:tblW w:w="8398" w:type="dxa"/>
        <w:jc w:val="left"/>
        <w:tblInd w:w="0" w:type="dxa"/>
        <w:tblLayout w:type="fixed"/>
        <w:tblCellMar>
          <w:top w:w="28" w:type="dxa"/>
          <w:left w:w="28" w:type="dxa"/>
          <w:bottom w:w="28" w:type="dxa"/>
          <w:right w:w="28" w:type="dxa"/>
        </w:tblCellMar>
      </w:tblPr>
      <w:tblGrid>
        <w:gridCol w:w="918"/>
        <w:gridCol w:w="805"/>
        <w:gridCol w:w="811"/>
        <w:gridCol w:w="488"/>
        <w:gridCol w:w="488"/>
        <w:gridCol w:w="481"/>
        <w:gridCol w:w="109"/>
        <w:gridCol w:w="109"/>
        <w:gridCol w:w="109"/>
        <w:gridCol w:w="862"/>
        <w:gridCol w:w="2584"/>
        <w:gridCol w:w="634"/>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Grant-Date Fair Value Per RSU</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1,775,732 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(21,835)</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1,753,817 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Unvested Partnership Units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All Class B2 units will automatically convert into Class B units upon final vesting in 2024 and unitholders will be entitled to purchase from the Company one share of Class B common stock for each Class B unit at its par value. Prior to vesting, holders of Class B2 units do not have the right to receive any distributions from the Partnership, other than tax-related distributions.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of June 30, 2023, there were 2,566,566 Class B2 units outstanding. During the three months ended June 30, 2023, none of the outstanding Class B2 units were forfeited. As of June 30, 2023, 598,865 Class B2 units were unvested and 1,967,701 Class B2 units were vested.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 of June 30, 2023, $37.0 million of unrecognized non-cash compensation expense in respect of equity-based awards remained to be recognized over a weighted-average period of approximately 3.8 years. </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Liability Classified Awards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three months ended June 30, 2023, the Company recognized $3.9 million of expense related to the fair value of liability classified awards within equity-based compensation expense in the condensed consolidated statements of income. For the three months ended June 30, 2023 and 2022, no amounts were paid related to settlement for liability classified awards.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10.    Income Taxes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made payments of $7.7 million and $4.8 million during the three months ended June 30, 2023 and 2022, respectively, under the Tax Receivable Agreements. As of June 30, 2023, the Company’s total Tax Receivable Agreements liability was $191.6 million. See note 12 for more information.</w:t>
      </w:r>
    </w:p>
    <w:p>
      <w:pPr>
        <w:pStyle w:val="TextBody"/>
        <w:bidi w:val="0"/>
        <w:spacing w:lineRule="auto" w:line="268" w:before="0" w:after="0"/>
        <w:ind w:left="0" w:right="0" w:firstLine="720"/>
        <w:jc w:val="left"/>
        <w:rPr/>
      </w:pPr>
      <w:r>
        <w:rPr>
          <w:rFonts w:ascii="Times New Roman;sans-serif" w:hAnsi="Times New Roman;sans-serif"/>
          <w:b w:val="false"/>
          <w:color w:val="000000"/>
          <w:sz w:val="22"/>
        </w:rPr>
        <w:t>The Company’s effective tax rate was 14.8% and (6.4)% for the three months ended June 30, 2023 and 2022, respectively. The Company’s overall effective tax rate in each of the periods described above is less than the statutory rate as a portion of income was allocated to non-controlling interests and the tax liability on such income is borne by the holders of non-controlling interests.</w:t>
      </w:r>
      <w:r>
        <w:rPr>
          <w:color w:val="000000"/>
        </w:rPr>
        <w:t xml:space="preserve"> </w:t>
      </w:r>
      <w:r>
        <w:rPr>
          <w:rFonts w:ascii="Times New Roman;sans-serif" w:hAnsi="Times New Roman;sans-serif"/>
          <w:b w:val="false"/>
          <w:color w:val="000000"/>
          <w:sz w:val="22"/>
        </w:rPr>
        <w:t>The primary rate difference was due to the pre-tax income during the three months ended June 30, 20233 compared to pre-tax losses during the three months ended June 30, 2022 and an increase in foreign tax expense for the three months ended June 30, 2023.</w:t>
      </w:r>
      <w:r>
        <w:rPr>
          <w:color w:val="000000"/>
        </w:rPr>
        <w:t xml:space="preserve"> </w:t>
      </w:r>
      <w:r>
        <w:rPr>
          <w:rFonts w:ascii="Times New Roman;sans-serif" w:hAnsi="Times New Roman;sans-serif"/>
          <w:b w:val="false"/>
          <w:color w:val="000000"/>
          <w:sz w:val="22"/>
        </w:rPr>
        <w:t>Additionally, for the three months ended June 30, 2022 there were certain tax expense adjustments that were recorded to the Company’s outside basis difference in the Partnership that did not reoccur in the three months ended June 30, 2023.</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evaluates the realizability of its deferred tax assets on a quarterly basis and adjusts the valuation allowance when it is more-likely-than-not that all or a portion of the deferred tax assets may not be realized.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of June 30, 2023, the Company has not recorded any unrecognized tax benefits and does not expect there to be any material changes to uncertain tax positions within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240" w:after="240"/>
        <w:jc w:val="left"/>
        <w:rPr>
          <w:rFonts w:ascii="Times New Roman;sans-serif" w:hAnsi="Times New Roman;sans-serif"/>
          <w:b/>
          <w:color w:val="000000"/>
          <w:sz w:val="22"/>
        </w:rPr>
      </w:pPr>
      <w:r>
        <w:rPr>
          <w:rFonts w:ascii="Times New Roman;sans-serif" w:hAnsi="Times New Roman;sans-serif"/>
          <w:b/>
          <w:color w:val="000000"/>
          <w:sz w:val="22"/>
        </w:rPr>
        <w:t>11.    Earnings Per Share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Basic and diluted earnings per share of Class A common stock are presented for the three months ended June 30, 2023 and 2022. The following table sets forth reconciliations of the numerators and denominators used to compute basic and diluted earnings per share of Class A common stock:</w:t>
      </w:r>
    </w:p>
    <w:tbl>
      <w:tblPr>
        <w:tblW w:w="9338" w:type="dxa"/>
        <w:jc w:val="left"/>
        <w:tblInd w:w="0" w:type="dxa"/>
        <w:tblLayout w:type="fixed"/>
        <w:tblCellMar>
          <w:top w:w="28" w:type="dxa"/>
          <w:left w:w="28" w:type="dxa"/>
          <w:bottom w:w="28" w:type="dxa"/>
          <w:right w:w="28" w:type="dxa"/>
        </w:tblCellMar>
      </w:tblPr>
      <w:tblGrid>
        <w:gridCol w:w="2215"/>
        <w:gridCol w:w="1946"/>
        <w:gridCol w:w="1959"/>
        <w:gridCol w:w="244"/>
        <w:gridCol w:w="837"/>
        <w:gridCol w:w="115"/>
        <w:gridCol w:w="115"/>
        <w:gridCol w:w="115"/>
        <w:gridCol w:w="115"/>
        <w:gridCol w:w="240"/>
        <w:gridCol w:w="841"/>
        <w:gridCol w:w="115"/>
        <w:gridCol w:w="109"/>
        <w:gridCol w:w="109"/>
        <w:gridCol w:w="109"/>
        <w:gridCol w:w="154"/>
      </w:tblGrid>
      <w:tr>
        <w:trPr/>
        <w:tc>
          <w:tcPr>
            <w:tcW w:w="2215"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20"/>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StepStone Group Inc. – 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20"/>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income from assumed vesting of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20"/>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income from assumed vesting and exchange of Class B2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StepStone Group Inc. – Diluted</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62,834,818 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61,144,139 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vesting of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20"/>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vesting and exchange of Class B2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2,504,618 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 Diluted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65,739,470 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61,144,139 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20"/>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of Class A common stock:</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calculation of diluted earnings per share excludes 46,420,141 Class B units and 2,514,085 Class C units of the Partnership outstanding as of June 30, 2023, and 46,891,897 Class B units and 2,928,824 Class C units of the Partnership outstanding as of June 30, 2022, which are exchangeable into Class A common stock under the if-converted method, as the inclusion of such shares would be anti-dilutive.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the Company was in a net loss position for the three months ended June 30, 2022, the calculation of diluted earnings per share excludes potential shares of Class A common stock for 2,060,605 outstanding RSUs, 2,566,566 Class B2 units and 23,418 Class B units issuable pursuant to anti-dilution rights in connection with the vesting of Class B2 units that are convertible into Class A common stock under the if-converted method, as the inclusion of such shares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12.    Related Party Transactions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considers its senior executives, employees and equity method investments to be related parties. A substantial portion of the Company’s management and advisory fees and carried interest allocations is earned from various StepStone Funds that are considered equity method investments. The Company earned net management and advisory fees from the StepStone Funds of $92.8 million and $79.4 million for the three months ended June 30, 2023 and 2022, respectively. Carried interest allocation revenues earned from the StepStone Funds totaled $63.8 million and $(40.3) million for the three months ended June 30, 2023 and 2022, respectively. Legacy Greenspring carried interest allocation revenues earned from certain legacy Greenspring funds for which the Company has no direct economic interests totaled $(23.9) million and $(153.6) million for the three months ended June 30, 2023 and 2022, respectively.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Due from affiliates in the condensed consolidated balance sheets consists primarily of fees and accounts receivable from the StepStone Funds, advances made on behalf of the StepStone Funds for the payment of certain organization and operating costs and expenses for which the Company is subsequently reimbursed, amounts due from employees and loans due from affiliated entities, as set forth below.</w:t>
      </w:r>
    </w:p>
    <w:tbl>
      <w:tblPr>
        <w:tblW w:w="6386" w:type="dxa"/>
        <w:jc w:val="left"/>
        <w:tblInd w:w="0" w:type="dxa"/>
        <w:tblLayout w:type="fixed"/>
        <w:tblCellMar>
          <w:top w:w="28" w:type="dxa"/>
          <w:left w:w="28" w:type="dxa"/>
          <w:bottom w:w="28" w:type="dxa"/>
          <w:right w:w="28" w:type="dxa"/>
        </w:tblCellMar>
      </w:tblPr>
      <w:tblGrid>
        <w:gridCol w:w="1293"/>
        <w:gridCol w:w="1137"/>
        <w:gridCol w:w="1140"/>
        <w:gridCol w:w="234"/>
        <w:gridCol w:w="800"/>
        <w:gridCol w:w="121"/>
        <w:gridCol w:w="109"/>
        <w:gridCol w:w="109"/>
        <w:gridCol w:w="109"/>
        <w:gridCol w:w="259"/>
        <w:gridCol w:w="886"/>
        <w:gridCol w:w="189"/>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receivable from StepStone Funds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receivable from employees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receivable from loans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due from affiliates</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Due to affiliates in the condensed consolidated balance sheets consists primarily of amounts payable to certain non-controlling interest holders in connection with the Tax Receivable Agreements, amounts payable to the StepStone Funds and distributions payable to certain employee equity holders of consolidated subsidiaries, as set forth below.</w:t>
      </w:r>
    </w:p>
    <w:tbl>
      <w:tblPr>
        <w:tblW w:w="10205" w:type="dxa"/>
        <w:jc w:val="left"/>
        <w:tblInd w:w="0" w:type="dxa"/>
        <w:tblLayout w:type="fixed"/>
        <w:tblCellMar>
          <w:top w:w="28" w:type="dxa"/>
          <w:left w:w="28" w:type="dxa"/>
          <w:bottom w:w="28" w:type="dxa"/>
          <w:right w:w="28" w:type="dxa"/>
        </w:tblCellMar>
      </w:tblPr>
      <w:tblGrid>
        <w:gridCol w:w="2683"/>
        <w:gridCol w:w="2357"/>
        <w:gridCol w:w="2367"/>
        <w:gridCol w:w="211"/>
        <w:gridCol w:w="832"/>
        <w:gridCol w:w="109"/>
        <w:gridCol w:w="109"/>
        <w:gridCol w:w="109"/>
        <w:gridCol w:w="109"/>
        <w:gridCol w:w="232"/>
        <w:gridCol w:w="913"/>
        <w:gridCol w:w="174"/>
      </w:tblGrid>
      <w:tr>
        <w:trPr/>
        <w:tc>
          <w:tcPr>
            <w:tcW w:w="2683"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7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420"/>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7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payable to non-controlling interest holders in connection with Tax Receivable Agreements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199,307 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payable to StepStone Funds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payable to certain employee equity holders of consolidated subsidiaries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due to affiliates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205,424 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made payments of $7.7 million and $4.8 million during the three months ended June 30, 2023 and 2022, respectively, under the Tax Receivable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13.    Stockholders’ Equity and Redeemable Non-Controlling Interests</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Stockholders’ Equity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Class C limited partnership interests of the Partnership have substantially the same rights and obligations as are applicable to the existing holders of Class B units of the Partnership. The Company has no ownership interest in the Class C units, which are held by certain employees of the Company. The Company also entered into an agreement with the Class C limited partners of the Partnership to allow for the exchange of Class C units to shares of Class A common stock of the Company on a one-for-one basis, subject to certain restrictions.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shows a rollforward of the Company’s shares of common stock outstanding since March 31, 2023:</w:t>
      </w:r>
    </w:p>
    <w:tbl>
      <w:tblPr>
        <w:tblW w:w="8650" w:type="dxa"/>
        <w:jc w:val="left"/>
        <w:tblInd w:w="0" w:type="dxa"/>
        <w:tblLayout w:type="fixed"/>
        <w:tblCellMar>
          <w:top w:w="28" w:type="dxa"/>
          <w:left w:w="28" w:type="dxa"/>
          <w:bottom w:w="28" w:type="dxa"/>
          <w:right w:w="28" w:type="dxa"/>
        </w:tblCellMar>
      </w:tblPr>
      <w:tblGrid>
        <w:gridCol w:w="1500"/>
        <w:gridCol w:w="1312"/>
        <w:gridCol w:w="1327"/>
        <w:gridCol w:w="689"/>
        <w:gridCol w:w="689"/>
        <w:gridCol w:w="691"/>
        <w:gridCol w:w="109"/>
        <w:gridCol w:w="109"/>
        <w:gridCol w:w="109"/>
        <w:gridCol w:w="618"/>
        <w:gridCol w:w="618"/>
        <w:gridCol w:w="879"/>
      </w:tblGrid>
      <w:tr>
        <w:trPr/>
        <w:tc>
          <w:tcPr>
            <w:tcW w:w="1500"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B Common Stock</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62,834,791 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46,420,141 </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issued for vesting of RSUs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13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62,834,871 </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46,420,141 </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has 25,000,000 authorized shares of preferred stock, par value of $0.001 per share, and as of June 30, 2023, no shares of preferred stock were issued or outstanding.</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reallocation adjustment between SSG stockholders’ equity, non-controlling interests in the Partnership and non-controlling interests in subsidiaries relates to the impact of changes in economic ownership percentages during the period and adjusting previously recorded equity transactions to the economic ownership percentage as of the end of each reporting period.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Dividends and distributions are reflected in the condensed consolidated statements of stockholders’ equity when declared by the board of directors. Dividends are made to Class A common stockholders and distributions are made to limited partners of the Partnership and holders of non-controlling interests in subsidiaries.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On May 24, 2023, the Company announced a quarterly cash dividend of $0.20 per share of Class A common stock and a supplemental cash dividend of $0.25 per share of Class A common stock, both of which were paid on June 30, 2023 to holders of record at the close of business on June 15, 2023.</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Redeemable Non-Controlling Interests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activities associated with the redeemable non-controlling interests in Consolidated Funds:</w:t>
      </w:r>
    </w:p>
    <w:tbl>
      <w:tblPr>
        <w:tblW w:w="4551" w:type="dxa"/>
        <w:jc w:val="left"/>
        <w:tblInd w:w="0" w:type="dxa"/>
        <w:tblLayout w:type="fixed"/>
        <w:tblCellMar>
          <w:top w:w="28" w:type="dxa"/>
          <w:left w:w="28" w:type="dxa"/>
          <w:bottom w:w="28" w:type="dxa"/>
          <w:right w:w="28" w:type="dxa"/>
        </w:tblCellMar>
      </w:tblPr>
      <w:tblGrid>
        <w:gridCol w:w="603"/>
        <w:gridCol w:w="529"/>
        <w:gridCol w:w="532"/>
        <w:gridCol w:w="532"/>
        <w:gridCol w:w="1818"/>
        <w:gridCol w:w="274"/>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24,530 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w:t>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41,618 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14.    Commitments and Contingencies</w:t>
      </w:r>
    </w:p>
    <w:p>
      <w:pPr>
        <w:pStyle w:val="TextBody"/>
        <w:bidi w:val="0"/>
        <w:spacing w:lineRule="auto" w:line="288"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Litigation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expect a potential liability related to any current legal proceedings or claims that would individually or in the aggregate materially affect its condensed consolidated financial statements as of June 30, 2023.</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Lease Commitments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leases offices in 26 cities in North America, South America, Europe, Asia and Australia, and certain equipment subject to operating lease agreements expiring through 2039, some of which may include options to extend or terminate the lease. As of June 30, 2023, there were no finance leases outstanding.</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components of lease expense included in general, administrative and other expenses in the condensed consolidated statements of income were as follows:</w:t>
      </w:r>
    </w:p>
    <w:tbl>
      <w:tblPr>
        <w:tblW w:w="5022" w:type="dxa"/>
        <w:jc w:val="left"/>
        <w:tblInd w:w="0" w:type="dxa"/>
        <w:tblLayout w:type="fixed"/>
        <w:tblCellMar>
          <w:top w:w="28" w:type="dxa"/>
          <w:left w:w="28" w:type="dxa"/>
          <w:bottom w:w="28" w:type="dxa"/>
          <w:right w:w="28" w:type="dxa"/>
        </w:tblCellMar>
      </w:tblPr>
      <w:tblGrid>
        <w:gridCol w:w="695"/>
        <w:gridCol w:w="610"/>
        <w:gridCol w:w="614"/>
        <w:gridCol w:w="251"/>
        <w:gridCol w:w="735"/>
        <w:gridCol w:w="130"/>
        <w:gridCol w:w="130"/>
        <w:gridCol w:w="130"/>
        <w:gridCol w:w="130"/>
        <w:gridCol w:w="251"/>
        <w:gridCol w:w="735"/>
        <w:gridCol w:w="130"/>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 cost</w:t>
            </w:r>
            <w:r>
              <w:rPr>
                <w:rFonts w:ascii="Times New Roman;sans-serif" w:hAnsi="Times New Roman;sans-serif"/>
                <w:b w:val="false"/>
                <w:color w:val="000000"/>
                <w:sz w:val="13"/>
              </w:rPr>
              <w:t>(1)</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(1)Operating lease cost includes an immaterial amount of short-term leases.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Supplemental cash flow information related to leases was as follows:</w:t>
      </w:r>
    </w:p>
    <w:tbl>
      <w:tblPr>
        <w:tblW w:w="8531" w:type="dxa"/>
        <w:jc w:val="left"/>
        <w:tblInd w:w="0" w:type="dxa"/>
        <w:tblLayout w:type="fixed"/>
        <w:tblCellMar>
          <w:top w:w="28" w:type="dxa"/>
          <w:left w:w="28" w:type="dxa"/>
          <w:bottom w:w="28" w:type="dxa"/>
          <w:right w:w="28" w:type="dxa"/>
        </w:tblCellMar>
      </w:tblPr>
      <w:tblGrid>
        <w:gridCol w:w="2126"/>
        <w:gridCol w:w="1864"/>
        <w:gridCol w:w="1874"/>
        <w:gridCol w:w="362"/>
        <w:gridCol w:w="187"/>
        <w:gridCol w:w="465"/>
        <w:gridCol w:w="187"/>
        <w:gridCol w:w="187"/>
        <w:gridCol w:w="187"/>
        <w:gridCol w:w="362"/>
        <w:gridCol w:w="187"/>
        <w:gridCol w:w="543"/>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used for operating leases</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for operating leases (in years)</w:t>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for operating leases</w:t>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of June 30, 2023, maturities of operating lease liabilities were as follows:</w:t>
      </w:r>
    </w:p>
    <w:tbl>
      <w:tblPr>
        <w:tblW w:w="3846" w:type="dxa"/>
        <w:jc w:val="left"/>
        <w:tblInd w:w="0" w:type="dxa"/>
        <w:tblLayout w:type="fixed"/>
        <w:tblCellMar>
          <w:top w:w="28" w:type="dxa"/>
          <w:left w:w="28" w:type="dxa"/>
          <w:bottom w:w="28" w:type="dxa"/>
          <w:right w:w="28" w:type="dxa"/>
        </w:tblCellMar>
      </w:tblPr>
      <w:tblGrid>
        <w:gridCol w:w="961"/>
        <w:gridCol w:w="845"/>
        <w:gridCol w:w="849"/>
        <w:gridCol w:w="211"/>
        <w:gridCol w:w="82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FY2024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Unfunded Capital Commitments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of June 30, 2023 and March 31, 2023, the Company, generally in its capacity as general partner or managing member of the StepStone Funds, had unfunded commitments totaling $95.0 million and $88.7 million, respectively. The $95.0 million and $88.7 million of unfunded commitments as of June 30, 2023 and March 31, 2023, respectively, exclude $50.1 million and $50.6 million, respectively, related to commitments held by general partner entities for certain funds in which the Company does not hold any direct economic interests, including the legacy Greenspring funds.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Carried Interest Allocations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June 30, 2023 and March 31, 2023, no material amounts for potential clawback obligations had been accrued. This contingent obligation is normally reduced by income taxes that the Company has paid related to the carried interest allocations. As of June 30, 2023, the maximum amount of carried interest allocations (excluding legacy Greenspring carried interest allocations) attributable to the Company subject to contingent repayment was an estimated $271.2 million, net of tax, assuming the fair value of all investments was zero, a possibility that the Company views as remote.</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Indemnification Arrangements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condensed consolidated balance sheets as of June 30, 2023 and March 31, 2023. Based on past experience, management believes that the risk of loss related to these indemnities is remote.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15.    Subsequent Events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On August 3, 2023, the Company announced a quarterly cash dividend of $0.21 per share of Class A common stock, payable on September 15, 2023 to holders of record as of the close of business on August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Item 2. Management’s Discussion and Analysis of Financial Condition and Results of Operations</w:t>
      </w:r>
    </w:p>
    <w:p>
      <w:pPr>
        <w:pStyle w:val="TextBody"/>
        <w:bidi w:val="0"/>
        <w:spacing w:lineRule="auto" w:line="276" w:before="0" w:after="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The following discussion and analysis should be read in conjunction with the unaudited condensed consolidated financial statements and the related notes included within this quarterly report on Form 10-Q and our audited financial statements, the related notes, and Management’s Discussion and Analysis of Financial Condition and Results of Operations included in our annual report on Form 10-K for the fiscal year ended March 31, 2023 filed with the SEC. In this quarterly report, references to “we,” “us,” “our,” “StepStone” and similar terms refer to SSG and its consolidated subsidiaries, including the Partnership.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Business Overview</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are a global private markets investment firm focused on providing customized investment solutions and advisory, data and administrative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June 30, 2023, we were responsible for approximately $640 billion of total capital, including $143 billion of AUM and $497 billion of AUA.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are a global firm and believe that our multi-asset class expertise, local knowledge, business relationships, proprietary data and technology, and presence are all critical to securing a competitive edge in the private markets. We deploy a local staffing model, operating from 26 cities across 16 countries on five continents. Our offices are staffed by investment professionals who bring valuable regional insights and language proficiency to enhance existing client relationships and build new client relationships. Since our inception in 2007, we have invested and continue to invest heavily in our platforms to drive growth and expand our investment solutions capabilities and service offerings, including through opportunistic transactions that have helped accelerate the growth of our team and capabilities. As of June 30, 2023, we had 966 total employees, including 323 investment professionals and 643 employees across our operating team and implementation teams dedicated to sourcing, executing, analyzing and monitoring private markets opportunities.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have a flexible business model whereby many of our clients engage us for solutions across multiple asset classes and investment strategies. Our solutions are typically offered in the following commercial structures: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231F20"/>
          <w:sz w:val="22"/>
        </w:rPr>
        <w:t>Separately managed accounts (“SMAs”)</w:t>
      </w:r>
      <w:r>
        <w:rPr>
          <w:rFonts w:ascii="Times New Roman;sans-serif" w:hAnsi="Times New Roman;sans-serif"/>
          <w:b w:val="false"/>
          <w:color w:val="000000"/>
          <w:sz w:val="22"/>
        </w:rPr>
        <w:t>. Owned by one client and managed according to their specific preferences, SMAs integrate a combination of primaries, secondaries and co-investments across one or more asset classes. SMAs are meant to address clients’ specific portfolio objectives with respect to return, risk tolerance, diversification and liquidity. SMAs, including directly managed assets, comprised $85 billion of our AUM as of June 30, 2023</w:t>
      </w:r>
      <w:r>
        <w:rPr>
          <w:rFonts w:ascii="Times New Roman;sans-serif" w:hAnsi="Times New Roman;sans-serif"/>
          <w:b w:val="false"/>
          <w:color w:val="231F20"/>
          <w:sz w:val="22"/>
        </w:rPr>
        <w: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231F20"/>
          <w:sz w:val="22"/>
        </w:rPr>
        <w:t xml:space="preserve">Focused commingled funds. </w:t>
      </w:r>
      <w:r>
        <w:rPr>
          <w:rFonts w:ascii="Times New Roman;sans-serif" w:hAnsi="Times New Roman;sans-serif"/>
          <w:b w:val="false"/>
          <w:color w:val="231F20"/>
          <w:sz w:val="22"/>
        </w:rPr>
        <w:t xml:space="preserve">Owned by multiple clients, our focused commingled funds deploy capital in specific asset classes with defined investment strategies. Focused commingled funds comprised $44 billion of our AUM as of </w:t>
      </w:r>
      <w:r>
        <w:rPr>
          <w:rFonts w:ascii="Times New Roman;sans-serif" w:hAnsi="Times New Roman;sans-serif"/>
          <w:b w:val="false"/>
          <w:color w:val="000000"/>
          <w:sz w:val="22"/>
        </w:rPr>
        <w:t>June 30, 2023</w:t>
      </w:r>
      <w:r>
        <w:rPr>
          <w:rFonts w:ascii="Times New Roman;sans-serif" w:hAnsi="Times New Roman;sans-serif"/>
          <w:b w:val="false"/>
          <w:color w:val="231F20"/>
          <w:sz w:val="22"/>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231F20"/>
          <w:sz w:val="22"/>
        </w:rPr>
        <w:t xml:space="preserve">Advisory, data and administrative services. </w:t>
      </w:r>
      <w:r>
        <w:rPr>
          <w:rFonts w:ascii="Times New Roman;sans-serif" w:hAnsi="Times New Roman;sans-serif"/>
          <w:b w:val="false"/>
          <w:color w:val="231F20"/>
          <w:sz w:val="22"/>
        </w:rPr>
        <w:t xml:space="preserve">These services include one or more of the following for our clients: (i) recurring support of portfolio 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(v) licensed access to our proprietary data and technology platforms, including StepStone Private Markets Intelligence (“SPI”) Research and our other proprietary tools, and (vi) administrative services to unaffiliated investment advisors. Advisory relationships comprised </w:t>
      </w:r>
      <w:r>
        <w:rPr>
          <w:rFonts w:ascii="Times New Roman;sans-serif" w:hAnsi="Times New Roman;sans-serif"/>
          <w:b w:val="false"/>
          <w:color w:val="000000"/>
          <w:sz w:val="22"/>
        </w:rPr>
        <w:t>$497 billion</w:t>
      </w:r>
      <w:r>
        <w:rPr>
          <w:color w:val="231F20"/>
        </w:rPr>
        <w:t xml:space="preserve"> </w:t>
      </w:r>
      <w:r>
        <w:rPr>
          <w:rFonts w:ascii="Times New Roman;sans-serif" w:hAnsi="Times New Roman;sans-serif"/>
          <w:b w:val="false"/>
          <w:color w:val="231F20"/>
          <w:sz w:val="22"/>
        </w:rPr>
        <w:t xml:space="preserve">of our AUA and $13 billion of our AUM as of </w:t>
      </w:r>
      <w:r>
        <w:rPr>
          <w:rFonts w:ascii="Times New Roman;sans-serif" w:hAnsi="Times New Roman;sans-serif"/>
          <w:b w:val="false"/>
          <w:color w:val="000000"/>
          <w:sz w:val="22"/>
        </w:rPr>
        <w:t>June 30, 2023</w:t>
      </w:r>
      <w:r>
        <w:rPr>
          <w:rFonts w:ascii="Times New Roman;sans-serif" w:hAnsi="Times New Roman;sans-serif"/>
          <w:b w:val="false"/>
          <w:color w:val="231F20"/>
          <w:sz w:val="22"/>
        </w:rPr>
        <w: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231F20"/>
          <w:sz w:val="22"/>
        </w:rPr>
        <w:t xml:space="preserve">Portfolio analytics and reporting. </w:t>
      </w:r>
      <w:r>
        <w:rPr>
          <w:rFonts w:ascii="Times New Roman;sans-serif" w:hAnsi="Times New Roman;sans-serif"/>
          <w:b w:val="false"/>
          <w:color w:val="231F20"/>
          <w:sz w:val="22"/>
        </w:rPr>
        <w:t xml:space="preserve">We provide clients with tailored reporting packages, including customized performance benchmarks as well as associated compliance, administrative and tax capabilities. Mandates for portfolio analytics and reporting services typically include licensed access to our proprietary performance monitoring software, SPI Reporting (formerly known as Omni). SPI Reporting tracked detailed information on over $955 billion of client commitments as of </w:t>
      </w:r>
      <w:r>
        <w:rPr>
          <w:rFonts w:ascii="Times New Roman;sans-serif" w:hAnsi="Times New Roman;sans-serif"/>
          <w:b w:val="false"/>
          <w:color w:val="000000"/>
          <w:sz w:val="22"/>
        </w:rPr>
        <w:t>June 30, 2023</w:t>
      </w:r>
      <w:r>
        <w:rPr>
          <w:rFonts w:ascii="Times New Roman;sans-serif" w:hAnsi="Times New Roman;sans-serif"/>
          <w:b w:val="false"/>
          <w:color w:val="231F20"/>
          <w:sz w:val="22"/>
        </w:rPr>
        <w:t>, inclusive of our total capital responsibility, previously exited investments and investments of former clients.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generate revenues from management and advisory fees and performance fees earned pursuant to contractual arrangements with our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Trends Affecting Our Business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Our business is affected by a variety of factors, including conditions in the financial markets and economic and political conditions. Changes in global economic conditions and regulatory or other governmental policies or actions can materially affect the values of the StepStone Funds’ holdings and the ability to source attractive investments and completely utilize the capital that we have raised. However, we believe our disciplined investment philosophy across our diversified investment strategies has historically contributed to the stability of our performance throughout market cycles. Furthermore, we operate at scale across all four private markets asset classes and service clients across a broad range of geography, type, and size, which contributes to our operating resilience and mitigates against concentration risk.</w:t>
      </w:r>
    </w:p>
    <w:p>
      <w:pPr>
        <w:pStyle w:val="TextBody"/>
        <w:bidi w:val="0"/>
        <w:spacing w:lineRule="auto" w:line="288" w:before="0" w:after="24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In addition to these macroeconomic trends and market factors, we believe our future performance will be influenced by the following factors: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231F20"/>
          <w:sz w:val="22"/>
        </w:rPr>
        <w:t xml:space="preserve">The extent to which clients favor private markets investments. </w:t>
      </w:r>
      <w:r>
        <w:rPr>
          <w:rFonts w:ascii="Times New Roman;sans-serif" w:hAnsi="Times New Roman;sans-serif"/>
          <w:b w:val="false"/>
          <w:color w:val="231F20"/>
          <w:sz w:val="22"/>
        </w:rPr>
        <w:t>Our ability to attract new capital is partially dependent on clients’ 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investments from private wealth clients, (3) shifting asset allocation policies of institutional clients and (4) increasing barriers to entry and growth for potential competitors.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231F20"/>
          <w:sz w:val="22"/>
        </w:rPr>
        <w:t xml:space="preserve">Our ability to generate strong, stable returns. </w:t>
      </w:r>
      <w:r>
        <w:rPr>
          <w:rFonts w:ascii="Times New Roman;sans-serif" w:hAnsi="Times New Roman;sans-serif"/>
          <w:b w:val="false"/>
          <w:color w:val="231F20"/>
          <w:sz w:val="22"/>
        </w:rPr>
        <w:t>Our ability to raise and retain capital is partially dependent on the investment returns 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231F20"/>
          <w:sz w:val="22"/>
        </w:rPr>
        <w:t xml:space="preserve">Our ability to maintain our data advantage relative to competitors. </w:t>
      </w:r>
      <w:r>
        <w:rPr>
          <w:rFonts w:ascii="Times New Roman;sans-serif" w:hAnsi="Times New Roman;sans-serif"/>
          <w:b w:val="false"/>
          <w:color w:val="231F20"/>
          <w:sz w:val="22"/>
        </w:rPr>
        <w:t>Our proprietary data and technology platforms, analytical tools 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231F20"/>
          <w:sz w:val="22"/>
        </w:rPr>
        <w:t xml:space="preserve">Our ability to source investments with attractive risk-adjusted returns. </w:t>
      </w:r>
      <w:r>
        <w:rPr>
          <w:rFonts w:ascii="Times New Roman;sans-serif" w:hAnsi="Times New Roman;sans-serif"/>
          <w:b w:val="false"/>
          <w:color w:val="231F20"/>
          <w:sz w:val="22"/>
        </w:rPr>
        <w:t>The continued growth in our revenues is dependent on our 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an investment opportunity. A significant decrease in the quality or quantity of potential opportunities could significantly and adversely affect our ability to source investments with attractive risk-adjusted returns.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231F20"/>
          <w:sz w:val="22"/>
        </w:rPr>
        <w:t xml:space="preserve">Increased competition and clients’ desire to work with fewer managers. </w:t>
      </w:r>
      <w:r>
        <w:rPr>
          <w:rFonts w:ascii="Times New Roman;sans-serif" w:hAnsi="Times New Roman;sans-serif"/>
          <w:b w:val="false"/>
          <w:color w:val="231F20"/>
          <w:sz w:val="22"/>
        </w:rPr>
        <w:t>There has been an increasing desire on the part of larger institutional investors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Current Events</w:t>
      </w:r>
    </w:p>
    <w:p>
      <w:pPr>
        <w:pStyle w:val="TextBody"/>
        <w:bidi w:val="0"/>
        <w:spacing w:lineRule="auto" w:line="288" w:before="0" w:after="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In 2022, financial markets experienced increased volatility amid rising interest rates, slowing economic growth, persistently high inflation and the ongoing Russia-Ukraine conflict. Central banks around the world pursued monetary policy tightening in an effort to bring down inflation to target rates, stoking recession fears. In the first half of calendar 2023, signs of slowing inflation coupled with a strong labor market contributed to a rebound in financial markets despite banking system volatility as recession fears receded in anticipation that interest rates may not rise as much as previously expected.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231F20"/>
          <w:sz w:val="22"/>
        </w:rPr>
        <w:t>We are continuing to closely monitor developments related to inflation, rising interest rates, the ongoing Russia-Ukraine conflict and banking system volatility, and to assess the impact on financial markets and on our business. Our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profitably exit existing investments. Such conditions have resulted in, and may continue to result in, delayed or decreased performance fee revenues. I</w:t>
      </w:r>
      <w:r>
        <w:rPr>
          <w:rFonts w:ascii="Times New Roman;sans-serif" w:hAnsi="Times New Roman;sans-serif"/>
          <w:b w:val="false"/>
          <w:color w:val="000000"/>
          <w:sz w:val="22"/>
        </w:rPr>
        <w:t>t is currently not possible to predict the ultimate effects of these events on the financial markets, overall economy and our condensed consolidated financial statements. See “Risk Factors—Risks Related to Our Industry—Difficult or volatile market and political conditions can adversely affect our business by reducing the market value of the assets we manage, causing our clients to reduce their investments in private markets, reducing the number of high-quality investment managers with whom we may invest, and reducing the ability of our funds to raise or deploy capital” and “Risk Factors—Banking system volatility may adversely affect the results and financial condition of the StepStone Funds or StepStone generally” included in our annual report on Form 10-K for the fiscal year ended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Corporate Transactions</w:t>
      </w:r>
    </w:p>
    <w:p>
      <w:pPr>
        <w:pStyle w:val="TextBody"/>
        <w:bidi w:val="0"/>
        <w:spacing w:lineRule="auto" w:line="288" w:before="0" w:after="240"/>
        <w:ind w:left="0" w:right="0" w:firstLine="720"/>
        <w:jc w:val="left"/>
        <w:rPr>
          <w:rFonts w:ascii="Times New Roman;sans-serif" w:hAnsi="Times New Roman;sans-serif"/>
          <w:b/>
          <w:color w:val="231F20"/>
          <w:sz w:val="22"/>
        </w:rPr>
      </w:pPr>
      <w:r>
        <w:rPr>
          <w:rFonts w:ascii="Times New Roman;sans-serif" w:hAnsi="Times New Roman;sans-serif"/>
          <w:b/>
          <w:color w:val="231F20"/>
          <w:sz w:val="22"/>
        </w:rPr>
        <w:t>Private Wealth Transaction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November 2022, we entered into new arrangements with the StepStone Group Private Wealth LLC (“SPW”) management team, which are intended to update the legacy SPW compensation structure to better incentivize the SPW team to grow the platform, while ensuring the platform will remain part of StepStone going forward (the “Private Wealth Transaction”). SPW, which was formerly known as Conversus, is the platform established by us to expand access to the private markets for accredited investors. At the establishment of the platform, the SPW management team were provided an ability to acquire the platform from us in exchange for an amount which would have provided us a return of our initial investment plus an equity return.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part of the new arrangements, certain members of the SPW team received a profits interest in SPW and concurrently entered into an option agreement which provides that, (i) we have the right to acquire the profits interest at the end of any fiscal quarter after June 30, 2027, in exchange for payment of a call price and (ii) the SPW management team, through an entity named CH Equity Partners, LLC (formerly known as Conversus Holdings LLC), has the right to put the profits interest to us on June 30, 2026 or at the end of any fiscal quarter thereafter, in exchange for payment of a put price. The applicable call or put price is, in certain circumstances, subject to an earn-out or earn-down. The call or put price will be payable in cash unless we elect to pay a portion of the consideration in units of the Partnership, each to be exchangeable into shares of our Class A common stock, and, in either case, rights under one or more tax receivable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Organizational Structure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SSG is a holding company and its only business is to act as the managing member of the General Partner, and its only material assets are Class A units in the Partnership and 100% of the interests in the General Partner. In its capacity as the sole managing member of the General Partner, SSG indirectly operates and controls all of the Partnership’s business and affairs. Therefore, we consolidate the financial results of the Partnership and report non-controlling interests (“NCI”) related to the Class B units and Class C units held by partners of the Partnership in our consolidated financial statements.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StepStone Limited Partnership Agreement, the Class B Exchange Agreement and Class C Exchange Agreement that SSG and the Partnership entered into with partners holding Class B units and Class C units of the Partnership, respectively, each Class B unit or Class C unit is exchangeable for one share of SSG’s Class A common stock or, at SSG’s election, for cash, subject to certain restrictions specified in the relevant exchange agreement. When a Class B unit or Class C unit is surrendered for exchange, it will not be available for reissuance. When a Class B unit is exchanged for a share of SSG’s Class A common stock, a corresponding share of SSG’s Class B common stock will automatically be redeemed by SSG at par value and canceled. There are no corresponding shares of common stock for the Class C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diagram below illustrates our organizational structure as of June 30, 2023.</w:t>
      </w:r>
    </w:p>
    <w:p>
      <w:pPr>
        <w:pStyle w:val="TextBody"/>
        <w:bidi w:val="0"/>
        <w:spacing w:before="0" w:after="240"/>
        <w:ind w:left="0" w:right="0" w:firstLine="720"/>
        <w:jc w:val="center"/>
        <w:rPr/>
      </w:pPr>
      <w:r>
        <w:rPr/>
        <w:drawing>
          <wp:inline distT="0" distB="0" distL="0" distR="0">
            <wp:extent cx="6057900" cy="3305175"/>
            <wp:effectExtent l="0" t="0" r="0" b="0"/>
            <wp:docPr id="4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 descr=""/>
                    <pic:cNvPicPr>
                      <a:picLocks noChangeAspect="1" noChangeArrowheads="1"/>
                    </pic:cNvPicPr>
                  </pic:nvPicPr>
                  <pic:blipFill>
                    <a:blip r:embed="rId2"/>
                    <a:stretch>
                      <a:fillRect/>
                    </a:stretch>
                  </pic:blipFill>
                  <pic:spPr bwMode="auto">
                    <a:xfrm>
                      <a:off x="0" y="0"/>
                      <a:ext cx="6057900" cy="3305175"/>
                    </a:xfrm>
                    <a:prstGeom prst="rect">
                      <a:avLst/>
                    </a:prstGeom>
                  </pic:spPr>
                </pic:pic>
              </a:graphicData>
            </a:graphic>
          </wp:inline>
        </w:drawing>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may not sum to 100% due to rounding.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partners of the Partnership other than StepStone Group Inc. are: </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 xml:space="preserve">the General Partner, which holds a 100% general partner interest and no economic interests; </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 xml:space="preserve">certain members of management, employee owners and outside investors, all of whom own Class B units and an equivalent number of shares of Class B common stock; </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 xml:space="preserve">certain members of management and employees who own Class B2 units; and </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 xml:space="preserve">certain employee owners who own Class C units.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(2)Each share of Class A common stock is entitled to one vote and vote together with the Class B common stock as a single class, except as set forth in SSG’s amended and restated certificate of incorporation or as required by law.</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(3)Each share of Class B common stock is entitled to five votes prior to a Sunset (as defined below). After a Sunset becomes effective, each share of our Class B common stock will then entitle its holder to one vote. The economic rights of our Class B common stock are limited to the right to be redeemed at par value.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shd w:fill="FFFFFF" w:val="clear"/>
        </w:rPr>
        <w:t xml:space="preserve">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 As of June 30, 2023 the Sunset Holders collectively maintained direct or indirect beneficial ownership of approximately </w:t>
      </w:r>
      <w:r>
        <w:rPr>
          <w:rFonts w:ascii="Times New Roman;sans-serif" w:hAnsi="Times New Roman;sans-serif"/>
          <w:b w:val="false"/>
          <w:color w:val="000000"/>
          <w:sz w:val="22"/>
        </w:rPr>
        <w:t>31.1</w:t>
      </w:r>
      <w:r>
        <w:rPr>
          <w:rFonts w:ascii="Times New Roman;sans-serif" w:hAnsi="Times New Roman;sans-serif"/>
          <w:b w:val="false"/>
          <w:color w:val="000000"/>
          <w:sz w:val="22"/>
          <w:shd w:fill="FFFFFF" w:val="clear"/>
        </w:rPr>
        <w:t xml:space="preserve">% of the Class A common stock (determined assuming all outstanding Class B units have been exchanged for Class A common stock) and approximately </w:t>
      </w:r>
      <w:r>
        <w:rPr>
          <w:rFonts w:ascii="Times New Roman;sans-serif" w:hAnsi="Times New Roman;sans-serif"/>
          <w:b w:val="false"/>
          <w:color w:val="000000"/>
          <w:sz w:val="22"/>
        </w:rPr>
        <w:t>56.3%</w:t>
      </w:r>
      <w:r>
        <w:rPr>
          <w:color w:val="000000"/>
          <w:shd w:fill="FFFFFF" w:val="clear"/>
        </w:rPr>
        <w:t xml:space="preserve"> </w:t>
      </w:r>
      <w:r>
        <w:rPr>
          <w:rFonts w:ascii="Times New Roman;sans-serif" w:hAnsi="Times New Roman;sans-serif"/>
          <w:b w:val="false"/>
          <w:color w:val="000000"/>
          <w:sz w:val="22"/>
          <w:shd w:fill="FFFFFF" w:val="clear"/>
        </w:rPr>
        <w:t>of the aggregate voting power of our outstanding Class A common stock and Class B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Key Financial Measures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key financial measures are discussed below. Additional information regarding our significant accounting policies can be found in note 2 to our condensed consolidated financial statements included elsewhere in this quarterly report. </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Revenues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generate revenues primarily from management and advisory fees, incentive fees and allocations of carried interest. </w:t>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Management and Advisory Fees, Net </w:t>
      </w:r>
    </w:p>
    <w:p>
      <w:pPr>
        <w:pStyle w:val="TextBody"/>
        <w:bidi w:val="0"/>
        <w:spacing w:lineRule="auto" w:line="288" w:before="0" w:after="24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Management and advisory fees, net, consist of fees received from managing SMAs and focused commingled funds, advisory, data and administrative services, and portfolio analytics and reporting.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231F20"/>
          <w:sz w:val="22"/>
        </w:rPr>
        <w:t>Management fees from SMAs are generally based on a contractual rate applied to committed capital or net invested capital.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0.40% and 0.40% of average FEAUM for the twelve months ended June 30, 2022 and 2023, respectively.</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231F20"/>
          <w:sz w:val="22"/>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0.87% and 0.84% of average FEAUM for the twelve months ended June 30, 2022 and 2023, respectively, and primarily reflected the timing of new funds, and shifts in asset class mix.</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231F20"/>
          <w:sz w:val="22"/>
        </w:rPr>
        <w:t>The weighted-average management fee rate across SMAs and focused commingled funds was approximately 0.54% and 0.55% of average FEAUM for the twelve months ended June 30, 2022 and 2023, respectively, and primarily reflected the timing of new funds and shifts in mix between SMAs and focused commingled funds.</w:t>
      </w:r>
    </w:p>
    <w:p>
      <w:pPr>
        <w:pStyle w:val="TextBody"/>
        <w:bidi w:val="0"/>
        <w:spacing w:lineRule="auto" w:line="288" w:before="0" w:after="240"/>
        <w:ind w:left="0" w:right="0" w:hanging="360"/>
        <w:jc w:val="left"/>
        <w:rPr/>
      </w:pPr>
      <w:r>
        <w:rPr>
          <w:color w:val="231F20"/>
        </w:rPr>
        <w:t>•</w:t>
      </w:r>
      <w:r>
        <w:rPr>
          <w:rFonts w:ascii="Times New Roman;sans-serif" w:hAnsi="Times New Roman;sans-serif"/>
          <w:b w:val="false"/>
          <w:color w:val="231F20"/>
          <w:sz w:val="22"/>
        </w:rPr>
        <w:t>Fee revenues from advisory, StepStone Portfolio Analytics &amp; Reporting (“SPAR”), SPI Research or administrative services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231F20"/>
          <w:sz w:val="22"/>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Performance Fees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earn two types of performance fee revenues: incentive fees and carried interest allocations, as described below. As of June 30, 2023, we had over $65 billion of performance fee-eligible capital (excluding certain legacy Greenspring funds) across approximately 190 programs.</w:t>
      </w:r>
    </w:p>
    <w:p>
      <w:pPr>
        <w:pStyle w:val="TextBody"/>
        <w:bidi w:val="0"/>
        <w:spacing w:lineRule="auto" w:line="288" w:before="0" w:after="240"/>
        <w:ind w:left="0" w:right="0" w:firstLine="720"/>
        <w:jc w:val="left"/>
        <w:rPr/>
      </w:pPr>
      <w:r>
        <w:rPr>
          <w:rFonts w:ascii="Times New Roman;sans-serif" w:hAnsi="Times New Roman;sans-serif"/>
          <w:b w:val="false"/>
          <w:i/>
          <w:color w:val="231F20"/>
          <w:sz w:val="22"/>
        </w:rPr>
        <w:t xml:space="preserve">Incentive fees </w:t>
      </w:r>
      <w:r>
        <w:rPr>
          <w:rFonts w:ascii="Times New Roman;sans-serif" w:hAnsi="Times New Roman;sans-serif"/>
          <w:b w:val="false"/>
          <w:color w:val="231F20"/>
          <w:sz w:val="22"/>
        </w:rPr>
        <w:t>comprise fees earned from certain client investment mandates for which we do not have a general partnership interest in a StepStone Fund. Incentive fees are generally calculated as a percentage of the profits (up to 15%) earned in respect of certain accounts, including certain permanent capital vehicles, for which we 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pStyle w:val="TextBody"/>
        <w:bidi w:val="0"/>
        <w:spacing w:lineRule="auto" w:line="288" w:before="0" w:after="24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pStyle w:val="TextBody"/>
        <w:bidi w:val="0"/>
        <w:spacing w:lineRule="auto" w:line="288" w:before="0" w:after="240"/>
        <w:ind w:left="0" w:right="0" w:firstLine="720"/>
        <w:jc w:val="left"/>
        <w:rPr/>
      </w:pPr>
      <w:r>
        <w:rPr>
          <w:rFonts w:ascii="Times New Roman;sans-serif" w:hAnsi="Times New Roman;sans-serif"/>
          <w:b w:val="false"/>
          <w:i/>
          <w:color w:val="231F20"/>
          <w:sz w:val="22"/>
        </w:rPr>
        <w:t xml:space="preserve">Carried interest allocations </w:t>
      </w:r>
      <w:r>
        <w:rPr>
          <w:rFonts w:ascii="Times New Roman;sans-serif" w:hAnsi="Times New Roman;sans-serif"/>
          <w:b w:val="false"/>
          <w:color w:val="231F20"/>
          <w:sz w:val="22"/>
        </w:rPr>
        <w:t xml:space="preserve">include the allocation of performance-based fees, commonly referred to as carried interest, to us from limited partners in the StepStone Funds in which we hold an equity interest. We are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Times New Roman;sans-serif" w:hAnsi="Times New Roman;sans-serif"/>
          <w:b w:val="false"/>
          <w:i/>
          <w:color w:val="231F20"/>
          <w:sz w:val="22"/>
        </w:rPr>
        <w:t>Revenue from Contracts with Customers</w:t>
      </w:r>
      <w:r>
        <w:rPr>
          <w:rFonts w:ascii="Times New Roman;sans-serif" w:hAnsi="Times New Roman;sans-serif"/>
          <w:b w:val="false"/>
          <w:color w:val="231F20"/>
          <w:sz w:val="22"/>
        </w:rPr>
        <w:t>.</w:t>
      </w:r>
    </w:p>
    <w:p>
      <w:pPr>
        <w:pStyle w:val="TextBody"/>
        <w:bidi w:val="0"/>
        <w:spacing w:lineRule="auto" w:line="288" w:before="0" w:after="0"/>
        <w:ind w:left="0" w:right="0" w:firstLine="720"/>
        <w:jc w:val="left"/>
        <w:rPr/>
      </w:pPr>
      <w:r>
        <w:rPr>
          <w:rFonts w:ascii="Times New Roman;sans-serif" w:hAnsi="Times New Roman;sans-serif"/>
          <w:b w:val="false"/>
          <w:i/>
          <w:color w:val="231F20"/>
          <w:sz w:val="22"/>
        </w:rPr>
        <w:t>Legacy Greenspring carried interest allocations</w:t>
      </w:r>
      <w:r>
        <w:rPr>
          <w:color w:val="231F20"/>
        </w:rPr>
        <w:t xml:space="preserve"> </w:t>
      </w:r>
      <w:r>
        <w:rPr>
          <w:rFonts w:ascii="Times New Roman;sans-serif" w:hAnsi="Times New Roman;sans-serif"/>
          <w:b w:val="false"/>
          <w:color w:val="231F20"/>
          <w:sz w:val="22"/>
        </w:rPr>
        <w:t>include the allocation of carried interest to legacy Greenspring general partner 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 balances in the legacy Greenspring funds, including carried interest allocations, under the equity method of accounting</w:t>
      </w:r>
      <w:r>
        <w:rPr>
          <w:color w:val="000000"/>
        </w:rPr>
        <w:t xml:space="preserve"> </w:t>
      </w:r>
      <w:r>
        <w:rPr>
          <w:rFonts w:ascii="Times New Roman;sans-serif" w:hAnsi="Times New Roman;sans-serif"/>
          <w:b w:val="false"/>
          <w:color w:val="231F20"/>
          <w:sz w:val="22"/>
        </w:rPr>
        <w:t>because we are presumed to have significant influence as the general partner or managing member. Accordingly, legacy Greenspring carried interest allocations are not deemed to be within the scope of ASC 606. We do not have any direct economic interests in the legacy Greenspring general partner entities and thus are not entitled to any carried interest allocation from the legacy Greenspring funds. All of the carried interest allocations in respect of such legacy Greenspring funds are payable to employees who are considered affiliates</w:t>
      </w:r>
      <w:r>
        <w:rPr>
          <w:color w:val="000000"/>
        </w:rPr>
        <w:t xml:space="preserve"> </w:t>
      </w:r>
      <w:r>
        <w:rPr>
          <w:rFonts w:ascii="Times New Roman;sans-serif" w:hAnsi="Times New Roman;sans-serif"/>
          <w:b w:val="false"/>
          <w:color w:val="231F20"/>
          <w:sz w:val="22"/>
        </w:rPr>
        <w:t>to us and are therefore reflected as legacy Greenspring performance fee-related compensation in the consolidated statements of income.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condensed consolidated balance sheets. Our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weighted-average cost of capital, exit multiples, or terminal growth rates.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June 30, 2023 and March 31, 2023, no material amounts for potential clawback obligations had been accrued.</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Expenses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Cash-based compensation</w:t>
      </w:r>
      <w:r>
        <w:rPr>
          <w:color w:val="000000"/>
        </w:rPr>
        <w:t xml:space="preserve"> </w:t>
      </w:r>
      <w:r>
        <w:rPr>
          <w:rFonts w:ascii="Times New Roman;sans-serif" w:hAnsi="Times New Roman;sans-serif"/>
          <w:b w:val="false"/>
          <w:color w:val="000000"/>
          <w:sz w:val="22"/>
        </w:rPr>
        <w:t xml:space="preserve">primarily includes salaries, bonuses, employee benefits and employer-related payroll taxes.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Equity-based compensation</w:t>
      </w:r>
      <w:r>
        <w:rPr>
          <w:color w:val="000000"/>
        </w:rPr>
        <w:t xml:space="preserve"> </w:t>
      </w:r>
      <w:r>
        <w:rPr>
          <w:rFonts w:ascii="Times New Roman;sans-serif" w:hAnsi="Times New Roman;sans-serif"/>
          <w:b w:val="false"/>
          <w:color w:val="000000"/>
          <w:sz w:val="22"/>
        </w:rPr>
        <w:t xml:space="preserve">represents grants of equity related awards or arrangements to certain employees and directors.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Performance fee-related compensation</w:t>
      </w:r>
      <w:r>
        <w:rPr>
          <w:color w:val="000000"/>
        </w:rPr>
        <w:t xml:space="preserve"> </w:t>
      </w:r>
      <w:r>
        <w:rPr>
          <w:rFonts w:ascii="Times New Roman;sans-serif" w:hAnsi="Times New Roman;sans-serif"/>
          <w:b w:val="false"/>
          <w:color w:val="000000"/>
          <w:sz w:val="22"/>
        </w:rPr>
        <w:t xml:space="preserve">represents the portion of carried interest allocation revenue and incentive fees that have been awarded to employees as a form of long-term incentive compensation. Performance fee-related compensation is generally tied to the investment performance of the StepStone Funds. </w:t>
      </w:r>
      <w:r>
        <w:rPr>
          <w:rFonts w:ascii="Times New Roman;sans-serif" w:hAnsi="Times New Roman;sans-serif"/>
          <w:b w:val="false"/>
          <w:color w:val="231F20"/>
          <w:sz w:val="22"/>
        </w:rPr>
        <w:t>Approximately 50% of carried interest allocation revenue is awarded to employees as part 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condensed consolidated balance sheets. Carried interest-related compensation expense also includes the portion of net carried interest allocation revenue attributable to equity holders of our consolidated subsidiaries that are not 100% owned by us.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Legacy Greenspring performance fee-related compensation</w:t>
      </w:r>
      <w:r>
        <w:rPr>
          <w:color w:val="000000"/>
        </w:rPr>
        <w:t xml:space="preserve"> </w:t>
      </w:r>
      <w:r>
        <w:rPr>
          <w:rFonts w:ascii="Times New Roman;sans-serif" w:hAnsi="Times New Roman;sans-serif"/>
          <w:b w:val="false"/>
          <w:color w:val="000000"/>
          <w:sz w:val="22"/>
        </w:rPr>
        <w:t xml:space="preserve">represents the legacy Greenspring carried interest allocations which are entirely payable to certain employees. Legacy Greenspring </w:t>
      </w:r>
      <w:r>
        <w:rPr>
          <w:rFonts w:ascii="Times New Roman;sans-serif" w:hAnsi="Times New Roman;sans-serif"/>
          <w:b w:val="false"/>
          <w:color w:val="231F20"/>
          <w:sz w:val="22"/>
        </w:rPr>
        <w:t>carried interest-related compensation is accounted for as compensation expense in conjunction with the related legacy Greenspring carried interest allocation revenue and, until paid, is recorded as a component of legacy Greenspring accrued carried interest-related compensation in the condensed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General, administrative and other</w:t>
      </w:r>
      <w:r>
        <w:rPr>
          <w:color w:val="000000"/>
        </w:rPr>
        <w:t xml:space="preserve"> </w:t>
      </w:r>
      <w:r>
        <w:rPr>
          <w:rFonts w:ascii="Times New Roman;sans-serif" w:hAnsi="Times New Roman;sans-serif"/>
          <w:b w:val="false"/>
          <w:color w:val="000000"/>
          <w:sz w:val="22"/>
        </w:rPr>
        <w:t>includes occupancy, travel and related costs, insurance, legal and other professional fees, depreciation, amortization of intangible assets, system-related costs, and other general costs associated with operating our business. Beginning in the quarter ended December 31, 2022, general, administrative and other includes costs associated with the Consolidated Funds. Expenses of the Consolidated Funds have no impact on net income or loss attributable to us to the extent such expenses are borne by third-party investors.</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Other Income (Expense)</w:t>
      </w:r>
    </w:p>
    <w:p>
      <w:pPr>
        <w:pStyle w:val="TextBody"/>
        <w:bidi w:val="0"/>
        <w:spacing w:lineRule="auto" w:line="288" w:before="0" w:after="240"/>
        <w:ind w:left="0" w:right="0" w:firstLine="720"/>
        <w:jc w:val="left"/>
        <w:rPr/>
      </w:pPr>
      <w:r>
        <w:rPr>
          <w:rFonts w:ascii="Times New Roman;sans-serif" w:hAnsi="Times New Roman;sans-serif"/>
          <w:b w:val="false"/>
          <w:i/>
          <w:color w:val="231F20"/>
          <w:sz w:val="22"/>
        </w:rPr>
        <w:t xml:space="preserve">Investment income (loss) </w:t>
      </w:r>
      <w:r>
        <w:rPr>
          <w:rFonts w:ascii="Times New Roman;sans-serif" w:hAnsi="Times New Roman;sans-serif"/>
          <w:b w:val="false"/>
          <w:color w:val="231F20"/>
          <w:sz w:val="22"/>
        </w:rPr>
        <w:t>primarily represents our share of earnings (losses) from the investments we make in our SMAs and focused commingled 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pStyle w:val="TextBody"/>
        <w:bidi w:val="0"/>
        <w:spacing w:lineRule="auto" w:line="288" w:before="0" w:after="24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Consequently, our general partner investments do not include any significant concentrations in a specific sector or geography outside the United States. Investment income and legacy Greenspring investment income exclude carried interest allocations, which are presented as revenues as described above.</w:t>
      </w:r>
    </w:p>
    <w:p>
      <w:pPr>
        <w:pStyle w:val="TextBody"/>
        <w:bidi w:val="0"/>
        <w:spacing w:lineRule="auto" w:line="288" w:before="0" w:after="240"/>
        <w:ind w:left="0" w:right="0" w:firstLine="720"/>
        <w:jc w:val="left"/>
        <w:rPr/>
      </w:pPr>
      <w:r>
        <w:rPr>
          <w:rFonts w:ascii="Times New Roman;sans-serif" w:hAnsi="Times New Roman;sans-serif"/>
          <w:b w:val="false"/>
          <w:i/>
          <w:color w:val="231F20"/>
          <w:sz w:val="22"/>
        </w:rPr>
        <w:t xml:space="preserve">Legacy Greenspring investment income (loss) </w:t>
      </w:r>
      <w:r>
        <w:rPr>
          <w:rFonts w:ascii="Times New Roman;sans-serif" w:hAnsi="Times New Roman;sans-serif"/>
          <w:b w:val="false"/>
          <w:color w:val="231F20"/>
          <w:sz w:val="22"/>
        </w:rPr>
        <w:t xml:space="preserve">represents our share of earnings (losses) from the investments we make in certain legacy Greenspring funds through the legacy Greenspring general partner entities. We have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Investment income (loss) of Consolidated Funds</w:t>
      </w:r>
      <w:r>
        <w:rPr>
          <w:color w:val="000000"/>
        </w:rPr>
        <w:t xml:space="preserve"> </w:t>
      </w:r>
      <w:r>
        <w:rPr>
          <w:rFonts w:ascii="Times New Roman;sans-serif" w:hAnsi="Times New Roman;sans-serif"/>
          <w:b w:val="false"/>
          <w:color w:val="000000"/>
          <w:sz w:val="22"/>
        </w:rPr>
        <w:t xml:space="preserve">represents gains (losses) from the investments held by the Consolidated Funds. </w:t>
      </w:r>
    </w:p>
    <w:p>
      <w:pPr>
        <w:pStyle w:val="TextBody"/>
        <w:bidi w:val="0"/>
        <w:spacing w:lineRule="auto" w:line="268" w:before="0" w:after="0"/>
        <w:ind w:left="0" w:right="0" w:firstLine="720"/>
        <w:jc w:val="left"/>
        <w:rPr/>
      </w:pPr>
      <w:r>
        <w:rPr>
          <w:rFonts w:ascii="Times New Roman;sans-serif" w:hAnsi="Times New Roman;sans-serif"/>
          <w:b w:val="false"/>
          <w:i/>
          <w:color w:val="000000"/>
          <w:sz w:val="22"/>
        </w:rPr>
        <w:t>Interest income</w:t>
      </w:r>
      <w:r>
        <w:rPr>
          <w:color w:val="000000"/>
        </w:rPr>
        <w:t xml:space="preserve"> </w:t>
      </w:r>
      <w:r>
        <w:rPr>
          <w:rFonts w:ascii="Times New Roman;sans-serif" w:hAnsi="Times New Roman;sans-serif"/>
          <w:b w:val="false"/>
          <w:color w:val="000000"/>
          <w:sz w:val="22"/>
        </w:rPr>
        <w:t>consists of income earned on cash and cash equivalents, restricted cash and certificates of deposit. The three months ended June 30, 2023 includes amounts associated with the Consolidated Funds.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Interest expense</w:t>
      </w:r>
      <w:r>
        <w:rPr>
          <w:color w:val="000000"/>
        </w:rPr>
        <w:t xml:space="preserve"> </w:t>
      </w:r>
      <w:r>
        <w:rPr>
          <w:rFonts w:ascii="Times New Roman;sans-serif" w:hAnsi="Times New Roman;sans-serif"/>
          <w:b w:val="false"/>
          <w:color w:val="000000"/>
          <w:sz w:val="22"/>
        </w:rPr>
        <w:t xml:space="preserve">primarily consists of the interest expense on the Revolver, as well as the related amortization of deferred financing costs. </w:t>
      </w:r>
    </w:p>
    <w:p>
      <w:pPr>
        <w:pStyle w:val="TextBody"/>
        <w:bidi w:val="0"/>
        <w:spacing w:lineRule="auto" w:line="288" w:before="0" w:after="0"/>
        <w:ind w:left="0" w:right="0" w:firstLine="720"/>
        <w:jc w:val="left"/>
        <w:rPr/>
      </w:pPr>
      <w:r>
        <w:rPr>
          <w:rFonts w:ascii="Times New Roman;sans-serif" w:hAnsi="Times New Roman;sans-serif"/>
          <w:b w:val="false"/>
          <w:i/>
          <w:color w:val="000000"/>
          <w:sz w:val="22"/>
        </w:rPr>
        <w:t xml:space="preserve">Other income (loss) </w:t>
      </w:r>
      <w:r>
        <w:rPr>
          <w:rFonts w:ascii="Times New Roman;sans-serif" w:hAnsi="Times New Roman;sans-serif"/>
          <w:b w:val="false"/>
          <w:color w:val="000000"/>
          <w:sz w:val="22"/>
        </w:rPr>
        <w:t xml:space="preserve">includes foreign currency transaction gains and losses and non-operating activities. The three months ended June 30, 2023 includes amounts associated with the Consolidated Funds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 xml:space="preserve">Income Tax Expense </w:t>
      </w:r>
    </w:p>
    <w:p>
      <w:pPr>
        <w:pStyle w:val="TextBody"/>
        <w:bidi w:val="0"/>
        <w:spacing w:lineRule="auto" w:line="268" w:before="0" w:after="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We are a corporation for U.S. federal income tax purposes and therefore are subject to U.S. federal and state income taxes on our share of taxable income generated by the Partnership.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which are reflected within income tax expense in the condensed consolidated statements of income. As a result, the Partnership does not record U.S. federal and state income taxes on income generated by the Partnership or its subsidiaries, except for certain local and foreign income taxes discussed above.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Non-Controlling Interests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Non-controlling interests reflect the portion of income or loss and the corresponding equity attributable to third-party equity holders and employees in certain consolidated subsidiaries that are not 100% owned by us. Non-controlling interests are presented as separate components in our condensed consolidated statements of income to clearly distinguish between our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Non-controlling interests in subsidiaries</w:t>
      </w:r>
      <w:r>
        <w:rPr>
          <w:color w:val="000000"/>
        </w:rPr>
        <w:t xml:space="preserve"> </w:t>
      </w:r>
      <w:r>
        <w:rPr>
          <w:rFonts w:ascii="Times New Roman;sans-serif" w:hAnsi="Times New Roman;sans-serif"/>
          <w:b w:val="false"/>
          <w:color w:val="000000"/>
          <w:sz w:val="22"/>
        </w:rPr>
        <w:t>represent the economic interests in the consolidated subsidiaries of the Partnership held by 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Non-controlling interests in legacy Greenspring entities</w:t>
      </w:r>
      <w:r>
        <w:rPr>
          <w:color w:val="000000"/>
        </w:rPr>
        <w:t xml:space="preserve"> </w:t>
      </w:r>
      <w:r>
        <w:rPr>
          <w:rFonts w:ascii="Times New Roman;sans-serif" w:hAnsi="Times New Roman;sans-serif"/>
          <w:b w:val="false"/>
          <w:color w:val="000000"/>
          <w:sz w:val="22"/>
        </w:rPr>
        <w:t>represent the economic interests in the legacy Greenspring general partner entities. We did not acquire any direct economic interests in the legacy Greenspring general partner entities. As a result, all of the net income related to the legacy Greenspring general partner entities is allocated to non-controlling interests in legacy Greenspring entities.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Redeemable non-controlling interests in Consolidated Funds</w:t>
      </w:r>
      <w:r>
        <w:rPr>
          <w:color w:val="000000"/>
        </w:rPr>
        <w:t xml:space="preserve"> </w:t>
      </w:r>
      <w:r>
        <w:rPr>
          <w:rFonts w:ascii="Times New Roman;sans-serif" w:hAnsi="Times New Roman;sans-serif"/>
          <w:b w:val="false"/>
          <w:color w:val="000000"/>
          <w:sz w:val="22"/>
        </w:rPr>
        <w:t xml:space="preserve">represent the economic interests in the Consolidated Funds which are not held by us, but are held by the third-party investors in the funds. Redeemable non-controlling interests in Consolidated Funds are allocated a share of income or loss in the respective fund in proportion to their relative ownership interests, after consideration of contractual arrangements that govern allocations of income or loss.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Non-controlling interests in the Partnership</w:t>
      </w:r>
      <w:r>
        <w:rPr>
          <w:color w:val="000000"/>
        </w:rPr>
        <w:t xml:space="preserve"> </w:t>
      </w:r>
      <w:r>
        <w:rPr>
          <w:rFonts w:ascii="Times New Roman;sans-serif" w:hAnsi="Times New Roman;sans-serif"/>
          <w:b w:val="false"/>
          <w:color w:val="000000"/>
          <w:sz w:val="22"/>
        </w:rPr>
        <w:t>represent the economic interests in the Partnership held by the Class B and Class C unitholders of the Partnership. Non-controlling interests in the Partnership are allocated a share of income or loss in the Partnership in proportion to their relative ownership interests, after consideration of contractual arrangements that govern allocations of income or loss.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Key Operating Metrics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monitor certain operating metrics that are either common to the asset management industry or that we believe provide important data regarding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Assets Under Management</w:t>
      </w:r>
    </w:p>
    <w:p>
      <w:pPr>
        <w:pStyle w:val="TextBody"/>
        <w:bidi w:val="0"/>
        <w:spacing w:lineRule="auto" w:line="288" w:before="0" w:after="24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pStyle w:val="TextBody"/>
        <w:bidi w:val="0"/>
        <w:spacing w:lineRule="auto" w:line="288" w:before="0" w:after="24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 xml:space="preserve">Our AUM is calculated as the sum of (i) the net asset value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June 30, 2023 reflects final data for the prior period (March 31, 2023), adjusted for net new client account activity through June 30, 2023. NAV data for underlying investments is as of March 31, 2023, as reported by underlying managers up to 100 days following March 31, 2023. When NAV data is not available 100 days following March 31, 2023, such NAVs are adjusted for cash activity following the last available reported NAV. </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Assets Under Advisement</w:t>
      </w:r>
    </w:p>
    <w:p>
      <w:pPr>
        <w:pStyle w:val="TextBody"/>
        <w:bidi w:val="0"/>
        <w:spacing w:lineRule="auto" w:line="288" w:before="0" w:after="24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 xml:space="preserve">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 </w:t>
      </w:r>
    </w:p>
    <w:p>
      <w:pPr>
        <w:pStyle w:val="TextBody"/>
        <w:bidi w:val="0"/>
        <w:spacing w:lineRule="auto" w:line="288" w:before="0" w:after="24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 Our AUA does not include post-period investment valuation or cash activity. AUA as of June 30, 2023 reflects final data for the prior period (March 31, 2023), adjusted for net new client account activity through June 30, 2023. NAV data for underlying investments is as of March 31, 2023, as reported by underlying managers up to 100 days following March 31, 2023. When NAV data is not available 100 days following March 31, 2023, such NAVs are adjusted for cash activity following the last available reported NAV.</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Fee-Earning AUM</w:t>
      </w:r>
    </w:p>
    <w:p>
      <w:pPr>
        <w:pStyle w:val="TextBody"/>
        <w:bidi w:val="0"/>
        <w:spacing w:lineRule="auto" w:line="288" w:before="0" w:after="24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 xml:space="preserve">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 </w:t>
      </w:r>
    </w:p>
    <w:p>
      <w:pPr>
        <w:pStyle w:val="TextBody"/>
        <w:bidi w:val="0"/>
        <w:spacing w:lineRule="auto" w:line="288" w:before="0" w:after="24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Our calculation of FEAUM may differ from the calculations of other asset managers and, as a result, may not be comparable to similar measures presented by other asset managers.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 xml:space="preserve">Undeployed Fee-Earning Capital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Undeployed fee-earning capital represents the amount of capital commitments to StepStone Funds that has not yet been invested or considered active but will generate management fee revenue once this capital is invested or activated.</w:t>
      </w:r>
    </w:p>
    <w:p>
      <w:pPr>
        <w:pStyle w:val="TextBody"/>
        <w:bidi w:val="0"/>
        <w:spacing w:lineRule="auto" w:line="288" w:before="0" w:after="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Consolidation of StepStone Funds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Beginning in the quarter ended December 31, 2022, we consolidated one investment fund for which we are deemed to have a controlling financial interest. The activity of the Consolidated Funds is reflected within the condensed consolidated financial statement line items as indicated by reference thereto. The impact of the Consolidated Funds decrease revenues reported under GAAP to the extent these amounts are eliminated upon consolidation. The assets and liabilities of our Consolidated Funds are held within separate legal entities and, as a result, the liabilities of our Consolidated Funds are typically non-recourse to us. The net economic ownership interests of our Consolidated Funds held by third parties are reflected as redeemable non-controlling interests in Consolidated Funds in our condensed consolidated financial statements. We generally deconsolidate funds when we are no longer deemed to have a controlling financial interest in the entity. The performance of our Consolidated Funds is not necessarily consistent with, or representative of, the combined performance trends of all of our funds.</w:t>
      </w:r>
    </w:p>
    <w:p>
      <w:pPr>
        <w:pStyle w:val="TextBody"/>
        <w:bidi w:val="0"/>
        <w:spacing w:before="0" w:after="0"/>
        <w:ind w:left="0" w:right="0" w:firstLine="72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Consolidated Results of Operations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consolidate funds and entities where we are deemed to hold a controlling financial interest. The Consolidated Funds are not necessarily the same entities in each year presented due to changes in ownership, changes in limited partners' or investor rights, and the creation and termination of funds and entities. The following is a discussion of our unaudited consolidated results of operations for the periods presented. The information is derived from our accompanying condensed consolidated financial statements prepared in accordance with GAAP.</w:t>
      </w:r>
    </w:p>
    <w:tbl>
      <w:tblPr>
        <w:tblW w:w="8350" w:type="dxa"/>
        <w:jc w:val="left"/>
        <w:tblInd w:w="0" w:type="dxa"/>
        <w:tblLayout w:type="fixed"/>
        <w:tblCellMar>
          <w:top w:w="28" w:type="dxa"/>
          <w:left w:w="28" w:type="dxa"/>
          <w:bottom w:w="28" w:type="dxa"/>
          <w:right w:w="28" w:type="dxa"/>
        </w:tblCellMar>
      </w:tblPr>
      <w:tblGrid>
        <w:gridCol w:w="1978"/>
        <w:gridCol w:w="1739"/>
        <w:gridCol w:w="1743"/>
        <w:gridCol w:w="196"/>
        <w:gridCol w:w="736"/>
        <w:gridCol w:w="109"/>
        <w:gridCol w:w="109"/>
        <w:gridCol w:w="109"/>
        <w:gridCol w:w="109"/>
        <w:gridCol w:w="196"/>
        <w:gridCol w:w="736"/>
        <w:gridCol w:w="109"/>
        <w:gridCol w:w="109"/>
        <w:gridCol w:w="109"/>
        <w:gridCol w:w="109"/>
        <w:gridCol w:w="154"/>
      </w:tblGrid>
      <w:tr>
        <w:trPr/>
        <w:tc>
          <w:tcPr>
            <w:tcW w:w="1978"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Management and advisory fees,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Performance fees: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Incentive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Carried interest allocations: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Realized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carried interest allocations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Legacy Greenspring carried interest allocations</w:t>
            </w:r>
            <w:r>
              <w:rPr>
                <w:rFonts w:ascii="Times New Roman;sans-serif" w:hAnsi="Times New Roman;sans-serif"/>
                <w:b w:val="false"/>
                <w:color w:val="000000"/>
                <w:sz w:val="9"/>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Compensation and benefits: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Performance fee-related compensation: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Realized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performance fee-related compensation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Legacy Greenspring performance fee-related compensation</w:t>
            </w:r>
            <w:r>
              <w:rPr>
                <w:rFonts w:ascii="Times New Roman;sans-serif" w:hAnsi="Times New Roman;sans-serif"/>
                <w:b w:val="false"/>
                <w:color w:val="000000"/>
                <w:sz w:val="9"/>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compensation and benefits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General, administrative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income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Legacy Greenspring investment loss</w:t>
            </w:r>
            <w:r>
              <w:rPr>
                <w:rFonts w:ascii="Times New Roman;sans-serif" w:hAnsi="Times New Roman;sans-serif"/>
                <w:b w:val="false"/>
                <w:color w:val="000000"/>
                <w:sz w:val="9"/>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 income of Consolidated Funds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income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other income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(loss) before income tax</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Less: Net income attributable to non-controlling interests in subsidiaries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4"/>
              </w:rPr>
              <w:t>Less: Net loss attributable to non-controlling interests in legacy Greenspring entities</w:t>
            </w:r>
            <w:r>
              <w:rPr>
                <w:rFonts w:ascii="Times New Roman;sans-serif" w:hAnsi="Times New Roman;sans-serif"/>
                <w:b w:val="false"/>
                <w:color w:val="000000"/>
                <w:sz w:val="9"/>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Less: Net income (loss) attributable to non-controlling interests in the Partnership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Less: Net income attributable to redeemable non-controlling interests in Consolidated 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 attributable to StepStone Group Inc.</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bidi w:val="0"/>
        <w:spacing w:lineRule="auto" w:line="288" w:before="0" w:after="24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(1)Reflects amounts attributable to consolidated VIEs for which we did not acquire any direct economic interests. See notes 3 and 5 to our condensed consolidated financial statements included elsewhere in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Revenues</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Three Months Ended June 30, 2023 Compared to Three Months Ended June 30, 2022</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Total revenues increased $255.2 million to $178.0 million for the three months ended June 30, 2023 as compared to the three months ended June 30, 2022, due to a lower reversal of legacy Greenspring carried interest allocations in the current period as compared to the first quarter of the prior fiscal year, positive carried interest allocations in the current period as compared to negative carried interest allocations in the prior year period and an increase in net management and advisory fees, in each case, as described below.</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Net management and advisory fees increased $21.4 million, or 18%, to $138.1 million for the three months ended June 30, 2023 as compared to the three months ended June 30, 2022. The increase was driven by new client activity and 12% growth in average FEAUM across the platform. The three months ended June 30, 2023 included retroactive fees of $2.8 million from the closings of StepStone’s private equity secondaries, multi-strategy global venture capital and infrastructure co-investment funds, and the three months ended June 30, 2022 included retroactive fees of $2.4 million from the final closing of StepStone Capital Partners V fund.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Incentive fees were $6 thousand for the three months ended June 30, 2023. There were no incentive fees in the prior year period.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Realized carried interest allocation revenues decreased $59.1 million, or 80%, to $14.5 million for the three months ended June 30, 2023 as compared to the three months ended June 30, 2022, reflecting lower realization activity within our private equity funds. Unrealized carried interest allocation revenues include the reversal of realized carried interest allocation revenues. Excluding the reversal of $14.5 million, unrealized carried interest allocation revenues increased $104.2 million to $63.8 million for the three months ended June 30, 2023 as compared to the three months ended June 30, 2022. The increase in unrealized carried interest allocations for the three months ended June 30, 2023 primarily reflected a net increase in the cumulative allocation of gains associated with the underlying portfolios within our private equity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Legacy Greenspring carried interest allocation revenues increased $129.7 million to $(23.9) million for the three months ended June 30, 2023 as compared to the three months ended June 30, 2022. The three months ended June 30, 2023 reflect gross realized carried interest allocations of $0.9 million and unrealized carried interest allocations, net of the reversal of realized carried interest allocations, of $(24.9) million. The three months ended June 30, 2022 reflect gross realized carried interest allocations of $29.6 million and unrealized carried interest allocations, net of the reversal of realized carried interest allocations, of $(183.2) million.</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 xml:space="preserve">Expenses </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Three Months Ended June 30, 2023 Compared to Three Months Ended June 30, 2022</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Total expenses increased $189.6 million, to $121.2 million for the three months ended June 30, 2023 as compared to the three months ended June 30, 2022, due to a lower reversal of legacy Greenspring performance fee-related compensation, increases in performance fee-related compensation, cash-based compensation and equity-based compensation, partially offset by a decrease in general, administrative and other expenses in each case, as described below.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Cash-based compensation increased $10.0 million, or 17%, to $70.1 million for the three months ended June 30, 2023 as compared to the three months ended June 30, 2022, due to increased staffing and compensation levels. Our average full-time headcount increased 18% in the current year period as compared to the prior year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Equity-based compensation increased $4.8 million, or 128%, to $8.5 million for the three months ended June 30, 2023 as compared to the three months ended June 30, 2022. The increase was primarily attributable to the inclusion of expense related to liability classified awards in the current year period and no comparable expense in the prior year period, as well as additional grants of RSUs granted in February 2023 and no comparable expense in the prior year period.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Performance fee-related compensation expense increased $46.1 million to $33.3 million for the three months ended June 30, 2023 as compared to the three months ended June 30, 2022, primarily reflecting the increase in carried interest allocation revenue. Realized performance fee-related compensation decreased $32.6 million, or 78%, to $9.1 million for the three months ended June 30, 2023 as compared to the three months ended June 30, 2022, primarily reflecting lower realization activity.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Legacy Greenspring performance fee-related compensation expense increased $129.7 million to $(23.9) million for the three months ended June 30, 2023 as compared to the three months ended June 30, 2022. The three months ended June 30, 2023 reflect gross realized performance fee-related compensation expense of $0.9 million and unrealized performance fee-related compensation expense, net of the reversal of realized performance fee-related compensation expense, of $(24.9) million. The three months ended June 30, 2022 reflect gross realized performance fee-related compensation expense of $29.6 million and unrealized performance fee-related compensation expense, net of the reversal of realized performance fee-related compensation expense, of $(183.2) million.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General, administrative and other expenses decreased $1.0 million, or 3%, to $33.3 million for the three months ended June 30, 2023 as compared to the three months ended June 30, 2022. The overall decrease primarily reflected decreases of $4.5 million due to gain on change in fair value for contingent consideration obligation as compared to a loss in the prior year period and $0.9 million in human resources and recruiting expenses, partially offset by increases of $1.0 million of professional fees, $0.8 million of travel and associated costs for investment evaluation and client service, $0.7 million of occupancy costs, $0.7 million in information and technology expenses, $0.6 million in accelerated depreciation for leasehold improvements due to a reduction in lease terms and other general operating expenses.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Other Income (Expense)</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Three Months Ended June 30, 2023 Compared to Three Months Ended June 30, 2022</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Investment income (loss) increased $4.2 million to income of $3.1 million for the three months ended June 30, 2023 as compared to the three months ended June 30, 2022, primarily reflecting overall changes in the valuations of the underlying investments in the StepStone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Legacy Greenspring investment loss decreased $5.7 million to $2.9 million for the three months ended June 30, 2023 as compared to the three months ended June 30, 2022. The three months ended June 30, 2023 reflect gross realized investment income of $0.2 million and unrealized investment loss, net of the reversal of realized investment income, of $3.1 million. The three months ended June 30, 2022 reflect gross realized investment income of $1.6 million and unrealized investment loss, net of the reversal of realized investment income, of $(10.2) million.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Investment income of Consolidated Funds of $2.4 million for the three months ended June 30, 2023 reflects overall changes in the valuations of the underlying investments of the Consolidated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Interest income increased $0.4 million, or 3,818%, to $0.4 million for the three months ended June 30, 2023 as compared to the three months ended June 30, 2022, primarily due to higher average interest rates earned on cash and cash equivalent balances. Interest income attributable to Consolidated Funds was $0.2 million in the current year period as compared to zero in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Interest expense increased $1.4 million, or 243%, to $2.0 million for the three months ended June 30, 2023 as compared to the three months ended June 30, 2022. The increase was due to higher average interest rates, and higher average outstanding balances under the Revolver during the current year period, as compared with the prior year period.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Other income (loss) increased $1.3 million to income of $0.2 million for the three months ended June 30, 2023 as compared to the three months ended June 30, 2022, primarily reflecting net foreign currency transaction gains in the current year period as compared with net foreign currency transaction losses in the prior year period.</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Income Tax Expense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Income tax expense primarily reflects U.S. federal and state income taxes on our share of taxable income generated by the Partnership, as well as local and foreign income taxes of certain of the Partnership’s subsidiaries.</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Three Months Ended June 30, 2023 Compared to Three Months Ended June 30, 2022</w:t>
      </w:r>
    </w:p>
    <w:p>
      <w:pPr>
        <w:pStyle w:val="TextBody"/>
        <w:bidi w:val="0"/>
        <w:spacing w:lineRule="auto" w:line="268" w:before="0" w:after="0"/>
        <w:ind w:left="0" w:right="0" w:firstLine="720"/>
        <w:jc w:val="left"/>
        <w:rPr/>
      </w:pPr>
      <w:r>
        <w:rPr>
          <w:rFonts w:ascii="Times New Roman;sans-serif" w:hAnsi="Times New Roman;sans-serif"/>
          <w:b w:val="false"/>
          <w:color w:val="000000"/>
          <w:sz w:val="22"/>
        </w:rPr>
        <w:t>Our effective income tax rate was 14.8% and (6.4)% for the three months ended June 30, 2023 and 2022, respectively. Our overall effective tax rate in each of the periods described above is less than the statutory rate as a portion of income was allocated to non-controlling interests and the tax liability on such income is borne by the holders of non-controlling interests.</w:t>
      </w:r>
      <w:r>
        <w:rPr>
          <w:color w:val="000000"/>
        </w:rPr>
        <w:t xml:space="preserve"> </w:t>
      </w:r>
      <w:r>
        <w:rPr>
          <w:rFonts w:ascii="Times New Roman;sans-serif" w:hAnsi="Times New Roman;sans-serif"/>
          <w:b w:val="false"/>
          <w:color w:val="000000"/>
          <w:sz w:val="22"/>
        </w:rPr>
        <w:t>The primary rate difference was due to the pre-tax income during the three months ended June 30, 2023 compared to pre-tax losses during the three months ended June 30, 2022 and an increase in foreign tax expense for the three months ended June 30, 2023.</w:t>
      </w:r>
      <w:r>
        <w:rPr>
          <w:color w:val="000000"/>
        </w:rPr>
        <w:t xml:space="preserve"> </w:t>
      </w:r>
      <w:r>
        <w:rPr>
          <w:rFonts w:ascii="Times New Roman;sans-serif" w:hAnsi="Times New Roman;sans-serif"/>
          <w:b w:val="false"/>
          <w:color w:val="000000"/>
          <w:sz w:val="22"/>
        </w:rPr>
        <w:t>Additionally, for the three months ended June 30, 2022, there were certain tax expense adjustments that were recorded to our outside basis difference in the Partnership that did not reoccur in the three months ended June 30, 2023.</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Income tax expense increased $7.3 million, or 569%, to $8.6 million for the three months ended June 30, 2023 as compared to the three months ended June 30, 2022. The increase in income tax expense was primarily driven by pre-tax income for the three months ended June 30, 2023 compared to pre-tax net loss for the three months ended June 30, 2022.</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Net Income Attributable to Non-Controlling Interests in Subsidiaries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Net income attributable to non-controlling interests in subsidiaries increased $2.1 million, or 27%, to $9.6 million for the three months ended June 30, 2023 as compared to the three months ended June 30, 2022. The increase was primarily attributable to an increase in income generated by our consolidated subsidiaries not wholly-owned by us.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Net Loss Attributable to Non-Controlling Interests in Legacy Greenspring Entities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Net income (loss) attributable to non-controlling interests in legacy Greenspring entities represents the net income or loss attributable to the interests held by the legacy Greenspring general partner entities. We did not acquire any direct economic interests in the legacy Greenspring general partner entities. As a result, all of the net income or loss related to the legacy Greenspring general partner entities is allocated to non-controlling interests in legacy Greenspring entities. Net loss attributable to non-controlling interests in legacy Greenspring entities was $2.9 million and $8.6 million for the three months ended June 30, 2023 and 2022, respectively.</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Net Income (Loss) Attributable to Non-Controlling Interests in the Partnership</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Net income (loss) attributable to non-controlling interests in the Partnership represents the portion of net income or loss attributable to the interests held by the Class B and Class C unitholders of the Partnership. Net income (loss) attributable to non-controlling interests in the Partnership was $19.9 million and $(9.4) million for the three months ended June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Net Income Attributable to Redeemable Non-Controlling Interests in Consolidated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Net income attributable to redeemable non-controlling interests in Consolidated Funds was $1.6 million for the three months ended June 30, 2023, which represents income of the Consolidated Funds attributable to third-party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firstLine="720"/>
        <w:jc w:val="center"/>
        <w:rPr>
          <w:rFonts w:ascii="Times New Roman;sans-serif" w:hAnsi="Times New Roman;sans-serif"/>
          <w:b/>
          <w:color w:val="000000"/>
          <w:sz w:val="22"/>
        </w:rPr>
      </w:pPr>
      <w:r>
        <w:rPr>
          <w:rFonts w:ascii="Times New Roman;sans-serif" w:hAnsi="Times New Roman;sans-serif"/>
          <w:b/>
          <w:color w:val="000000"/>
          <w:sz w:val="22"/>
        </w:rPr>
        <w:t>Operating Metrics</w:t>
      </w:r>
    </w:p>
    <w:p>
      <w:pPr>
        <w:pStyle w:val="TextBody"/>
        <w:bidi w:val="0"/>
        <w:spacing w:lineRule="auto" w:line="288" w:before="24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 xml:space="preserve">Assets Under Management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AUM was $137 billion as of June 30, 2022, $138 billion as of March 31, 2023 and $143 billion as of June 30, 2023.</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 xml:space="preserve">Assets Under Advisement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Assets related to our advisory accounts were $452 billion as of June 30, 2022, $482 billion as of March 31, 2023 and $497 billion as of June 30, 2023.</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 xml:space="preserve">Fee-Earning AUM </w:t>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Three Months Ended June 30, 2023</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FEAUM increased approximately $2.0 billion, or 2%, to $87.4 billion as of June 30, 2023 as compared to $85.4 billion as of March 31, 2023. Of the increase, approximately $1.3 billion was from SMAs and approximately $0.7 billion was from focused commingled funds.</w:t>
      </w:r>
    </w:p>
    <w:tbl>
      <w:tblPr>
        <w:tblW w:w="8430" w:type="dxa"/>
        <w:jc w:val="left"/>
        <w:tblInd w:w="0" w:type="dxa"/>
        <w:tblLayout w:type="fixed"/>
        <w:tblCellMar>
          <w:top w:w="28" w:type="dxa"/>
          <w:left w:w="28" w:type="dxa"/>
          <w:bottom w:w="28" w:type="dxa"/>
          <w:right w:w="28" w:type="dxa"/>
        </w:tblCellMar>
      </w:tblPr>
      <w:tblGrid>
        <w:gridCol w:w="908"/>
        <w:gridCol w:w="795"/>
        <w:gridCol w:w="802"/>
        <w:gridCol w:w="211"/>
        <w:gridCol w:w="721"/>
        <w:gridCol w:w="109"/>
        <w:gridCol w:w="109"/>
        <w:gridCol w:w="109"/>
        <w:gridCol w:w="109"/>
        <w:gridCol w:w="504"/>
        <w:gridCol w:w="1723"/>
        <w:gridCol w:w="263"/>
        <w:gridCol w:w="109"/>
        <w:gridCol w:w="109"/>
        <w:gridCol w:w="109"/>
        <w:gridCol w:w="211"/>
        <w:gridCol w:w="721"/>
        <w:gridCol w:w="109"/>
        <w:gridCol w:w="109"/>
        <w:gridCol w:w="109"/>
        <w:gridCol w:w="109"/>
        <w:gridCol w:w="109"/>
        <w:gridCol w:w="109"/>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SMAs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Focused Commingled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Contributions</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Distributions</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Market value, FX and other</w:t>
            </w:r>
            <w:r>
              <w:rPr>
                <w:rFonts w:ascii="Times New Roman;sans-serif" w:hAnsi="Times New Roman;sans-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30,762 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(1)Contributions consist of new capital commitments that earn fees on committed capital and capital contributions to funds and accounts that earn fees on net invested capital or NAV.</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(3)Market value, FX and other primarily consist of changes in market value appreciation (depreciation) for funds that pay on NAV and the effect of foreign exchange rate changes on non-U.S. dollar denominated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tables set forth FEAUM by asset class and selected weighted-average management fee rate data:</w:t>
      </w:r>
    </w:p>
    <w:tbl>
      <w:tblPr>
        <w:tblW w:w="5948" w:type="dxa"/>
        <w:jc w:val="left"/>
        <w:tblInd w:w="0" w:type="dxa"/>
        <w:tblLayout w:type="fixed"/>
        <w:tblCellMar>
          <w:top w:w="28" w:type="dxa"/>
          <w:left w:w="28" w:type="dxa"/>
          <w:bottom w:w="28" w:type="dxa"/>
          <w:right w:w="28" w:type="dxa"/>
        </w:tblCellMar>
      </w:tblPr>
      <w:tblGrid>
        <w:gridCol w:w="457"/>
        <w:gridCol w:w="400"/>
        <w:gridCol w:w="403"/>
        <w:gridCol w:w="258"/>
        <w:gridCol w:w="883"/>
        <w:gridCol w:w="133"/>
        <w:gridCol w:w="109"/>
        <w:gridCol w:w="109"/>
        <w:gridCol w:w="109"/>
        <w:gridCol w:w="292"/>
        <w:gridCol w:w="998"/>
        <w:gridCol w:w="150"/>
        <w:gridCol w:w="109"/>
        <w:gridCol w:w="109"/>
        <w:gridCol w:w="109"/>
        <w:gridCol w:w="256"/>
        <w:gridCol w:w="877"/>
        <w:gridCol w:w="187"/>
      </w:tblGrid>
      <w:tr>
        <w:trPr/>
        <w:tc>
          <w:tcPr>
            <w:tcW w:w="45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2022</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FEAUM</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41,944 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debt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85,431 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78,550 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27" w:type="dxa"/>
        <w:jc w:val="left"/>
        <w:tblInd w:w="0" w:type="dxa"/>
        <w:tblLayout w:type="fixed"/>
        <w:tblCellMar>
          <w:top w:w="28" w:type="dxa"/>
          <w:left w:w="28" w:type="dxa"/>
          <w:bottom w:w="28" w:type="dxa"/>
          <w:right w:w="28" w:type="dxa"/>
        </w:tblCellMar>
      </w:tblPr>
      <w:tblGrid>
        <w:gridCol w:w="1717"/>
        <w:gridCol w:w="1508"/>
        <w:gridCol w:w="1514"/>
        <w:gridCol w:w="282"/>
        <w:gridCol w:w="282"/>
        <w:gridCol w:w="711"/>
        <w:gridCol w:w="109"/>
        <w:gridCol w:w="109"/>
        <w:gridCol w:w="109"/>
        <w:gridCol w:w="319"/>
        <w:gridCol w:w="319"/>
        <w:gridCol w:w="801"/>
        <w:gridCol w:w="109"/>
        <w:gridCol w:w="109"/>
        <w:gridCol w:w="109"/>
        <w:gridCol w:w="268"/>
        <w:gridCol w:w="268"/>
        <w:gridCol w:w="784"/>
      </w:tblGrid>
      <w:tr>
        <w:trPr/>
        <w:tc>
          <w:tcPr>
            <w:tcW w:w="1717"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2022</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Weighted-average fee rate</w:t>
            </w:r>
            <w:r>
              <w:rPr>
                <w:rFonts w:ascii="Times New Roman;sans-serif" w:hAnsi="Times New Roman;sans-serif"/>
                <w:b/>
                <w:color w:val="000000"/>
                <w:sz w:val="13"/>
              </w:rPr>
              <w:t>(1)</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Private equity</w:t>
            </w:r>
            <w:r>
              <w:rPr>
                <w:rFonts w:ascii="Times New Roman;sans-serif" w:hAnsi="Times New Roman;sans-serif"/>
                <w:b w:val="false"/>
                <w:color w:val="000000"/>
                <w:sz w:val="13"/>
              </w:rPr>
              <w:t>(2)</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Real estate, infrastructure and private debt asset classes</w:t>
            </w:r>
            <w:r>
              <w:rPr>
                <w:rFonts w:ascii="Times New Roman;sans-serif" w:hAnsi="Times New Roman;sans-serif"/>
                <w:b w:val="false"/>
                <w:color w:val="000000"/>
                <w:sz w:val="13"/>
              </w:rPr>
              <w:t>(3)</w:t>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(1)Weighted-average fee rates reflect the applicable management fees for the last 12 months ending on each period presented, and is inclusive of any retroactive fees for such period.</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change in weighted-average fee rates primarily reflected the timing of new funds and shifts in mix between SMAs and focused commingled funds. </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(3)The change in weighted-average fee rates primarily reflected the timing of new funds and shifts in asset class mix.</w:t>
      </w:r>
    </w:p>
    <w:p>
      <w:pPr>
        <w:pStyle w:val="TextBody"/>
        <w:bidi w:val="0"/>
        <w:spacing w:lineRule="auto" w:line="288"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Undeployed Fee-Earning Capital</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of June 30, 2023, we had $16.9 billion of undeployed fee-earning capital, which will generate management fee revenue once this capital is invested or activated.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Non-GAAP Financial Measures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Below is a description of our non-GAAP financial measures. These measures are presented on a basis other than GAAP and should be considered in addition to, and not as a substitute for or superior to, financial measures calculated in accordance with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ans-serif" w:hAnsi="Times New Roman;sans-serif"/>
          <w:b/>
          <w:color w:val="000000"/>
          <w:sz w:val="22"/>
        </w:rPr>
        <w:t>Adjusted Net Income</w:t>
      </w:r>
      <w:r>
        <w:rPr>
          <w:color w:val="000000"/>
        </w:rPr>
        <w:t xml:space="preserve">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Adjusted net income (“ANI”) is a non-GAAP performance measure that we present on a pre-tax and after-tax basis used to evaluate profitability. ANI represents the after-tax net realized income attributable to us. The components of revenues used in the determination of ANI (“adjusted revenues”) comprise net management and advisory fees, incentive fees (including the deferred portion) and realized carried interest allocations. In addition, ANI excludes: (a) unrealized carried interest allocation revenues and related compensation, (b) unrealized investment income or loss, (c) equity-based compensation for awards granted prior to and in connection with our IPO, profits interests issued by our non-wholly owned subsidiaries, and unrealized mark-to-market changes in the fair value of the profits interests issued in connection with the Private Wealth Transaction, (d) amortization of intangibles and (e) certain other items that we believe are not indicative of our core operating performance, including charges associated with acquisitions and corporate transactions, contract terminations and employee severance. ANI does not reflect legacy Greenspring carried interest allocation revenues, legacy Greenspring carried interest-related compensation and legacy Greenspring investment income as none of the economics are attributable to us. ANI is fully taxed at our blended statutory rate. We believe ANI and adjusted revenues are useful to investors because they enable investors to evaluate the performance of our business across reporting periods.</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Adjusted Revenues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Adjusted revenues represents the components of revenues used in the determination of ANI and comprise net management and advisory fees, incentive fees (including the deferred portion) and realized carried interest allocations. We believe adjusted revenues is useful to investors because it presents a measure of realized revenues.</w:t>
      </w:r>
    </w:p>
    <w:p>
      <w:pPr>
        <w:pStyle w:val="TextBody"/>
        <w:bidi w:val="0"/>
        <w:spacing w:lineRule="auto" w:line="288" w:before="0" w:after="240"/>
        <w:ind w:left="0" w:right="0" w:firstLine="720"/>
        <w:jc w:val="left"/>
        <w:rPr/>
      </w:pPr>
      <w:r>
        <w:rPr>
          <w:rFonts w:ascii="Times New Roman;sans-serif" w:hAnsi="Times New Roman;sans-serif"/>
          <w:b/>
          <w:color w:val="000000"/>
          <w:sz w:val="22"/>
        </w:rPr>
        <w:t>Fee-Related Earnings</w:t>
      </w:r>
      <w:r>
        <w:rPr>
          <w:color w:val="000000"/>
        </w:rPr>
        <w:t xml:space="preserve">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Fee-related earnings (“FRE”) is a non-GAAP performance measure used to monitor our baseline earnings from recurring management and advisory fees. FRE is a component of ANI and comprises net management and advisory fees, less adjusted expenses which are operating expenses other than (a) performance fee-related compensation, (b) equity-based compensation for awards granted prior to and in connection with our IPO, profits interests issued by our non-wholly owned subsidiaries, and unrealized mark-to-market changes in the fair value of the profits interests issued in connection with the Private Wealth Transaction, (c) amortization of intangibles, and (d) other non-core operating items. FRE is presented before income taxes. We believe FRE is useful to investors because it provides additional insight into the operating profitability of our business and our ability to cover direct base compensation and operating expenses from total fee revenues.</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Adjusted Net Income Per Share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ANI per share measures our per-share earnings assuming all Class B units and Class C units in the Partnership are exchanged for Class A common stock in SSG, including the dilutive impact of outstanding equity-based awards. ANI per share is calculated as ANI divided by adjusted weighted-average shares outstanding. We believe ANI per share is useful to investors because it enables them to better evaluate per-share operating performance across reporting periods.</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Fee-Related Earnings</w:t>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Three Months Ended June 30, 2023 Compared to Three Months Ended June 30, 2022</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FRE increased $7.8 million, or 21%, to $44.4 million for the three months ended June 30, 2023 as compared to the three months ended June 30, 2022, primarily reflecting higher net management and advisory fees, partially offset by higher adjusted cash-based compensation, adjusted general, administrative and other expenses, and adjusted equity-based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Adjusted Revenues and Adjusted Net Income</w:t>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Three Months Ended June 30, 2023 Compared to Three Months Ended June 30, 2022</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Adjusted revenues decreased $37.6 million, or 20%, to $152.8 million for the three months ended June 30, 2023 as compared to the three months ended June 30, 2022, primarily reflecting lower realized carried interest allocation revenues, partially offset by increases in net management and advisory fees and incentive fees.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ANI decreased $17.7 million, or 38%, to $29.4 million for the three months ended June 30, 2023 as compared to the three months ended June 30, 2022, primarily due to lower net realized performance fee-related earnings (incentive fees, including the deferred portion, plus realized carried interest allocation revenues, less realized performance fee-related compensation) and a higher allocation of income to non-controlling interests. The decrease was partially offset by the increase in FRE as discussed above.</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Adjusted Net Income Per Share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shows a reconciliation of diluted weighted-average shares of Class A common stock outstanding to adjusted weighted-average shares outstanding used in the computation of ANI per share for the three months ended June 30, 2023 and 2022.</w:t>
      </w:r>
    </w:p>
    <w:tbl>
      <w:tblPr>
        <w:tblW w:w="9353" w:type="dxa"/>
        <w:jc w:val="left"/>
        <w:tblInd w:w="0" w:type="dxa"/>
        <w:tblLayout w:type="fixed"/>
        <w:tblCellMar>
          <w:top w:w="28" w:type="dxa"/>
          <w:left w:w="28" w:type="dxa"/>
          <w:bottom w:w="28" w:type="dxa"/>
          <w:right w:w="28" w:type="dxa"/>
        </w:tblCellMar>
      </w:tblPr>
      <w:tblGrid>
        <w:gridCol w:w="2138"/>
        <w:gridCol w:w="1883"/>
        <w:gridCol w:w="1889"/>
        <w:gridCol w:w="267"/>
        <w:gridCol w:w="919"/>
        <w:gridCol w:w="118"/>
        <w:gridCol w:w="118"/>
        <w:gridCol w:w="118"/>
        <w:gridCol w:w="118"/>
        <w:gridCol w:w="267"/>
        <w:gridCol w:w="919"/>
        <w:gridCol w:w="118"/>
        <w:gridCol w:w="109"/>
        <w:gridCol w:w="109"/>
        <w:gridCol w:w="109"/>
        <w:gridCol w:w="154"/>
      </w:tblGrid>
      <w:tr>
        <w:trPr/>
        <w:tc>
          <w:tcPr>
            <w:tcW w:w="2138"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 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62,834,818 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61,144,139 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vesting of RSUs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798,326 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vesting and exchange of Class B2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2,504,618 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2,448,833 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Exchange of Class B units in the Partnership</w:t>
            </w:r>
            <w:r>
              <w:rPr>
                <w:rFonts w:ascii="Times New Roman;sans-serif" w:hAnsi="Times New Roman;sans-serif"/>
                <w:b w:val="false"/>
                <w:color w:val="000000"/>
                <w:sz w:val="13"/>
              </w:rPr>
              <w:t>(1)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46,420,141 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47,146,840 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Exchange of Class C units in the Partnership</w:t>
            </w:r>
            <w:r>
              <w:rPr>
                <w:rFonts w:ascii="Times New Roman;sans-serif" w:hAnsi="Times New Roman;sans-serif"/>
                <w:b w:val="false"/>
                <w:color w:val="000000"/>
                <w:sz w:val="13"/>
              </w:rPr>
              <w:t>(2)</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2,514,085 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2,928,824 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weighted-average shares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114,673,696 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114,466,962 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per share</w:t>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(1)Assumes the full exchange of Class B units in the Partnership for Class A common stock of SSG pursuant to the Class B Exchange Agreement.</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(2)Assumes the full exchange of Class C units in the Partnership for Class A common stock of SSG pursuant to the Class C Exchange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Reconciliation of GAAP to Non-GAAP Financial Measures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table below shows a reconciliation of revenues to adjusted revenues.</w:t>
      </w:r>
    </w:p>
    <w:tbl>
      <w:tblPr>
        <w:tblW w:w="8848" w:type="dxa"/>
        <w:jc w:val="left"/>
        <w:tblInd w:w="0" w:type="dxa"/>
        <w:tblLayout w:type="fixed"/>
        <w:tblCellMar>
          <w:top w:w="28" w:type="dxa"/>
          <w:left w:w="28" w:type="dxa"/>
          <w:bottom w:w="28" w:type="dxa"/>
          <w:right w:w="28" w:type="dxa"/>
        </w:tblCellMar>
      </w:tblPr>
      <w:tblGrid>
        <w:gridCol w:w="2082"/>
        <w:gridCol w:w="1829"/>
        <w:gridCol w:w="1833"/>
        <w:gridCol w:w="211"/>
        <w:gridCol w:w="828"/>
        <w:gridCol w:w="109"/>
        <w:gridCol w:w="109"/>
        <w:gridCol w:w="109"/>
        <w:gridCol w:w="109"/>
        <w:gridCol w:w="211"/>
        <w:gridCol w:w="828"/>
        <w:gridCol w:w="109"/>
        <w:gridCol w:w="109"/>
        <w:gridCol w:w="109"/>
        <w:gridCol w:w="109"/>
        <w:gridCol w:w="154"/>
      </w:tblGrid>
      <w:tr>
        <w:trPr/>
        <w:tc>
          <w:tcPr>
            <w:tcW w:w="2082"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carried interest allocations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Greenspring carried interest allocations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Management and advisory fee revenues for the Consolidated Funds</w:t>
            </w:r>
            <w:r>
              <w:rPr>
                <w:rFonts w:ascii="Times New Roman;sans-serif" w:hAnsi="Times New Roman;sans-serif"/>
                <w:b w:val="false"/>
                <w:color w:val="000000"/>
                <w:sz w:val="13"/>
              </w:rPr>
              <w:t>(1)</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(1)Reflects the add back of management and advisory fee revenues for the Consolidated Funds, which have been eliminated in consolidation.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table below shows a reconciliation of GAAP measures to additional non-GAAP measures. We use the non-GAAP measures presented below as components when calculating ANI and FRE.</w:t>
      </w:r>
    </w:p>
    <w:tbl>
      <w:tblPr>
        <w:tblW w:w="8849" w:type="dxa"/>
        <w:jc w:val="left"/>
        <w:tblInd w:w="0" w:type="dxa"/>
        <w:tblLayout w:type="fixed"/>
        <w:tblCellMar>
          <w:top w:w="28" w:type="dxa"/>
          <w:left w:w="28" w:type="dxa"/>
          <w:bottom w:w="28" w:type="dxa"/>
          <w:right w:w="28" w:type="dxa"/>
        </w:tblCellMar>
      </w:tblPr>
      <w:tblGrid>
        <w:gridCol w:w="2080"/>
        <w:gridCol w:w="1830"/>
        <w:gridCol w:w="1835"/>
        <w:gridCol w:w="211"/>
        <w:gridCol w:w="828"/>
        <w:gridCol w:w="109"/>
        <w:gridCol w:w="109"/>
        <w:gridCol w:w="109"/>
        <w:gridCol w:w="109"/>
        <w:gridCol w:w="211"/>
        <w:gridCol w:w="828"/>
        <w:gridCol w:w="109"/>
        <w:gridCol w:w="109"/>
        <w:gridCol w:w="109"/>
        <w:gridCol w:w="109"/>
        <w:gridCol w:w="154"/>
      </w:tblGrid>
      <w:tr>
        <w:trPr/>
        <w:tc>
          <w:tcPr>
            <w:tcW w:w="208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management and advisory fees,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Management and advisory fee revenues for the Consolidated Funds</w:t>
            </w:r>
            <w:r>
              <w:rPr>
                <w:rFonts w:ascii="Times New Roman;sans-serif" w:hAnsi="Times New Roman;sans-serif"/>
                <w:b w:val="false"/>
                <w:color w:val="000000"/>
                <w:sz w:val="13"/>
              </w:rPr>
              <w:t>(1)</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and advisory fees,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income earned by the Consolidated Funds</w:t>
            </w:r>
            <w:r>
              <w:rPr>
                <w:rFonts w:ascii="Times New Roman;sans-serif" w:hAnsi="Times New Roman;sans-serif"/>
                <w:b w:val="false"/>
                <w:color w:val="000000"/>
                <w:sz w:val="13"/>
              </w:rPr>
              <w:t>(2)</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other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Adjustments</w:t>
            </w:r>
            <w:r>
              <w:rPr>
                <w:rFonts w:ascii="Times New Roman;sans-serif" w:hAnsi="Times New Roman;sans-serif"/>
                <w:b w:val="false"/>
                <w:color w:val="000000"/>
                <w:sz w:val="13"/>
              </w:rPr>
              <w:t>(3)</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other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(1)Reflects the add-back of management and advisory fee revenues for the Consolidated Funds, which have been eliminated in consolidation.</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(2)Reflects the removal of interest income earned by the Consolidated Funds.</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(3)Reflects the removal of amounts for the removal of the impact of the consolidation of the Consolidated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table below shows a reconciliation of income (loss) before income tax to ANI and FRE.</w:t>
      </w:r>
    </w:p>
    <w:tbl>
      <w:tblPr>
        <w:tblW w:w="9600" w:type="dxa"/>
        <w:jc w:val="left"/>
        <w:tblInd w:w="0" w:type="dxa"/>
        <w:tblLayout w:type="fixed"/>
        <w:tblCellMar>
          <w:top w:w="28" w:type="dxa"/>
          <w:left w:w="28" w:type="dxa"/>
          <w:bottom w:w="28" w:type="dxa"/>
          <w:right w:w="28" w:type="dxa"/>
        </w:tblCellMar>
      </w:tblPr>
      <w:tblGrid>
        <w:gridCol w:w="2352"/>
        <w:gridCol w:w="2069"/>
        <w:gridCol w:w="2074"/>
        <w:gridCol w:w="223"/>
        <w:gridCol w:w="762"/>
        <w:gridCol w:w="115"/>
        <w:gridCol w:w="115"/>
        <w:gridCol w:w="115"/>
        <w:gridCol w:w="115"/>
        <w:gridCol w:w="223"/>
        <w:gridCol w:w="841"/>
        <w:gridCol w:w="115"/>
        <w:gridCol w:w="109"/>
        <w:gridCol w:w="109"/>
        <w:gridCol w:w="109"/>
        <w:gridCol w:w="154"/>
      </w:tblGrid>
      <w:tr>
        <w:trPr/>
        <w:tc>
          <w:tcPr>
            <w:tcW w:w="2352"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Net income attributable to non-controlling interests in subsidiaries</w:t>
            </w:r>
            <w:r>
              <w:rPr>
                <w:rFonts w:ascii="Times New Roman;sans-serif" w:hAnsi="Times New Roman;sans-serif"/>
                <w:b w:val="false"/>
                <w:color w:val="000000"/>
                <w:sz w:val="13"/>
              </w:rPr>
              <w:t>(1)</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 in legacy Greenspring entities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carried interest allocations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(49,364)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performance fee-related compensation</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investment (income) loss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Consolidated Funds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Equity-based compensation</w:t>
            </w:r>
            <w:r>
              <w:rPr>
                <w:rFonts w:ascii="Times New Roman;sans-serif" w:hAnsi="Times New Roman;sans-serif"/>
                <w:b w:val="false"/>
                <w:color w:val="000000"/>
                <w:sz w:val="13"/>
              </w:rPr>
              <w:t>(2)</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Non-core items</w:t>
            </w:r>
            <w:r>
              <w:rPr>
                <w:rFonts w:ascii="Times New Roman;sans-serif" w:hAnsi="Times New Roman;sans-serif"/>
                <w:b w:val="false"/>
                <w:color w:val="000000"/>
                <w:sz w:val="13"/>
              </w:rPr>
              <w:t>(3)</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adjusted net income</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Income taxes</w:t>
            </w:r>
            <w:r>
              <w:rPr>
                <w:rFonts w:ascii="Times New Roman;sans-serif" w:hAnsi="Times New Roman;sans-serif"/>
                <w:b w:val="false"/>
                <w:color w:val="000000"/>
                <w:sz w:val="13"/>
              </w:rPr>
              <w:t>(4)</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Income taxes</w:t>
            </w:r>
            <w:r>
              <w:rPr>
                <w:rFonts w:ascii="Times New Roman;sans-serif" w:hAnsi="Times New Roman;sans-serif"/>
                <w:b w:val="false"/>
                <w:color w:val="000000"/>
                <w:sz w:val="13"/>
              </w:rPr>
              <w:t>(4)</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carried interest allocations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Realized performance fee-related compensation</w:t>
            </w:r>
            <w:r>
              <w:rPr>
                <w:rFonts w:ascii="Times New Roman;sans-serif" w:hAnsi="Times New Roman;sans-serif"/>
                <w:b w:val="false"/>
                <w:color w:val="000000"/>
                <w:sz w:val="13"/>
              </w:rPr>
              <w:t>(5)</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investment income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fees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Non-GAAP interest income</w:t>
            </w:r>
            <w:r>
              <w:rPr>
                <w:rFonts w:ascii="Times New Roman;sans-serif" w:hAnsi="Times New Roman;sans-serif"/>
                <w:b w:val="false"/>
                <w:color w:val="000000"/>
                <w:sz w:val="13"/>
              </w:rPr>
              <w:t>(6)</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Adjusted other loss</w:t>
            </w:r>
            <w:r>
              <w:rPr>
                <w:rFonts w:ascii="Times New Roman;sans-serif" w:hAnsi="Times New Roman;sans-serif"/>
                <w:b w:val="false"/>
                <w:color w:val="000000"/>
                <w:sz w:val="13"/>
              </w:rPr>
              <w:t>(6)</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Net income attributable to non-controlling interests in subsidiaries</w:t>
            </w:r>
            <w:r>
              <w:rPr>
                <w:rFonts w:ascii="Times New Roman;sans-serif" w:hAnsi="Times New Roman;sans-serif"/>
                <w:b w:val="false"/>
                <w:color w:val="000000"/>
                <w:sz w:val="13"/>
              </w:rPr>
              <w:t>(1)</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Fee-related earnings</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(1)Reflects the portion of pre-tax adjusted net income of our subsidiaries attributable to non-controlling interests.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(2)Reflects equity-based compensation for awards granted prior to and in connection with the IPO, profits interests issued by our non-wholly owned subsidiaries, and unrealized mark-to-market changes in the fair value of the profits interests issued in connection with the Private Wealth Transaction.</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(3)Includes (income) expense related to accelerated depreciation of leasehold improvements for changes in lease terms ($0.6 million for the three months ended June 30, 2023), (gain) loss on change in fair value for contingent consideration obligation ($(1.2) million and $3.3 million for the three months ended June 30, 2023 and 2022, respectively), compensation paid to certain employees as part of an acquisition earn-out ($0.5 million and $0.6 million for the three months ended June 30, 2023 and 2022, respectively) and other non-core operating income and expenses.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(4)Represents corporate income taxes at a blended statutory rate of 22.3% applied to pre-tax adjusted net income for the three ended June 30, 2023 and 2022, which is based on a federal statutory rate of 21.0% and a combined state, local and foreign rate net of federal benefits of 1.3%.</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(5)Includes carried interest-related compensation expense related to the portion of net carried interest allocation revenue attributable to equity holders of the Company’s consolidated subsidiaries that are not 100% owned ($2.2 million and $4.4 million for the three months ended June 30, 2023 and 2022, respectively).</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(6)Excludes the impact of consolidating the Consolidated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Investment Performance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information relating to the performance of all the investments that StepStone has recommended and subsequently tracked across asset classes and investment strategies, except as set forth in greater detail below. The data for these investments is generally presented from the inception date of each strategy and asset class through March 31, 2023 and have not been adjusted to reflect acquisitions or disposals of investments subsequent to that date.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historical results of our investments are not indicative of future results to be expected of existing or new investment funds, and are not a proxy for the performance of our Class A common stock, including because: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market conditions and investment opportunities may differ from those in the past;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the performance of our funds is largely based on the NAV (as defined below) of the funds’ investments, including unrealized gains, which may never be realized;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newly-established funds may generate lower investment returns during the period that they initially deploy their capital;</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the industries and businesses in which particular funds invest will vary.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Historical and future returns of investments included in our track record are not directly correlated to potential returns on our Class A common stock.</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For the purposes of the following table: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Invested capital” refers to the total amount of all investments made by a fund, including commitment-reducing and non-commitment-reducing capital calls;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NAV” refers to the estimated fair value of unrealized investments plus any net assets or liabilities associated with the investment as of March 31, 2023;</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IRR” refers to the annualized internal rate of return for all investments within the relevant investment strategy on an inception-to-date basis as of March 31, 2023 (except as noted otherwise below), based on contributions, distributions and unrealized value;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Net IRR” refers to IRR net of fees and expenses charged by both the underlying fund managers and StepStone;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Net TVM” refers to the total value to paid-in capital or invested capital expressed as a multiple, and is calculated as distributions plus unrealized valuations divided by invested capital (including all capitalized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StepStone Performance Summary by Asset Class</w:t>
      </w:r>
    </w:p>
    <w:tbl>
      <w:tblPr>
        <w:tblW w:w="10205" w:type="dxa"/>
        <w:jc w:val="left"/>
        <w:tblInd w:w="0" w:type="dxa"/>
        <w:tblLayout w:type="fixed"/>
        <w:tblCellMar>
          <w:top w:w="28" w:type="dxa"/>
          <w:left w:w="28" w:type="dxa"/>
          <w:bottom w:w="28" w:type="dxa"/>
          <w:right w:w="28" w:type="dxa"/>
        </w:tblCellMar>
      </w:tblPr>
      <w:tblGrid>
        <w:gridCol w:w="481"/>
        <w:gridCol w:w="422"/>
        <w:gridCol w:w="425"/>
        <w:gridCol w:w="182"/>
        <w:gridCol w:w="172"/>
        <w:gridCol w:w="128"/>
        <w:gridCol w:w="185"/>
        <w:gridCol w:w="185"/>
        <w:gridCol w:w="186"/>
        <w:gridCol w:w="109"/>
        <w:gridCol w:w="109"/>
        <w:gridCol w:w="109"/>
        <w:gridCol w:w="608"/>
        <w:gridCol w:w="487"/>
        <w:gridCol w:w="488"/>
        <w:gridCol w:w="160"/>
        <w:gridCol w:w="160"/>
        <w:gridCol w:w="161"/>
        <w:gridCol w:w="185"/>
        <w:gridCol w:w="185"/>
        <w:gridCol w:w="186"/>
        <w:gridCol w:w="109"/>
        <w:gridCol w:w="109"/>
        <w:gridCol w:w="109"/>
        <w:gridCol w:w="451"/>
        <w:gridCol w:w="437"/>
        <w:gridCol w:w="438"/>
        <w:gridCol w:w="274"/>
        <w:gridCol w:w="274"/>
        <w:gridCol w:w="278"/>
        <w:gridCol w:w="109"/>
        <w:gridCol w:w="148"/>
        <w:gridCol w:w="148"/>
        <w:gridCol w:w="148"/>
        <w:gridCol w:w="436"/>
        <w:gridCol w:w="436"/>
        <w:gridCol w:w="440"/>
        <w:gridCol w:w="153"/>
        <w:gridCol w:w="153"/>
        <w:gridCol w:w="242"/>
      </w:tblGrid>
      <w:tr>
        <w:trPr/>
        <w:tc>
          <w:tcPr>
            <w:tcW w:w="4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PRIVATE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INFRASTRUCTURE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PRIVATE DEBT</w:t>
            </w:r>
          </w:p>
        </w:tc>
        <w:tc>
          <w:tcPr>
            <w:tcW w:w="548" w:type="dxa"/>
            <w:gridSpan w:val="3"/>
            <w:tcBorders/>
          </w:tcPr>
          <w:p>
            <w:pPr>
              <w:pStyle w:val="TableContents"/>
              <w:bidi w:val="0"/>
              <w:spacing w:before="0" w:after="283"/>
              <w:jc w:val="left"/>
              <w:rPr>
                <w:sz w:val="4"/>
                <w:szCs w:val="4"/>
              </w:rPr>
            </w:pPr>
            <w:r>
              <w:rPr>
                <w:sz w:val="4"/>
                <w:szCs w:val="4"/>
              </w:rPr>
            </w:r>
          </w:p>
        </w:tc>
      </w:tr>
      <w:tr>
        <w:trPr/>
        <w:tc>
          <w:tcPr>
            <w:tcW w:w="1328"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r>
      <w:tr>
        <w:trPr/>
        <w:tc>
          <w:tcPr>
            <w:tcW w:w="1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INVESTMENT STRATEGY</w:t>
            </w:r>
            <w:r>
              <w:rPr>
                <w:rFonts w:ascii="Times New Roman;sans-serif" w:hAnsi="Times New Roman;sans-serif"/>
                <w:b/>
                <w:color w:val="000000"/>
                <w:sz w:val="10"/>
              </w:rPr>
              <w:t>(1,2,4)</w:t>
            </w:r>
          </w:p>
        </w:tc>
        <w:tc>
          <w:tcPr>
            <w:tcW w:w="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NET IRR</w:t>
            </w:r>
            <w:r>
              <w:rPr>
                <w:rFonts w:ascii="Times New Roman;sans-serif" w:hAnsi="Times New Roman;sans-serif"/>
                <w:b/>
                <w:color w:val="000000"/>
                <w:sz w:val="10"/>
              </w:rPr>
              <w:t>(3)</w:t>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NET TVM</w:t>
            </w:r>
            <w:r>
              <w:rPr>
                <w:rFonts w:ascii="Times New Roman;sans-serif" w:hAnsi="Times New Roman;sans-serif"/>
                <w:b/>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INVESTMENT STRATEGY</w:t>
            </w:r>
            <w:r>
              <w:rPr>
                <w:rFonts w:ascii="Times New Roman;sans-serif" w:hAnsi="Times New Roman;sans-serif"/>
                <w:b/>
                <w:color w:val="000000"/>
                <w:sz w:val="10"/>
              </w:rPr>
              <w:t>(1,4,5)</w:t>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NET IRR</w:t>
            </w:r>
            <w:r>
              <w:rPr>
                <w:rFonts w:ascii="Times New Roman;sans-serif" w:hAnsi="Times New Roman;sans-serif"/>
                <w:b/>
                <w:color w:val="000000"/>
                <w:sz w:val="10"/>
              </w:rPr>
              <w:t>(3)</w:t>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NET TVM</w:t>
            </w:r>
            <w:r>
              <w:rPr>
                <w:rFonts w:ascii="Times New Roman;sans-serif" w:hAnsi="Times New Roman;sans-serif"/>
                <w:b/>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INVESTMENT STRATEGY</w:t>
            </w:r>
            <w:r>
              <w:rPr>
                <w:rFonts w:ascii="Times New Roman;sans-serif" w:hAnsi="Times New Roman;sans-serif"/>
                <w:b/>
                <w:color w:val="000000"/>
                <w:sz w:val="10"/>
              </w:rPr>
              <w:t>(1,4,6)</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NET IRR</w:t>
            </w:r>
            <w:r>
              <w:rPr>
                <w:rFonts w:ascii="Times New Roman;sans-serif" w:hAnsi="Times New Roman;sans-serif"/>
                <w:b/>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INVESTMENT STRATEGY</w:t>
            </w:r>
            <w:r>
              <w:rPr>
                <w:rFonts w:ascii="Times New Roman;sans-serif" w:hAnsi="Times New Roman;sans-serif"/>
                <w:b/>
                <w:color w:val="000000"/>
                <w:sz w:val="10"/>
              </w:rPr>
              <w:t>(1,4,8)</w:t>
            </w:r>
          </w:p>
        </w:tc>
        <w:tc>
          <w:tcPr>
            <w:tcW w:w="5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NET IRR</w:t>
            </w:r>
            <w:r>
              <w:rPr>
                <w:rFonts w:ascii="Times New Roman;sans-serif" w:hAnsi="Times New Roman;sans-serif"/>
                <w:b/>
                <w:color w:val="000000"/>
                <w:sz w:val="10"/>
              </w:rPr>
              <w:t>(3)</w:t>
            </w:r>
          </w:p>
        </w:tc>
      </w:tr>
      <w:tr>
        <w:trPr/>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Primaries</w:t>
            </w:r>
          </w:p>
        </w:tc>
        <w:tc>
          <w:tcPr>
            <w:tcW w:w="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17.0%</w:t>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Core/Core+ fund investments</w:t>
            </w:r>
          </w:p>
        </w:tc>
        <w:tc>
          <w:tcPr>
            <w:tcW w:w="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Primaries</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109"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 lending</w:t>
            </w:r>
          </w:p>
        </w:tc>
        <w:tc>
          <w:tcPr>
            <w:tcW w:w="5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6.9%</w:t>
            </w:r>
          </w:p>
        </w:tc>
      </w:tr>
      <w:tr>
        <w:trPr/>
        <w:tc>
          <w:tcPr>
            <w:tcW w:w="1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Secondaries</w:t>
            </w:r>
          </w:p>
        </w:tc>
        <w:tc>
          <w:tcPr>
            <w:tcW w:w="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17.8%</w:t>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Value-add/opportunistic fund investments</w:t>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Secondaries</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109"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Distressed debt</w:t>
            </w:r>
          </w:p>
        </w:tc>
        <w:tc>
          <w:tcPr>
            <w:tcW w:w="5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c>
      </w:tr>
      <w:tr>
        <w:trPr/>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Co-investments</w:t>
            </w:r>
          </w:p>
        </w:tc>
        <w:tc>
          <w:tcPr>
            <w:tcW w:w="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w:t>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estate debt fund investments</w:t>
            </w:r>
          </w:p>
        </w:tc>
        <w:tc>
          <w:tcPr>
            <w:tcW w:w="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Co-investments</w:t>
            </w:r>
            <w:r>
              <w:rPr>
                <w:rFonts w:ascii="Times New Roman;sans-serif" w:hAnsi="Times New Roman;sans-serif"/>
                <w:b w:val="false"/>
                <w:color w:val="000000"/>
                <w:sz w:val="10"/>
              </w:rPr>
              <w:t>(7)</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109"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Other</w:t>
            </w:r>
            <w:r>
              <w:rPr>
                <w:rFonts w:ascii="Times New Roman;sans-serif" w:hAnsi="Times New Roman;sans-serif"/>
                <w:b w:val="false"/>
                <w:color w:val="000000"/>
                <w:sz w:val="10"/>
              </w:rPr>
              <w:t>(9)</w:t>
            </w:r>
          </w:p>
        </w:tc>
        <w:tc>
          <w:tcPr>
            <w:tcW w:w="5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c>
      </w:tr>
      <w:tr>
        <w:trPr/>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Value-add/opportunistic secondaries &amp; co-investments</w:t>
            </w:r>
          </w:p>
        </w:tc>
        <w:tc>
          <w:tcPr>
            <w:tcW w:w="48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14.0%</w:t>
            </w:r>
          </w:p>
        </w:tc>
        <w:tc>
          <w:tcPr>
            <w:tcW w:w="55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bidi w:val="0"/>
        <w:spacing w:lineRule="auto" w:line="288" w:before="0" w:after="0"/>
        <w:ind w:left="0" w:right="0" w:hanging="720"/>
        <w:jc w:val="left"/>
        <w:rPr/>
      </w:pPr>
      <w:r>
        <w:rPr>
          <w:rFonts w:ascii="Times New Roman;sans-serif" w:hAnsi="Times New Roman;sans-serif"/>
          <w:b w:val="false"/>
          <w:color w:val="231F20"/>
          <w:sz w:val="22"/>
        </w:rPr>
        <w:t>(1)</w:t>
      </w:r>
      <w:r>
        <w:rPr>
          <w:rFonts w:ascii="Times New Roman;sans-serif" w:hAnsi="Times New Roman;sans-serif"/>
          <w:b w:val="false"/>
          <w:color w:val="000000"/>
          <w:sz w:val="20"/>
        </w:rPr>
        <w:t xml:space="preserve">Investment returns reflect NAV data for underlying investments as of March 31, 2023, as reported by underlying managers up to </w:t>
      </w:r>
      <w:r>
        <w:rPr>
          <w:rFonts w:ascii="Times New Roman;sans-serif" w:hAnsi="Times New Roman;sans-serif"/>
          <w:b w:val="false"/>
          <w:color w:val="231F20"/>
          <w:sz w:val="20"/>
        </w:rPr>
        <w:t>100</w:t>
      </w:r>
      <w:r>
        <w:rPr>
          <w:color w:val="000000"/>
        </w:rPr>
        <w:t xml:space="preserve"> </w:t>
      </w:r>
      <w:r>
        <w:rPr>
          <w:rFonts w:ascii="Times New Roman;sans-serif" w:hAnsi="Times New Roman;sans-serif"/>
          <w:b w:val="false"/>
          <w:color w:val="000000"/>
          <w:sz w:val="20"/>
        </w:rPr>
        <w:t xml:space="preserve">days following March 31, 2023. For investment returns where NAV data is not available </w:t>
      </w:r>
      <w:r>
        <w:rPr>
          <w:rFonts w:ascii="Times New Roman;sans-serif" w:hAnsi="Times New Roman;sans-serif"/>
          <w:b w:val="false"/>
          <w:color w:val="231F20"/>
          <w:sz w:val="20"/>
        </w:rPr>
        <w:t>100</w:t>
      </w:r>
      <w:r>
        <w:rPr>
          <w:color w:val="000000"/>
        </w:rPr>
        <w:t xml:space="preserve"> </w:t>
      </w:r>
      <w:r>
        <w:rPr>
          <w:rFonts w:ascii="Times New Roman;sans-serif" w:hAnsi="Times New Roman;sans-serif"/>
          <w:b w:val="false"/>
          <w:color w:val="000000"/>
          <w:sz w:val="20"/>
        </w:rPr>
        <w:t>days following March 31, 2023, such NAVs are adjusted for cash activity following the last available reported NAV. Investment returns are calculated on a constant currency adjusted reporting basis converting non-USD investment cash flows and NAVs to USD using the foreign currency exchange rate corresponding to each client’s first cash flow date.</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(2)Private equity includes 2,444 investments totaling $173.8 billion of capital commitments and excludes (i) two advisory co-investments, totaling $100.0 million of capital commitments, (ii) all client-directed private equity investments (253 investments totaling $29.4 billion of capital commitments), and (iii) investments for which StepStone does not provide monitoring and reporting services to the client that made the investment.</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(3)Net IRR and Net TVM are presented solely for illustrative purposes and do not represent actual returns received by any investor in any of the StepStone Funds represented above and are net of fees and expenses charged by both the underlying investment and hypothetical StepStone fees. The aggregate returns are not indicative of the returns an individual investor would receive from these investments. No individual investor received the aggregate returns described herein as the investments were made across multiple mandates over multiple years. StepStone fees and expenses are based on the following assumptions (management fees and expenses represent an annual rate):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i.Primaries: 25 basis points of net invested capital for management fees (and on NAV for private debt), charged quarterly. </w:t>
      </w:r>
    </w:p>
    <w:p>
      <w:pPr>
        <w:pStyle w:val="TextBody"/>
        <w:bidi w:val="0"/>
        <w:spacing w:lineRule="auto" w:line="256"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ii.Secondaries: 125 basis points (60 basis points for infrastructure) of capital commitments in years 1 through 4 for management fees, charged quarterly. In year 5, management fees step down to 90% of the previous year’s fee; 65 basis points for private debt, assessed quarterly on the net asset value. </w:t>
      </w:r>
    </w:p>
    <w:p>
      <w:pPr>
        <w:pStyle w:val="TextBody"/>
        <w:bidi w:val="0"/>
        <w:spacing w:lineRule="auto" w:line="256"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iii.Co-investments: 100 basis points (85 and 50 basis points for infrastructure co-investments and direct asset management investments, respectively) on net committed capital for management fees, charged quarterly; 65 basis points for private debt, assessed quarterly on the net asset value.</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iv.All investment types assess 5 basis points of capital commitments for fund expenses, charged quarterly, and 1 basis point of capital commitments drawn down in the first cash flow quarter for organizational costs.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v.Private equity and infrastructure secondaries and co-investments include 12.5% and 10.0% of paid and unrealized carry, respectively, with an 8.0% preferred return hurdle. Real estate secondaries and co-investments include 15.0% of paid and unrealized carry, with an 8.0% preferred return hurdle. Private debt secondaries and co-investments include 10.0% of paid and unrealized carry, with an 5.0% preferred return hurdle.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IRR and Net TVM for certain investments may have been impacted by StepStone’s or the underlying fund manager’s use of subscription backed credit facilities by such vehicles. Reinvested/recycled amounts increase contributed capital.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(5)Real estate includes 472 investments totaling $75.9 billion of capital commitments and excludes (i) all client-directed real estate investments (81 investments totaling $12.1 billion of capital commitments), (ii) 11 secondary/co-investment core/core+ or credit investments, totaling $608.7 million of capital commitments, (iii) four advisory fund investments totaling $463.6 million of capital commitments, and (iv) investments for which StepStone does not provide monitoring and reporting services to the client that made the investment. Includes the discretionary track record of Courtland Partners, Ltd., which StepStone acquired on April 1, 2018 (the “Courtland acquisition”).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(6)Infrastructure includes 232 investments totaling $47.9 billion of capital commitments and excludes (i) 11 infrastructure investments made by the Partnership prior to the formation of the infrastructure subsidiary in 2013 or made prior to the Courtland acquisition totaling $501.9 million of capital commitments, (ii) all client-directed infrastructure investments (27 investments totaling $4.3 billion of capital commitments), and (iii) investments for which StepStone does not provide monitoring and reporting services to the client that made the investment.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(7)Co-investments includes venture capital and growth equity direct investments for private equity, and asset management investments for infrastructure.</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(8)Private debt includes 824 investments totaling $44.2 billion of capital commitments and excludes (i) all client-directed debt investments (41 investments, totaling $2.9 billion of capital commitments), (ii) real estate credit investments that were recommended by Courtland Partners, Ltd. prior to the Courtland acquisition (54 investments totaling $5.2 billion of capital commitments), and (iii) investments for which StepStone does not provide monitoring and reporting services to the client that made the investment.</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(9)Other includes mezzanine debt, collateralized loan obligations, leasing, regulatory capital, trade finance, intellectual property/royalty, real estate debt and infrastructure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 xml:space="preserve">Sources and Uses of Liquidity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generate cash primarily from management and advisory fees and realized carried interest allocations. We have historically managed our liquidity and capital resource needs through (a) cash generated from our operating activities, (b) realizations from investment activities, (c) borrowings, interest payments and repayments under credit agreements and other borrowing arrangements, (d) funding capital commitments to our funds, and (e) funding our growth initiatives, including capital expenditures and acquisitions to expand into new businesses. </w:t>
      </w:r>
    </w:p>
    <w:p>
      <w:pPr>
        <w:pStyle w:val="TextBody"/>
        <w:bidi w:val="0"/>
        <w:spacing w:lineRule="auto" w:line="26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of June 30, 2023, we had $92.4 million of cash, cash equivalents and restricted cash ($127.9 million including Consolidated Funds) and $1,399.9 million of investments in StepStone Funds, including $1,277.8 million of accrued carried interest allocations, against $98.5 million in debt obligations, net of debt issuance costs, and $668.7 million in accrued carried interest-related compensation payable.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Ongoing sources of cash include (a) management and advisory fees, which are collected monthly or quarterly, (b) carried interest allocations and incentive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debt service, capital expenditures, dividends to our stockholders and distributions to holders of Partnership units, and to make investments in the StepStone Funds. We believe we will have sufficient cash to meet our obligations for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Cash Flows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accompanying condensed consolidated cash flows include the Consolidated Funds, which activities primarily consist of raising capital from third-party investors, purchasing investments, making payment for the operating costs of the fund, generating cash flows from realized income allocations of investments and sales of investments, and making distributions to investors. The Consolidated Funds are accounted for as investment companies and therefore the cash flows from investing activities are included in cash flows from operations.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our cash flows attributable to operating, investing and financing activities:</w:t>
      </w:r>
    </w:p>
    <w:tbl>
      <w:tblPr>
        <w:tblW w:w="7406" w:type="dxa"/>
        <w:jc w:val="left"/>
        <w:tblInd w:w="0" w:type="dxa"/>
        <w:tblLayout w:type="fixed"/>
        <w:tblCellMar>
          <w:top w:w="28" w:type="dxa"/>
          <w:left w:w="28" w:type="dxa"/>
          <w:bottom w:w="28" w:type="dxa"/>
          <w:right w:w="28" w:type="dxa"/>
        </w:tblCellMar>
      </w:tblPr>
      <w:tblGrid>
        <w:gridCol w:w="1716"/>
        <w:gridCol w:w="1510"/>
        <w:gridCol w:w="1513"/>
        <w:gridCol w:w="222"/>
        <w:gridCol w:w="761"/>
        <w:gridCol w:w="115"/>
        <w:gridCol w:w="115"/>
        <w:gridCol w:w="115"/>
        <w:gridCol w:w="115"/>
        <w:gridCol w:w="222"/>
        <w:gridCol w:w="840"/>
        <w:gridCol w:w="162"/>
      </w:tblGrid>
      <w:tr>
        <w:trPr/>
        <w:tc>
          <w:tcPr>
            <w:tcW w:w="171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(10,117)</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Operating Activities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Operating activities provided $57.6 million and $57.5 million of cash for the three months ended June 30, 2023 and 2022, respectively. For the three months ended June 30, 2023 and 2022, respectively, these amounts primarily consisted of the following: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net income, after adjustments for non-cash items (including unrealized carried interest allocations, unrealized performance fee-related compensation, unrealized investment income and acquisition-related contingent consideration), of $49.1 million and $67.0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net change in operating assets and liabilities of $17.3 million and $(9.5)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 xml:space="preserve">adjustments for unrealized investment income from Consolidated Funds of $(2.4) million and $0 million;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net purchases of investments of Consolidated Funds of $6.2 million and $0 million;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net change in operating assets and liabilities of Consolidated Funds of $(0.3) million and $0 million.</w:t>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Investing Activities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Investing activities used $14.5 million and $7.6 million of cash for the three months ended June 30, 2023 and 2022, respectively, and primarily consisted of the following amounts: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net contributions to investments of $4.4 million and $4.2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net contributions to investments in legacy Greenspring entities of $2.3 million and $3.1 million;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purchases of fixed assets of $7.8 million and $0.3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Financing Activities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Financing activities used $44.0 million and $60.7 million of cash for the three months ended June 30, 2023 and 2022, respectively, and primarily consisted of the following: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 xml:space="preserve">distributions to non-controlling interests of $25.7 million and $45.2 million;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proceeds from capital contributions to legacy Greenspring entities of $2.6 million and $5.0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distributions to non-controlling interests in legacy Greenspring entities of $0.5 million and $3.5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dividends paid to common stockholders of $28.3 million and $12.2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 xml:space="preserve">payments to related parties under the Tax Receivable Agreements of $7.7 million and $4.8 million; and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contributions from redeemable non-controlling interests in Consolidated Funds of $15.5 million and $0 million.</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Revolving Credit Facility</w:t>
      </w:r>
    </w:p>
    <w:p>
      <w:pPr>
        <w:pStyle w:val="TextBody"/>
        <w:bidi w:val="0"/>
        <w:spacing w:lineRule="auto" w:line="26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are party to the Credit Agreement that was arranged by JPMorgan Chase Bank, N.A., as administrative agent, and provides for a $225.0 million multicurrency Revolver with a five-year maturity. As of June 30, 2023, we had $98.5 million outstanding on the Revolver, net of debt issuance costs.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Borrowings under the Revolver bear interest at a variable rate per annum. We may designate each borrowing as (i) in the case of any borrowing in U.S. dollars, a base rate loan or a Term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June 30, 2023 was 7.23%.</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Revolver bears a fee on undrawn commitments equal to 0.25% per annum if total utilization of revolving commitments is equal to or greater than 50% and 0.35% per annum if total utilization of revolving commitments is less than 50%.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us to maintain a total net leverage ratio, and a minimum total of fee-earning assets under management. As of June 30, 2023, we were in compliance with the total net leverage ratio and minimum fee-earning assets under management covenants.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can use available funding capacity under the Revolver to satisfy letters of credit in amounts up to $10.0 million. Amounts used to satisfy the letters of credit reduce the available capacity under the Revolver. As of June 30, 2023, we had outstanding letters of credit totaling $7.8 million. </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Future Sources and Uses of Liquidity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Dividend and Distribution Policy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On August 3, 2023, we announced a dividend of $0.21 per share of Class A common stock, payable on September 15, 2023 to holders of record at the close of business on August 31, 2023.</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information regarding cash quarterly dividends on Class A common shares for the periods indicated:</w:t>
      </w:r>
    </w:p>
    <w:tbl>
      <w:tblPr>
        <w:tblW w:w="9503" w:type="dxa"/>
        <w:jc w:val="left"/>
        <w:tblInd w:w="0" w:type="dxa"/>
        <w:tblLayout w:type="fixed"/>
        <w:tblCellMar>
          <w:top w:w="28" w:type="dxa"/>
          <w:left w:w="28" w:type="dxa"/>
          <w:bottom w:w="28" w:type="dxa"/>
          <w:right w:w="28" w:type="dxa"/>
        </w:tblCellMar>
      </w:tblPr>
      <w:tblGrid>
        <w:gridCol w:w="988"/>
        <w:gridCol w:w="870"/>
        <w:gridCol w:w="872"/>
        <w:gridCol w:w="109"/>
        <w:gridCol w:w="109"/>
        <w:gridCol w:w="109"/>
        <w:gridCol w:w="699"/>
        <w:gridCol w:w="699"/>
        <w:gridCol w:w="701"/>
        <w:gridCol w:w="109"/>
        <w:gridCol w:w="109"/>
        <w:gridCol w:w="109"/>
        <w:gridCol w:w="967"/>
        <w:gridCol w:w="2345"/>
        <w:gridCol w:w="708"/>
      </w:tblGrid>
      <w:tr>
        <w:trPr/>
        <w:tc>
          <w:tcPr>
            <w:tcW w:w="98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Quarterly Fiscal Period</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Per Share of Class A Common Stock</w:t>
            </w:r>
          </w:p>
        </w:tc>
      </w:tr>
      <w:tr>
        <w:trPr/>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15,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15,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dividends paid in FY2023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Supplemental</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dividends paid in FY2024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(1)Dividends paid, as reported in this table, relate to the preceding quarterly period in which they were earned.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supplemental cash dividend relates to earnings in respect of our full fiscal year 2023. </w:t>
      </w:r>
    </w:p>
    <w:p>
      <w:pPr>
        <w:pStyle w:val="TextBody"/>
        <w:bidi w:val="0"/>
        <w:spacing w:lineRule="auto" w:line="26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payments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Tax Receivable Agreements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have entered into an Exchanges Tax Receivable Agreement with the Class B limited partners and Class C limited partners, and a Reorganization Tax Receivable Agreement with certain pre-IPO institutional investors (collectively, the “Tax Receivable Agreements”). The Tax Receivable Agreements provide for payment by SSG to these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Off-Balance Sheet Arrangements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do not have any off-balance sheet arrangements that would expose us to any liability or require us to fund losses or guarantee target returns to clients in our funds that are not reflected in our condensed consolidated financial statements. See notes 4 and 14, respectively, to our condensed consolidated financial statements included elsewhere in this quarterly report for information on variable interest entities and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Critical Accounting Estimates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prepare our condensed consolidated financial statements in accordance with GAAP. In applying many of these accounting principles, we need to make assumptions, estimates and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See note 2 to our condensed consolidated financial statements included elsewhere in this quarterly report, and note 2 to our audited consolidated financial statements in our Form 10-K for the year ended March 31, 2023 for a summary of our significant accounting policies.</w:t>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Recent Accounting Developments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Information regarding recent accounting developments and their effects to us can be found in note 2 to our condensed consolidated financial statements included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Item 3. Quantitative and Qualitative Disclosures About Market Risk</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Market Risk</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 </w:t>
      </w:r>
    </w:p>
    <w:p>
      <w:pPr>
        <w:pStyle w:val="TextBody"/>
        <w:bidi w:val="0"/>
        <w:spacing w:lineRule="auto" w:line="26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Our management fee and advisory fee revenue is only marginally affected by changes in investment values because our management fees are generally based on commitments or net invested capital and our advisory fees are fixed. As of both June 30, 2023, and March 31, 2023, NAV-based management fees represented approximately 7% of total net management and advisory fees. We estimate that a 10% decline in market values of the investments held in our funds as of June 30, 2023 and March 31, 2023, would result in an approximate decrease to annual management fees of $3.7 million and $3.4 million, respectively.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both June 30, 2023 and March 31, 2023, we had $18.1 million of deferred incentive fee revenue recorded in accounts payable, accrued expenses and other liabilities in the condensed consolidated balance sheets.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are paid to employees as carried interest-related compensation, the overall net impact to our income would be mitigated by lower compensation payments. As of June 30, 2023, and March 31, 2023, the maximum amount of carried interest allocations (excluding legacy Greenspring carried interest allocations) subject to contingent repayment, net of tax, was an estimated $271.2 million and $264.1 million, respectively, assuming the fair value of all investments was zero, a possibility that we view as remote. The primary driver for the change in the contingent repayment between periods is due to additional carried interest allocation realizations in fiscal 2024 that are potentially subject to clawback.</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Investment income changes in relation to realized and unrealized gains and losses of the underlying investments in our funds in which we have a general partner commitment. Based on investments (excluding legacy Greenspring investments in funds and investments of Consolidated Funds) held as of June 30, 2023 and March 31, 2023, we estimate that a 10% decline in fair value of the investments in funds would result in a decrease in investment income of $12.2 million and $11.5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Exchange Rate Risk</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condensed consolidated financial statements.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1% of total capital commitments. Changes in exchange rates are not expected to materially affect our condensed consolidated financial statements. </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Interest Rate Risk</w:t>
      </w:r>
    </w:p>
    <w:p>
      <w:pPr>
        <w:pStyle w:val="TextBody"/>
        <w:bidi w:val="0"/>
        <w:spacing w:lineRule="auto" w:line="26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 of both June 30, 2023 and March 31, 2023, we had $100.0 million in borrowings outstanding under our Revolver. The Revolver accrues interest at a variable rate. As of both June 30, 2023 and March 31, 2023, we estimate that interest expense would increase by $1.0 million on an annualized basis as a result of a 100 basis point increase in interest rates. Based on the $92.4 million and $103.5 million of cash, cash equivalents and restricted cash (excluding Consolidated Funds) as of June 30, 2023 and March 31, 2023, we estimate that interest income would increase by $0.9 million and $1.0 million, respectively, on an annualized basis as a result of a 100 basis point increase in interest rates. </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Credit Risk</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Item 4. Controls and Procedures.</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Disclosure Controls and Procedures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Changes in Internal Controls over Financial Reporting</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There have been no changes in our internal control over financial reporting (as such term is defined in Rules 13a-15(f) and 15d-15(f) under the Exchange Act) during our most recent quarter ended June 30,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Item 1. Legal Proceedings.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information required with respect to this item can be found under the heading “Litigation” in note 14, Commitments and Contingencies, to our condensed consolidated financial statements included elsewhere in this quarterly report, and such information is incorporated by reference into this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Item 1A. Risk Factors.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There have been no material changes from the risk factors previously disclosed in Part 1, Item 1A of our annual report on Form 10-K for the fiscal year ended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Item 2. Unregistered Sales of Equity Securities and Use of Proceeds.</w:t>
      </w:r>
    </w:p>
    <w:p>
      <w:pPr>
        <w:pStyle w:val="TextBody"/>
        <w:bidi w:val="0"/>
        <w:spacing w:lineRule="auto" w:line="26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Item 3. Defaults Upon Senior Securities.</w:t>
      </w:r>
    </w:p>
    <w:p>
      <w:pPr>
        <w:pStyle w:val="TextBody"/>
        <w:bidi w:val="0"/>
        <w:spacing w:lineRule="auto" w:line="268" w:before="24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Item 4. Mine Safety Disclosures.</w:t>
      </w:r>
    </w:p>
    <w:p>
      <w:pPr>
        <w:pStyle w:val="TextBody"/>
        <w:bidi w:val="0"/>
        <w:spacing w:lineRule="auto" w:line="288" w:before="24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Item 5. Other Information.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Trading Arrangements.</w:t>
      </w:r>
    </w:p>
    <w:p>
      <w:pPr>
        <w:pStyle w:val="TextBody"/>
        <w:bidi w:val="0"/>
        <w:spacing w:lineRule="auto" w:line="288" w:before="0" w:after="240"/>
        <w:ind w:left="0" w:right="0" w:firstLine="72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During the period covered by this Quarterly Report on Form 10-Q, none of our directors or officers (as defined in Exchange Act Rule 16a-1(f)) adopted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282"/>
        <w:gridCol w:w="248"/>
        <w:gridCol w:w="249"/>
        <w:gridCol w:w="2057"/>
        <w:gridCol w:w="1785"/>
        <w:gridCol w:w="1790"/>
        <w:gridCol w:w="200"/>
        <w:gridCol w:w="200"/>
        <w:gridCol w:w="187"/>
        <w:gridCol w:w="245"/>
        <w:gridCol w:w="245"/>
        <w:gridCol w:w="246"/>
        <w:gridCol w:w="218"/>
        <w:gridCol w:w="218"/>
        <w:gridCol w:w="219"/>
        <w:gridCol w:w="262"/>
        <w:gridCol w:w="262"/>
        <w:gridCol w:w="140"/>
        <w:gridCol w:w="335"/>
        <w:gridCol w:w="335"/>
        <w:gridCol w:w="482"/>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 or Furnished Herewith</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w:t>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vAlign w:val="center"/>
          </w:tcPr>
          <w:p>
            <w:pPr>
              <w:pStyle w:val="TableContents"/>
              <w:bidi w:val="0"/>
              <w:spacing w:before="0" w:after="283"/>
              <w:jc w:val="left"/>
              <w:rPr>
                <w:sz w:val="4"/>
                <w:szCs w:val="4"/>
              </w:rPr>
            </w:pPr>
            <w:r>
              <w:rPr>
                <w:sz w:val="4"/>
                <w:szCs w:val="4"/>
              </w:rPr>
            </w:r>
          </w:p>
        </w:tc>
        <w:tc>
          <w:tcPr>
            <w:tcW w:w="5632"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3.1</w:t>
              </w:r>
            </w:hyperlink>
          </w:p>
        </w:tc>
        <w:tc>
          <w:tcPr>
            <w:tcW w:w="5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Certificate of Incorporation of StepStone Group Inc.</w:t>
              </w:r>
            </w:hyperlink>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9/18/2020</w:t>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001-39510</w:t>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3.2</w:t>
              </w:r>
            </w:hyperlink>
          </w:p>
        </w:tc>
        <w:tc>
          <w:tcPr>
            <w:tcW w:w="5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Amended and Restated Bylaws of StepStone Group Inc.</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2/09/2023</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001-39510</w:t>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10.1</w:t>
              </w:r>
            </w:hyperlink>
          </w:p>
        </w:tc>
        <w:tc>
          <w:tcPr>
            <w:tcW w:w="5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Conformed Credit Agreement dated as of September 20, 2021 as amended by Amendment No. 1 to Credit Agreement, dated as of April 19, 2023, by and among StepStone Group LP, JPMorgan Chase Bank, N.A., as administrative agent and collateral agent and certain other lenders party thereto</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5/26/2023</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001-39510</w:t>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consultingservic.htm">
              <w:r>
                <w:rPr>
                  <w:rStyle w:val="InternetLink"/>
                  <w:rFonts w:ascii="Times New Roman;sans-serif" w:hAnsi="Times New Roman;sans-serif"/>
                  <w:b w:val="false"/>
                  <w:color w:val="0000FF"/>
                  <w:sz w:val="20"/>
                  <w:u w:val="single"/>
                </w:rPr>
                <w:t>10.2</w:t>
              </w:r>
            </w:hyperlink>
            <w:r>
              <w:rPr>
                <w:color w:val="000000"/>
              </w:rPr>
              <w:t>†</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consultingservic.htm">
              <w:r>
                <w:rPr>
                  <w:rStyle w:val="InternetLink"/>
                  <w:rFonts w:ascii="Times New Roman;sans-serif" w:hAnsi="Times New Roman;sans-serif"/>
                  <w:b w:val="false"/>
                  <w:color w:val="000080"/>
                  <w:sz w:val="20"/>
                  <w:u w:val="single"/>
                </w:rPr>
                <w:t xml:space="preserve">Consulting Services Agreement, </w:t>
              </w:r>
            </w:hyperlink>
            <w:hyperlink w:anchor="exhibit102consultingservic.htm">
              <w:r>
                <w:rPr>
                  <w:rStyle w:val="InternetLink"/>
                  <w:rFonts w:ascii="Times New Roman;sans-serif" w:hAnsi="Times New Roman;sans-serif"/>
                  <w:b w:val="false"/>
                  <w:color w:val="000080"/>
                  <w:sz w:val="20"/>
                  <w:u w:val="single"/>
                </w:rPr>
                <w:t>effective</w:t>
              </w:r>
            </w:hyperlink>
            <w:hyperlink w:anchor="exhibit102consultingservic.htm">
              <w:r>
                <w:rPr>
                  <w:rStyle w:val="InternetLink"/>
                  <w:rFonts w:ascii="Times New Roman;sans-serif" w:hAnsi="Times New Roman;sans-serif"/>
                  <w:b w:val="false"/>
                  <w:color w:val="000080"/>
                  <w:sz w:val="20"/>
                  <w:u w:val="single"/>
                </w:rPr>
                <w:t xml:space="preserve"> as of August 1, 2023, by and among StepStone Group Inc., StepStone Group LP, MMAR HNL, LLC and Monte Brem</w:t>
              </w:r>
            </w:hyperlink>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1fy2024.htm">
              <w:r>
                <w:rPr>
                  <w:rStyle w:val="InternetLink"/>
                  <w:rFonts w:ascii="Times New Roman;sans-serif" w:hAnsi="Times New Roman;sans-serif"/>
                  <w:b w:val="false"/>
                  <w:color w:val="0000FF"/>
                  <w:sz w:val="20"/>
                  <w:u w:val="single"/>
                </w:rPr>
                <w:t>31.1</w:t>
              </w:r>
            </w:hyperlink>
          </w:p>
        </w:tc>
        <w:tc>
          <w:tcPr>
            <w:tcW w:w="5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1fy2024.htm">
              <w:r>
                <w:rPr>
                  <w:rStyle w:val="InternetLink"/>
                  <w:rFonts w:ascii="Times New Roman;sans-serif" w:hAnsi="Times New Roman;sans-serif"/>
                  <w:b w:val="false"/>
                  <w:color w:val="0000FF"/>
                  <w:sz w:val="20"/>
                  <w:u w:val="single"/>
                </w:rPr>
                <w:t>Certification of Chief Executive Officer pursuant to Rule 13a-14(a) and Rule 15d-14(a) of the Securities Exchange Act, as amended</w:t>
              </w:r>
            </w:hyperlink>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1fy2024.htm">
              <w:r>
                <w:rPr>
                  <w:rStyle w:val="InternetLink"/>
                  <w:rFonts w:ascii="Times New Roman;sans-serif" w:hAnsi="Times New Roman;sans-serif"/>
                  <w:b w:val="false"/>
                  <w:color w:val="0000FF"/>
                  <w:sz w:val="20"/>
                  <w:u w:val="single"/>
                </w:rPr>
                <w:t>31.2</w:t>
              </w:r>
            </w:hyperlink>
          </w:p>
        </w:tc>
        <w:tc>
          <w:tcPr>
            <w:tcW w:w="5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1fy2024.htm">
              <w:r>
                <w:rPr>
                  <w:rStyle w:val="InternetLink"/>
                  <w:rFonts w:ascii="Times New Roman;sans-serif" w:hAnsi="Times New Roman;sans-serif"/>
                  <w:b w:val="false"/>
                  <w:color w:val="0000FF"/>
                  <w:sz w:val="20"/>
                  <w:u w:val="single"/>
                </w:rPr>
                <w:t>Certification of Chief Financial Officer pursuant to Rule 13a-14(a) and Rule 15d-14(a) of the Securities Exchange Act, as amended</w:t>
              </w:r>
            </w:hyperlink>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1fy2024.htm">
              <w:r>
                <w:rPr>
                  <w:rStyle w:val="InternetLink"/>
                  <w:rFonts w:ascii="Times New Roman;sans-serif" w:hAnsi="Times New Roman;sans-serif"/>
                  <w:b w:val="false"/>
                  <w:color w:val="0000FF"/>
                  <w:sz w:val="20"/>
                  <w:u w:val="single"/>
                </w:rPr>
                <w:t>32.1</w:t>
              </w:r>
            </w:hyperlink>
          </w:p>
        </w:tc>
        <w:tc>
          <w:tcPr>
            <w:tcW w:w="5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1fy2024.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1fy2024.htm">
              <w:r>
                <w:rPr>
                  <w:rStyle w:val="InternetLink"/>
                  <w:rFonts w:ascii="Times New Roman;sans-serif" w:hAnsi="Times New Roman;sans-serif"/>
                  <w:b w:val="false"/>
                  <w:color w:val="0000FF"/>
                  <w:sz w:val="20"/>
                  <w:u w:val="single"/>
                </w:rPr>
                <w:t>32.2</w:t>
              </w:r>
            </w:hyperlink>
          </w:p>
        </w:tc>
        <w:tc>
          <w:tcPr>
            <w:tcW w:w="5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1fy2024.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our quarterly report on Form 10-Q for the quarter ended June 30, 2023 formatted in Inline XBRL (Extensible Business Reporting Language): (i) the Condensed Consolidated Balance Sheets; (ii) the Condensed Consolidated Statements of Income (Loss); (iii) the Condensed Consolidated Statements of Comprehensive Income (Loss); (iv) the Condensed Consolidated Statements of Stockholders’ Equity; (v) the Condensed Consolidated Statements of Cash Flows; (vi) Notes to Condensed Consolidated Financial Statements; and (vii) Part II, Item 5(c).</w:t>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9" w:type="dxa"/>
            <w:gridSpan w:val="3"/>
            <w:tcBorders/>
            <w:vAlign w:val="center"/>
          </w:tcPr>
          <w:p>
            <w:pPr>
              <w:pStyle w:val="TableContents"/>
              <w:bidi w:val="0"/>
              <w:spacing w:before="0" w:after="283"/>
              <w:jc w:val="left"/>
              <w:rPr>
                <w:sz w:val="4"/>
                <w:szCs w:val="4"/>
              </w:rPr>
            </w:pPr>
            <w:r>
              <w:rPr>
                <w:sz w:val="4"/>
                <w:szCs w:val="4"/>
              </w:rPr>
            </w:r>
          </w:p>
        </w:tc>
        <w:tc>
          <w:tcPr>
            <w:tcW w:w="5632"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779" w:type="dxa"/>
            <w:gridSpan w:val="3"/>
            <w:tcBorders/>
            <w:vAlign w:val="center"/>
          </w:tcPr>
          <w:p>
            <w:pPr>
              <w:pStyle w:val="TableContents"/>
              <w:bidi w:val="0"/>
              <w:spacing w:before="0" w:after="283"/>
              <w:jc w:val="left"/>
              <w:rPr>
                <w:sz w:val="4"/>
                <w:szCs w:val="4"/>
              </w:rPr>
            </w:pPr>
            <w:r>
              <w:rPr>
                <w:sz w:val="4"/>
                <w:szCs w:val="4"/>
              </w:rPr>
            </w:r>
          </w:p>
        </w:tc>
        <w:tc>
          <w:tcPr>
            <w:tcW w:w="5632" w:type="dxa"/>
            <w:gridSpan w:val="3"/>
            <w:tcBorders/>
            <w:vAlign w:val="center"/>
          </w:tcPr>
          <w:p>
            <w:pPr>
              <w:pStyle w:val="TableContents"/>
              <w:bidi w:val="0"/>
              <w:spacing w:before="0" w:after="283"/>
              <w:jc w:val="left"/>
              <w:rPr>
                <w:sz w:val="4"/>
                <w:szCs w:val="4"/>
              </w:rPr>
            </w:pPr>
            <w:r>
              <w:rPr>
                <w:sz w:val="4"/>
                <w:szCs w:val="4"/>
              </w:rPr>
            </w:r>
          </w:p>
        </w:tc>
        <w:tc>
          <w:tcPr>
            <w:tcW w:w="3794" w:type="dxa"/>
            <w:gridSpan w:val="15"/>
            <w:tcBorders/>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2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Indicates a management contract or compensatory plan or arrangement.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thereunto duly authorized, on August 7, 2023</w:t>
      </w:r>
      <w:r>
        <w:rPr>
          <w:rFonts w:ascii="Times New Roman;sans-serif" w:hAnsi="Times New Roman;sans-serif"/>
          <w:b/>
          <w:color w:val="000000"/>
          <w:sz w:val="22"/>
        </w:rPr>
        <w:t>.</w:t>
      </w:r>
    </w:p>
    <w:tbl>
      <w:tblPr>
        <w:tblW w:w="6011"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534"/>
        <w:gridCol w:w="1534"/>
        <w:gridCol w:w="2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STEPSTONE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Johnny D. Randel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Johnny D. Randel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(Principal Financial Officer and 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CONSULTING SERVICES AGREEMENT</w:t>
      </w:r>
    </w:p>
    <w:p>
      <w:pPr>
        <w:pStyle w:val="TextBody"/>
        <w:bidi w:val="0"/>
        <w:spacing w:lineRule="auto" w:line="240" w:before="240" w:after="283"/>
        <w:ind w:left="0" w:right="0" w:firstLine="720"/>
        <w:jc w:val="left"/>
        <w:rPr/>
      </w:pPr>
      <w:r>
        <w:rPr>
          <w:rFonts w:ascii="Times New Roman;sans-serif" w:hAnsi="Times New Roman;sans-serif"/>
          <w:b w:val="false"/>
          <w:color w:val="000000"/>
          <w:sz w:val="24"/>
        </w:rPr>
        <w:t>This Consulting Services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entered into as of August 1, 2023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by and among StepStone Group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StepStone Group LP (the “</w:t>
      </w:r>
      <w:r>
        <w:rPr>
          <w:rFonts w:ascii="Times New Roman;sans-serif" w:hAnsi="Times New Roman;sans-serif"/>
          <w:b w:val="false"/>
          <w:color w:val="000000"/>
          <w:sz w:val="24"/>
          <w:u w:val="single"/>
        </w:rPr>
        <w:t>Partnership</w:t>
      </w:r>
      <w:r>
        <w:rPr>
          <w:color w:val="000000"/>
        </w:rPr>
        <w:t>”</w:t>
      </w:r>
      <w:r>
        <w:rPr>
          <w:rFonts w:ascii="Times New Roman;sans-serif" w:hAnsi="Times New Roman;sans-serif"/>
          <w:b w:val="false"/>
          <w:color w:val="000000"/>
          <w:sz w:val="24"/>
        </w:rPr>
        <w:t>), MMAR HNL, LLC (“</w:t>
      </w:r>
      <w:r>
        <w:rPr>
          <w:rFonts w:ascii="Times New Roman;sans-serif" w:hAnsi="Times New Roman;sans-serif"/>
          <w:b w:val="false"/>
          <w:color w:val="000000"/>
          <w:sz w:val="24"/>
          <w:u w:val="single"/>
        </w:rPr>
        <w:t>MMAR</w:t>
      </w:r>
      <w:r>
        <w:rPr>
          <w:color w:val="000000"/>
        </w:rPr>
        <w:t>”</w:t>
      </w:r>
      <w:r>
        <w:rPr>
          <w:rFonts w:ascii="Times New Roman;sans-serif" w:hAnsi="Times New Roman;sans-serif"/>
          <w:b w:val="false"/>
          <w:color w:val="000000"/>
          <w:sz w:val="24"/>
        </w:rPr>
        <w:t>) and Monte Brem (“</w:t>
      </w:r>
      <w:r>
        <w:rPr>
          <w:rFonts w:ascii="Times New Roman;sans-serif" w:hAnsi="Times New Roman;sans-serif"/>
          <w:b w:val="false"/>
          <w:color w:val="000000"/>
          <w:sz w:val="24"/>
          <w:u w:val="single"/>
        </w:rPr>
        <w:t>Brem</w:t>
      </w:r>
      <w:r>
        <w:rPr>
          <w:color w:val="000000"/>
        </w:rPr>
        <w:t xml:space="preserve">” </w:t>
      </w:r>
      <w:r>
        <w:rPr>
          <w:rFonts w:ascii="Times New Roman;sans-serif" w:hAnsi="Times New Roman;sans-serif"/>
          <w:b w:val="false"/>
          <w:color w:val="000000"/>
          <w:sz w:val="24"/>
        </w:rPr>
        <w:t>and together with the Company, the Partnership and MMAR the “</w:t>
      </w:r>
      <w:r>
        <w:rPr>
          <w:rFonts w:ascii="Times New Roman;sans-serif" w:hAnsi="Times New Roman;sans-serif"/>
          <w:b w:val="false"/>
          <w:color w:val="000000"/>
          <w:sz w:val="24"/>
          <w:u w:val="single"/>
        </w:rPr>
        <w:t>Parties</w:t>
      </w:r>
      <w:r>
        <w:rPr>
          <w:color w:val="000000"/>
        </w:rPr>
        <w:t>”</w:t>
      </w:r>
      <w:r>
        <w:rPr>
          <w:rFonts w:ascii="Times New Roman;sans-serif" w:hAnsi="Times New Roman;sans-serif"/>
          <w:b w:val="false"/>
          <w:color w:val="000000"/>
          <w:sz w:val="24"/>
        </w:rPr>
        <w:t>).</w:t>
      </w:r>
    </w:p>
    <w:p>
      <w:pPr>
        <w:pStyle w:val="TextBody"/>
        <w:bidi w:val="0"/>
        <w:spacing w:lineRule="auto" w:line="240" w:before="240" w:after="283"/>
        <w:ind w:left="0" w:right="0" w:firstLine="720"/>
        <w:jc w:val="left"/>
        <w:rPr/>
      </w:pPr>
      <w:r>
        <w:rPr>
          <w:rFonts w:ascii="Times New Roman;sans-serif" w:hAnsi="Times New Roman;sans-serif"/>
          <w:b w:val="false"/>
          <w:color w:val="000000"/>
          <w:sz w:val="24"/>
        </w:rPr>
        <w:t>WHEREAS, the Partnership and the Company desire to engage MMAR for the purposes of securing the consulting services of Brem commencing on August 1, 2023 (the “</w:t>
      </w:r>
      <w:r>
        <w:rPr>
          <w:rFonts w:ascii="Times New Roman;sans-serif" w:hAnsi="Times New Roman;sans-serif"/>
          <w:b w:val="false"/>
          <w:color w:val="000000"/>
          <w:sz w:val="24"/>
          <w:u w:val="single"/>
        </w:rPr>
        <w:t>Start Date</w:t>
      </w:r>
      <w:r>
        <w:rPr>
          <w:color w:val="000000"/>
        </w:rPr>
        <w:t>”</w:t>
      </w:r>
      <w:r>
        <w:rPr>
          <w:rFonts w:ascii="Times New Roman;sans-serif" w:hAnsi="Times New Roman;sans-serif"/>
          <w:b w:val="false"/>
          <w:color w:val="000000"/>
          <w:sz w:val="24"/>
        </w:rPr>
        <w:t>), and MMAR agrees to supply and make available to the Partnership and the Company, the services of Brem, in each case on the terms and conditions set forth herein.</w:t>
      </w:r>
    </w:p>
    <w:p>
      <w:pPr>
        <w:pStyle w:val="TextBody"/>
        <w:bidi w:val="0"/>
        <w:spacing w:lineRule="auto" w:line="240"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subject to and in consideration of the mutual promises herein contained, the Parties agree as follows:</w:t>
      </w:r>
    </w:p>
    <w:p>
      <w:pPr>
        <w:pStyle w:val="TextBody"/>
        <w:bidi w:val="0"/>
        <w:spacing w:lineRule="auto" w:line="240" w:before="240" w:after="283"/>
        <w:ind w:left="0" w:right="0" w:firstLine="720"/>
        <w:jc w:val="left"/>
        <w:rPr/>
      </w:pPr>
      <w:r>
        <w:rPr>
          <w:rFonts w:ascii="Times New Roman;sans-serif" w:hAnsi="Times New Roman;sans-serif"/>
          <w:b w:val="false"/>
          <w:color w:val="010000"/>
          <w:sz w:val="24"/>
        </w:rPr>
        <w:t>1.</w:t>
      </w:r>
      <w:r>
        <w:rPr>
          <w:rFonts w:ascii="Times New Roman;sans-serif" w:hAnsi="Times New Roman;sans-serif"/>
          <w:b w:val="false"/>
          <w:color w:val="000000"/>
          <w:sz w:val="24"/>
          <w:u w:val="single"/>
        </w:rPr>
        <w:t>Consulting Period</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Commencing as of the Start Date and continuing until terminated pursuant to this Agreement, the Partnership and the Company agree to engage MMAR to provide the services of Brem as Executive Advisor to the Partnership and the Company and in such capacity to render such services as reasonably requested by the Board of Directors of the Company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and/or the Chief Executive Officer of Partnership and the Company (the “</w:t>
      </w:r>
      <w:r>
        <w:rPr>
          <w:rFonts w:ascii="Times New Roman;sans-serif" w:hAnsi="Times New Roman;sans-serif"/>
          <w:b w:val="false"/>
          <w:color w:val="000000"/>
          <w:sz w:val="24"/>
          <w:u w:val="single"/>
        </w:rPr>
        <w:t>Consulting Services</w:t>
      </w:r>
      <w:r>
        <w:rPr>
          <w:color w:val="000000"/>
        </w:rPr>
        <w:t>”</w:t>
      </w:r>
      <w:r>
        <w:rPr>
          <w:rFonts w:ascii="Times New Roman;sans-serif" w:hAnsi="Times New Roman;sans-serif"/>
          <w:b w:val="false"/>
          <w:color w:val="000000"/>
          <w:sz w:val="24"/>
        </w:rPr>
        <w:t>), and MMAR agrees to make Brem available to render such services. Such Consulting Services may include phone or in-person consultations with officers of the Company or senior management of the Partnership regarding business strategy, relationships with significant clients of the Partnership or its affiliates and potential corporate transactions involving the Partnership, Company or their affiliates. MMAR shall ensure that Brem shall comply with all rules, procedures and standards promulgated from time to time by the Company or its affiliates, including the Partnership, with regard to Brem’s access to and use of the property, information, equipment and facilities of the Company and its affiliates. Notwithstanding the foregoing, MMAR’s engagement with the Partnership and the Company hereunder may be terminated at any time by any of MMAR, the Partnership or the Company upon thirty (30) days prior written notice. The period between the Start Date and the termination of MMAR’s engagement hereunder shall be referred to herein as the “</w:t>
      </w:r>
      <w:r>
        <w:rPr>
          <w:rFonts w:ascii="Times New Roman;sans-serif" w:hAnsi="Times New Roman;sans-serif"/>
          <w:b w:val="false"/>
          <w:color w:val="000000"/>
          <w:sz w:val="24"/>
          <w:u w:val="single"/>
        </w:rPr>
        <w:t>Consulting Period</w:t>
      </w:r>
      <w:r>
        <w:rPr>
          <w:color w:val="000000"/>
        </w:rPr>
        <w:t>”</w:t>
      </w:r>
      <w:r>
        <w:rPr>
          <w:rFonts w:ascii="Times New Roman;sans-serif" w:hAnsi="Times New Roman;sans-serif"/>
          <w:b w:val="false"/>
          <w:color w:val="000000"/>
          <w:sz w:val="24"/>
        </w:rPr>
        <w:t>.</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During the Consulting Period, the relationship of MMAR to the Partnership and the Company will be that of an independent contractor, and neither MMAR nor Brem shall have any authority to bind or represent the Partnership or the Company (unless the Partnership or the Company otherwise takes action to grant such authority with respect to certain arrangements), and neither the Partnership nor the Company shall have any right to direct or control the manner in which MMAR performs the Consulting Services hereunder. Nothing in this Agreement shall be construed to create, during the Consulting Period, any association, partnership, joint venture, employment, or agency relationship between MMAR, on the one hand, and the Partnership or the Company, on the other, for any purpose or Brem and the Partnership or the Company, other than as a non-employee member of the Board and Chairperson of the Board.</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During the Consulting Period, Brem will not be eligible to participate in any vacation, group medical or life insurance, disability, profit sharing or retirement benefits, or any other fringe benefits or benefit plans offered by the Company or the Partnership to its employees, other than in his capacity as a non-employee member of the Board, and neither the Partnership nor the Company will be responsible for withholding or paying any income, payroll, Social Security or other federal, state or local taxes, making any insurance contributions, including unemployment or disability, or obtaining worker’s compensation insurance on Brem’s behalf. </w:t>
      </w:r>
    </w:p>
    <w:p>
      <w:pPr>
        <w:pStyle w:val="TextBody"/>
        <w:bidi w:val="0"/>
        <w:spacing w:lineRule="auto" w:line="240" w:before="240" w:after="283"/>
        <w:ind w:left="0" w:right="0" w:firstLine="720"/>
        <w:jc w:val="left"/>
        <w:rPr/>
      </w:pPr>
      <w:r>
        <w:rPr>
          <w:rFonts w:ascii="Times New Roman;sans-serif" w:hAnsi="Times New Roman;sans-serif"/>
          <w:b w:val="false"/>
          <w:color w:val="010000"/>
          <w:sz w:val="24"/>
        </w:rPr>
        <w:t>2.</w:t>
      </w:r>
      <w:r>
        <w:rPr>
          <w:rFonts w:ascii="Times New Roman;sans-serif" w:hAnsi="Times New Roman;sans-serif"/>
          <w:b w:val="false"/>
          <w:color w:val="000000"/>
          <w:sz w:val="24"/>
          <w:u w:val="single"/>
        </w:rPr>
        <w:t>Consulting Fee</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Effective as of the Start Date, MMAR shall be eligible to receive cash consulting fees from the Partnership at the rate of $250,000 per annum in exchange for providing the Consulting Services (the “</w:t>
      </w:r>
      <w:r>
        <w:rPr>
          <w:rFonts w:ascii="Times New Roman;sans-serif" w:hAnsi="Times New Roman;sans-serif"/>
          <w:b w:val="false"/>
          <w:color w:val="000000"/>
          <w:sz w:val="24"/>
          <w:u w:val="single"/>
        </w:rPr>
        <w:t>Consulting Fee</w:t>
      </w:r>
      <w:r>
        <w:rPr>
          <w:color w:val="000000"/>
        </w:rPr>
        <w:t>”</w:t>
      </w:r>
      <w:r>
        <w:rPr>
          <w:rFonts w:ascii="Times New Roman;sans-serif" w:hAnsi="Times New Roman;sans-serif"/>
          <w:b w:val="false"/>
          <w:color w:val="000000"/>
          <w:sz w:val="24"/>
        </w:rPr>
        <w:t xml:space="preserve">). The Consulting Fee shall be payable in equal monthly installments during the Consulting Period. </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During the Consulting Period, the Company will reimburse MMAR for reasonable costs incurred in connection with the performance of the Consulting Serices consistent with the Company’s Expense Reimbursement Policy, which may be amended from time to time. To receive reimbursement, MMAR must submit appropriate supporting documentation (e.g., receipts, proof of payment, etc.). Reimbursement will be provided within thirty (30) calendar days of MMAR’s submission of appropriate documentation. </w:t>
      </w:r>
    </w:p>
    <w:p>
      <w:pPr>
        <w:pStyle w:val="TextBody"/>
        <w:bidi w:val="0"/>
        <w:spacing w:lineRule="auto" w:line="240" w:before="240" w:after="283"/>
        <w:ind w:left="0" w:right="0" w:firstLine="720"/>
        <w:jc w:val="both"/>
        <w:rPr/>
      </w:pPr>
      <w:r>
        <w:rPr>
          <w:rFonts w:ascii="Times New Roman;sans-serif" w:hAnsi="Times New Roman;sans-serif"/>
          <w:b w:val="false"/>
          <w:color w:val="010000"/>
          <w:sz w:val="24"/>
        </w:rPr>
        <w:t>3.</w:t>
      </w:r>
      <w:r>
        <w:rPr>
          <w:rFonts w:ascii="Times New Roman;sans-serif" w:hAnsi="Times New Roman;sans-serif"/>
          <w:b w:val="false"/>
          <w:color w:val="000000"/>
          <w:sz w:val="24"/>
          <w:u w:val="single"/>
        </w:rPr>
        <w:t>Confidential Information</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Definition</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means any of the Company's (including its parents, affiliates or subsidiaries (collectively, “</w:t>
      </w:r>
      <w:r>
        <w:rPr>
          <w:rFonts w:ascii="Times New Roman;sans-serif" w:hAnsi="Times New Roman;sans-serif"/>
          <w:b w:val="false"/>
          <w:color w:val="000000"/>
          <w:sz w:val="24"/>
          <w:u w:val="single"/>
        </w:rPr>
        <w:t>Affiliates</w:t>
      </w:r>
      <w:r>
        <w:rPr>
          <w:color w:val="000000"/>
        </w:rPr>
        <w:t>”</w:t>
      </w:r>
      <w:r>
        <w:rPr>
          <w:rFonts w:ascii="Times New Roman;sans-serif" w:hAnsi="Times New Roman;sans-serif"/>
          <w:b w:val="false"/>
          <w:color w:val="000000"/>
          <w:sz w:val="24"/>
        </w:rPr>
        <w:t>)) proprietary information, technical data, trade secrets or know-how, including but not limited to all actual or potential customer, employee, supplier, and distributor lists, contacts and addresses, information about employees and employee relations, training manuals and procedures, information about recruitment methods and procedures, employment contracts, information about marketing, business plans and projections, pricing information, information about costs and expenses, budgets, proposals, financial information, product plans, products, services, research, developments, systems, formulas, technology, inventions, databases, know-how, developments, experiments, improvements, prototypes, computer programs, software, processes, designs, tapes, and compilations of information that are owned by the Company, its Affiliates, other parties with which the Company or its Affiliates do business (“</w:t>
      </w:r>
      <w:r>
        <w:rPr>
          <w:rFonts w:ascii="Times New Roman;sans-serif" w:hAnsi="Times New Roman;sans-serif"/>
          <w:b w:val="false"/>
          <w:color w:val="000000"/>
          <w:sz w:val="24"/>
          <w:u w:val="single"/>
        </w:rPr>
        <w:t>Third Parties</w:t>
      </w:r>
      <w:r>
        <w:rPr>
          <w:color w:val="000000"/>
        </w:rPr>
        <w:t>”</w:t>
      </w:r>
      <w:r>
        <w:rPr>
          <w:rFonts w:ascii="Times New Roman;sans-serif" w:hAnsi="Times New Roman;sans-serif"/>
          <w:b w:val="false"/>
          <w:color w:val="000000"/>
          <w:sz w:val="24"/>
        </w:rPr>
        <w:t>) or customers of Company or its Affiliates (“</w:t>
      </w:r>
      <w:r>
        <w:rPr>
          <w:rFonts w:ascii="Times New Roman;sans-serif" w:hAnsi="Times New Roman;sans-serif"/>
          <w:b w:val="false"/>
          <w:color w:val="000000"/>
          <w:sz w:val="24"/>
          <w:u w:val="single"/>
        </w:rPr>
        <w:t>Customers</w:t>
      </w:r>
      <w:r>
        <w:rPr>
          <w:color w:val="000000"/>
        </w:rPr>
        <w:t>”</w:t>
      </w:r>
      <w:r>
        <w:rPr>
          <w:rFonts w:ascii="Times New Roman;sans-serif" w:hAnsi="Times New Roman;sans-serif"/>
          <w:b w:val="false"/>
          <w:color w:val="000000"/>
          <w:sz w:val="24"/>
        </w:rPr>
        <w:t xml:space="preserve">), and that are used in the operation of the business of Company or its Affiliates, Third Parties and/or Customers. Confidential Information includes, but is not limited to, information disclosed to or developed by either MMAR or Brem in connection with the Consulting Services. Confidential Information shall not include information that: (i) is now or subsequently becomes generally available to the public through no wrongful act or omission of MMAR or Brem; (ii) MMAR or Brem can demonstrate to have had rightfully in their possession prior to disclosure by the Company; (iii) is independently developed by MMAR or Brem without the use, directly or indirectly, of any Confidential Information; or (iv) MMAR or Brem rightfully obtains from a third party who has the right to transfer or disclose it.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Non-Use and Non-Disclosure</w:t>
      </w:r>
      <w:r>
        <w:rPr>
          <w:rFonts w:ascii="Times New Roman;sans-serif" w:hAnsi="Times New Roman;sans-serif"/>
          <w:b w:val="false"/>
          <w:color w:val="000000"/>
          <w:sz w:val="24"/>
        </w:rPr>
        <w:t>. Except to the extent necessary to perform the Consulting Services, neither MMAR nor Brem shall reproduce, use, distribute, disclose or otherwise disseminate Confidential Information. Neither MMAR nor Brem shall cause, through action or inaction, any Confidential Information to become non-confidential. Neither MMAR nor Brem shall remove Confidential Information from the Company or Company-designated locations or devices, except as expressly permitted by the Company in writing. In the event MMAR or Brem are required to disclose any Confidential Information pursuant to judicial order or other legal mandate, MMAR and/or Brem shall promptly notify the Company to enable the Company to seek a protective order or similar remedy to prevent such disclosure. If the Company is unable to obtain a protective order or similar remedy, MMAR and Brem agree to only disclose that portion of the Confidential Information that is required to be disclosed and to maintain the confidentiality of any other Confidential Information.</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Third Party Confidential Information</w:t>
      </w:r>
      <w:r>
        <w:rPr>
          <w:rFonts w:ascii="Times New Roman;sans-serif" w:hAnsi="Times New Roman;sans-serif"/>
          <w:b w:val="false"/>
          <w:color w:val="000000"/>
          <w:sz w:val="24"/>
        </w:rPr>
        <w:t xml:space="preserve">. MMAR and Brem shall not improperly use or disclose any proprietary information, confidential information, or trade secrets of any former or current employer or other person or entity with which MMAR or Brem has an agreement or duty to keep in such information or secrets confidential. </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Notwithstanding anything herein to the contrary, nothing in this Agreement shall (i) prohibit MMAR or Brem from making reports of possible violations of federal law or regulation to any governmental agency or entity in accordance with the provisions of and rules promulgated under Section 21F of the Securities Exchange Act of 1934 or Section 806 of the Sarbanes-Oxley Act of 2002, or of any other whistleblower protection provisions of state or federal law or regulation, or (ii) require notification or prior approval by the Company of any reporting described in this clause 3(d).</w:t>
      </w:r>
    </w:p>
    <w:p>
      <w:pPr>
        <w:pStyle w:val="TextBody"/>
        <w:bidi w:val="0"/>
        <w:spacing w:lineRule="auto" w:line="240" w:before="240" w:after="283"/>
        <w:ind w:left="0" w:right="0" w:firstLine="720"/>
        <w:jc w:val="both"/>
        <w:rPr/>
      </w:pPr>
      <w:r>
        <w:rPr>
          <w:rFonts w:ascii="Times New Roman;sans-serif" w:hAnsi="Times New Roman;sans-serif"/>
          <w:b w:val="false"/>
          <w:color w:val="010000"/>
          <w:sz w:val="24"/>
        </w:rPr>
        <w:t>4.</w:t>
      </w:r>
      <w:r>
        <w:rPr>
          <w:rFonts w:ascii="Times New Roman;sans-serif" w:hAnsi="Times New Roman;sans-serif"/>
          <w:b w:val="false"/>
          <w:color w:val="000000"/>
          <w:sz w:val="24"/>
          <w:u w:val="single"/>
        </w:rPr>
        <w:t>Return of Company Property and Information</w:t>
      </w:r>
      <w:r>
        <w:rPr>
          <w:rFonts w:ascii="Times New Roman;sans-serif" w:hAnsi="Times New Roman;sans-serif"/>
          <w:b w:val="false"/>
          <w:color w:val="000000"/>
          <w:sz w:val="24"/>
        </w:rPr>
        <w:t xml:space="preserve">. At the Company’s request, MMAR and Brem shall deliver to the Company the originals and all copies of such documents and materials and any other property of any nature belonging to the Company or relating to the Company’s business in MMAR or Brem’s possession or control, including all forms of Confidential Information and other Company Property. In the event of termination of this Agreement, MMAR and Brem shall return all such property and Confidential Information (original, hard and electronic copies), including permanently deleting any Confidential Information stored in MMAR and Brem’s personal computers or any mobile, cloud, or other storage medium. </w:t>
      </w:r>
    </w:p>
    <w:p>
      <w:pPr>
        <w:pStyle w:val="TextBody"/>
        <w:bidi w:val="0"/>
        <w:spacing w:lineRule="auto" w:line="240" w:before="240" w:after="283"/>
        <w:ind w:left="0" w:right="0" w:firstLine="720"/>
        <w:jc w:val="both"/>
        <w:rPr/>
      </w:pPr>
      <w:r>
        <w:rPr>
          <w:rFonts w:ascii="Times New Roman;sans-serif" w:hAnsi="Times New Roman;sans-serif"/>
          <w:b w:val="false"/>
          <w:color w:val="010000"/>
          <w:sz w:val="24"/>
        </w:rPr>
        <w:t>5.</w:t>
      </w:r>
      <w:r>
        <w:rPr>
          <w:rFonts w:ascii="Times New Roman;sans-serif" w:hAnsi="Times New Roman;sans-serif"/>
          <w:b w:val="false"/>
          <w:color w:val="000000"/>
          <w:sz w:val="24"/>
          <w:u w:val="single"/>
        </w:rPr>
        <w:t>Compliance with the Company’s Code of Ethics</w:t>
      </w:r>
      <w:r>
        <w:rPr>
          <w:rFonts w:ascii="Times New Roman;sans-serif" w:hAnsi="Times New Roman;sans-serif"/>
          <w:b w:val="false"/>
          <w:color w:val="000000"/>
          <w:sz w:val="24"/>
        </w:rPr>
        <w:t>: Brem acknowledges that in the performance of the Consulting Services he may become aware of information that is either sensitive or confidential in nature. As such, Brem agrees to abide by the Partnership’s Code of Ethics, contained in the Partnership’s Global Compliance Manual and the Company’s Code of Conduct and Ethics (collectively, “</w:t>
      </w:r>
      <w:r>
        <w:rPr>
          <w:rFonts w:ascii="Times New Roman;sans-serif" w:hAnsi="Times New Roman;sans-serif"/>
          <w:b w:val="false"/>
          <w:color w:val="000000"/>
          <w:sz w:val="24"/>
          <w:u w:val="single"/>
        </w:rPr>
        <w:t>Code of Ethics</w:t>
      </w:r>
      <w:r>
        <w:rPr>
          <w:color w:val="000000"/>
        </w:rPr>
        <w:t>”</w:t>
      </w:r>
      <w:r>
        <w:rPr>
          <w:rFonts w:ascii="Times New Roman;sans-serif" w:hAnsi="Times New Roman;sans-serif"/>
          <w:b w:val="false"/>
          <w:color w:val="000000"/>
          <w:sz w:val="24"/>
        </w:rPr>
        <w:t>). By signing this Agreement, Brem acknowledges that he has received, read and understands the Code of Ethics and that he will comply with its requirements, with the sole exception being that Brem is not required to: (a) report ore pre-clear personal trading transactions on ComplySci (but, for the avoidance of doubt, must pre-clear trades relating to the equity of the Company with the Chief Legal Officer and Chief Compliance Officer); or (b) complete quarterly or annual compliance reports on ComplySci. Brem acknowledges and agrees that he may not transact in any security or recommend a transaction to others if Brem thinks he might have access to material non-public information regarding such transaction. If Brem thinks he might have access to material non-public information regarding a proposed transaction, he agrees and is obligated to: (1) report the information and potential transaction to the Chief Compliance Officer; (2) refrain from purchasing or selling securities until expressly authorized by the Chief Compliance Officer; and (3) avoid communicating the information inside or outside of the Company, other than to the Chief Compliance Officer.</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ans-serif" w:hAnsi="Times New Roman;sans-serif"/>
          <w:b w:val="false"/>
          <w:color w:val="010000"/>
          <w:sz w:val="24"/>
        </w:rPr>
        <w:t>6.</w:t>
      </w:r>
      <w:r>
        <w:rPr>
          <w:rFonts w:ascii="Times New Roman;sans-serif" w:hAnsi="Times New Roman;sans-serif"/>
          <w:b w:val="false"/>
          <w:color w:val="000000"/>
          <w:sz w:val="24"/>
          <w:u w:val="single"/>
        </w:rPr>
        <w:t>Defend Trade Secrets Act</w:t>
      </w:r>
      <w:r>
        <w:rPr>
          <w:rFonts w:ascii="Times New Roman;sans-serif" w:hAnsi="Times New Roman;sans-serif"/>
          <w:b w:val="false"/>
          <w:color w:val="000000"/>
          <w:sz w:val="24"/>
        </w:rPr>
        <w:t xml:space="preserve">. Pursuant to the Defend Trade Secrets Act of 2016, neither MMAR nor Brem shall be held criminally, or civilly, liable under any Federal or State trade secret law for the disclosure of a trade secret that is made in confidence either directly or indirectly to a Federal, State, or local government official, or an attorney, for the sole purpose of reporting, or investigating, a violation of law. MMAR or Brem may disclose trade secrets in a complaint, or other document, filed in a lawsuit, or other proceeding, </w:t>
      </w:r>
      <w:r>
        <w:rPr>
          <w:rFonts w:ascii="Times New Roman;sans-serif" w:hAnsi="Times New Roman;sans-serif"/>
          <w:b w:val="false"/>
          <w:i/>
          <w:color w:val="000000"/>
          <w:sz w:val="24"/>
        </w:rPr>
        <w:t>if</w:t>
      </w:r>
      <w:r>
        <w:rPr>
          <w:color w:val="000000"/>
        </w:rPr>
        <w:t xml:space="preserve"> </w:t>
      </w:r>
      <w:r>
        <w:rPr>
          <w:rFonts w:ascii="Times New Roman;sans-serif" w:hAnsi="Times New Roman;sans-serif"/>
          <w:b w:val="false"/>
          <w:color w:val="000000"/>
          <w:sz w:val="24"/>
        </w:rPr>
        <w:t xml:space="preserve">such filing is made under seal. If MMAR or Brem files a lawsuit alleging retaliation by the Company for reporting a suspected violation of the law, MMAR or Brem may disclose the trade secret to their attorney and use the trade secret in the court proceeding, </w:t>
      </w:r>
      <w:r>
        <w:rPr>
          <w:rFonts w:ascii="Times New Roman;sans-serif" w:hAnsi="Times New Roman;sans-serif"/>
          <w:b w:val="false"/>
          <w:i/>
          <w:color w:val="000000"/>
          <w:sz w:val="24"/>
        </w:rPr>
        <w:t xml:space="preserve">if </w:t>
      </w:r>
      <w:r>
        <w:rPr>
          <w:rFonts w:ascii="Times New Roman;sans-serif" w:hAnsi="Times New Roman;sans-serif"/>
          <w:b w:val="false"/>
          <w:color w:val="000000"/>
          <w:sz w:val="24"/>
        </w:rPr>
        <w:t xml:space="preserve">MMAR or Brem files any document containing the trade secret under seal and does not disclose the trade secret, except pursuant to court order. </w:t>
      </w:r>
    </w:p>
    <w:p>
      <w:pPr>
        <w:pStyle w:val="TextBody"/>
        <w:bidi w:val="0"/>
        <w:spacing w:lineRule="auto" w:line="240" w:before="240" w:after="283"/>
        <w:ind w:left="0" w:right="0" w:firstLine="720"/>
        <w:jc w:val="left"/>
        <w:rPr/>
      </w:pPr>
      <w:r>
        <w:rPr>
          <w:rFonts w:ascii="Times New Roman;sans-serif" w:hAnsi="Times New Roman;sans-serif"/>
          <w:b w:val="false"/>
          <w:color w:val="010000"/>
          <w:sz w:val="24"/>
        </w:rPr>
        <w:t>7.</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Assignment</w:t>
      </w:r>
      <w:r>
        <w:rPr>
          <w:rFonts w:ascii="Times New Roman;sans-serif" w:hAnsi="Times New Roman;sans-serif"/>
          <w:b w:val="false"/>
          <w:color w:val="000000"/>
          <w:sz w:val="24"/>
        </w:rPr>
        <w:t xml:space="preserve">. None of the Partnership, Company, MMAR or Brem may make any assignment of this Agreement or any interest herein, by operation of law or otherwise, without the prior written consent of the other;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the Partnership and the Company may assign its respective rights and obligations under this Agreement without the consent of MMAR or Brem in the event that the Partnership or the Company shall hereafter effect a reorganization, consolidate with, or merge into, any person or transfer all or substantially all of its properties or assets to any person. This Agreement shall inure to the benefit of and be binding upon the Partnership, the Company, MMAR and Brem, their respective successors, executors, administrators, heirs and permitted assigns.</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This Agreement may be amended or modified only by a written instrument signed by MMAR and Brem and by an expressly authorized representative of the Company.</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The headings and captions in this Agreement are for convenience only, and in no way define or describe the scope or content of any provision of this Agreement.</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xml:space="preserve">. This Agreement shall be construed and enforced under and be governed in all respects by the laws of the State of New York, without regard to the conflict of laws principles thereof.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Compliance with Section 409A</w:t>
      </w:r>
      <w:r>
        <w:rPr>
          <w:rFonts w:ascii="Times New Roman;sans-serif" w:hAnsi="Times New Roman;sans-serif"/>
          <w:b w:val="false"/>
          <w:color w:val="000000"/>
          <w:sz w:val="24"/>
        </w:rPr>
        <w:t>.</w:t>
      </w:r>
    </w:p>
    <w:p>
      <w:pPr>
        <w:pStyle w:val="TextBody"/>
        <w:bidi w:val="0"/>
        <w:spacing w:lineRule="auto" w:line="240" w:before="240" w:after="283"/>
        <w:ind w:left="0" w:right="0" w:firstLine="1440"/>
        <w:jc w:val="left"/>
        <w:rPr/>
      </w:pPr>
      <w:r>
        <w:rPr>
          <w:rFonts w:ascii="Times New Roman;sans-serif" w:hAnsi="Times New Roman;sans-serif"/>
          <w:b w:val="false"/>
          <w:color w:val="010000"/>
          <w:sz w:val="24"/>
        </w:rPr>
        <w:t>(i)</w:t>
      </w:r>
      <w:r>
        <w:rPr>
          <w:rFonts w:ascii="Times New Roman;sans-serif" w:hAnsi="Times New Roman;sans-serif"/>
          <w:b w:val="false"/>
          <w:color w:val="000000"/>
          <w:sz w:val="24"/>
        </w:rPr>
        <w:t>This Agreement shall be interpreted to ensure that the payments contemplated hereby to be made by the Partnership to MMAR and/or Brem are exempt from, or comply with, Section 409A of the Internal Revenue Code of 1986, as amended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w:t>
      </w:r>
    </w:p>
    <w:p>
      <w:pPr>
        <w:pStyle w:val="TextBody"/>
        <w:bidi w:val="0"/>
        <w:spacing w:lineRule="auto" w:line="240" w:before="240" w:after="283"/>
        <w:ind w:left="0" w:right="0" w:firstLine="1440"/>
        <w:jc w:val="left"/>
        <w:rPr/>
      </w:pPr>
      <w:r>
        <w:rPr>
          <w:rFonts w:ascii="Times New Roman;sans-serif" w:hAnsi="Times New Roman;sans-serif"/>
          <w:b w:val="false"/>
          <w:color w:val="010000"/>
          <w:sz w:val="24"/>
        </w:rPr>
        <w:t>(ii)</w:t>
      </w:r>
      <w:r>
        <w:rPr>
          <w:rFonts w:ascii="Times New Roman;sans-serif" w:hAnsi="Times New Roman;sans-serif"/>
          <w:b w:val="false"/>
          <w:color w:val="000000"/>
          <w:sz w:val="24"/>
        </w:rPr>
        <w:t>Any payment by the Partnership to MMAR or Brem under this Agreement that is subject to Section 409A and that is contingent on a termination of employment is contingent on a “separation from service” within the meaning of Section 409A. Each such payment shall be considered to be a separate payment for purposes of Section 409A.</w:t>
      </w:r>
    </w:p>
    <w:p>
      <w:pPr>
        <w:pStyle w:val="TextBody"/>
        <w:bidi w:val="0"/>
        <w:spacing w:lineRule="auto" w:line="240" w:before="240" w:after="283"/>
        <w:ind w:left="0" w:right="0" w:firstLine="1440"/>
        <w:jc w:val="left"/>
        <w:rPr/>
      </w:pPr>
      <w:r>
        <w:rPr>
          <w:rFonts w:ascii="Times New Roman;sans-serif" w:hAnsi="Times New Roman;sans-serif"/>
          <w:b w:val="false"/>
          <w:color w:val="010000"/>
          <w:sz w:val="24"/>
        </w:rPr>
        <w:t>(iii)</w:t>
      </w:r>
      <w:r>
        <w:rPr>
          <w:rFonts w:ascii="Times New Roman;sans-serif" w:hAnsi="Times New Roman;sans-serif"/>
          <w:b w:val="false"/>
          <w:color w:val="000000"/>
          <w:sz w:val="24"/>
        </w:rPr>
        <w:t>Each payment that is a part of a series of installment payments shall be treated as separate payments.</w:t>
      </w:r>
    </w:p>
    <w:p>
      <w:pPr>
        <w:pStyle w:val="TextBody"/>
        <w:bidi w:val="0"/>
        <w:spacing w:lineRule="auto" w:line="240" w:before="240" w:after="283"/>
        <w:ind w:left="0" w:right="0" w:firstLine="1440"/>
        <w:jc w:val="left"/>
        <w:rPr/>
      </w:pPr>
      <w:r>
        <w:rPr>
          <w:rFonts w:ascii="Times New Roman;sans-serif" w:hAnsi="Times New Roman;sans-serif"/>
          <w:b w:val="false"/>
          <w:color w:val="010000"/>
          <w:sz w:val="24"/>
        </w:rPr>
        <w:t>(iv)</w:t>
      </w:r>
      <w:r>
        <w:rPr>
          <w:rFonts w:ascii="Times New Roman;sans-serif" w:hAnsi="Times New Roman;sans-serif"/>
          <w:b w:val="false"/>
          <w:color w:val="000000"/>
          <w:sz w:val="24"/>
        </w:rPr>
        <w:t>If, upon separation from service, Brem is a “specified employee” within the meaning of Section 409A, any payment under this Agreement that is subject to Section 409A and not exempt from Section 409A as a short-term deferral or otherwise and would otherwise be paid within six (6) months after Brem’s separation from service will instead be paid in the seventh month following Brem’s separation from service (to the extent required by Section 409A(a)(2)(B)(i)), or, if sooner, upon Brem’s death.</w:t>
      </w:r>
    </w:p>
    <w:p>
      <w:pPr>
        <w:pStyle w:val="TextBody"/>
        <w:bidi w:val="0"/>
        <w:spacing w:lineRule="auto" w:line="240" w:before="240" w:after="283"/>
        <w:ind w:left="0" w:right="0" w:firstLine="1440"/>
        <w:jc w:val="left"/>
        <w:rPr/>
      </w:pPr>
      <w:r>
        <w:rPr>
          <w:rFonts w:ascii="Times New Roman;sans-serif" w:hAnsi="Times New Roman;sans-serif"/>
          <w:b w:val="false"/>
          <w:color w:val="010000"/>
          <w:sz w:val="24"/>
        </w:rPr>
        <w:t>(v)</w:t>
      </w:r>
      <w:r>
        <w:rPr>
          <w:rFonts w:ascii="Times New Roman;sans-serif" w:hAnsi="Times New Roman;sans-serif"/>
          <w:b w:val="false"/>
          <w:color w:val="000000"/>
          <w:sz w:val="24"/>
        </w:rPr>
        <w:t>Any taxable reimbursement due under the terms of this Agreement shall be paid no later than December 31 of the year after the year in which the expense is incurred and shall comply with Treas. Reg. § 1.409A-3(i)(1)(iv).</w:t>
      </w:r>
    </w:p>
    <w:p>
      <w:pPr>
        <w:pStyle w:val="TextBody"/>
        <w:bidi w:val="0"/>
        <w:spacing w:lineRule="auto" w:line="240" w:before="240" w:after="283"/>
        <w:ind w:left="0" w:right="0" w:firstLine="1440"/>
        <w:jc w:val="left"/>
        <w:rPr/>
      </w:pPr>
      <w:r>
        <w:rPr>
          <w:rFonts w:ascii="Times New Roman;sans-serif" w:hAnsi="Times New Roman;sans-serif"/>
          <w:b w:val="false"/>
          <w:color w:val="010000"/>
          <w:sz w:val="24"/>
        </w:rPr>
        <w:t>(vi)</w:t>
      </w:r>
      <w:r>
        <w:rPr>
          <w:rFonts w:ascii="Times New Roman;sans-serif" w:hAnsi="Times New Roman;sans-serif"/>
          <w:b w:val="false"/>
          <w:color w:val="000000"/>
          <w:sz w:val="24"/>
        </w:rPr>
        <w:t>For the avoidance of doubt, neither MMAR nor Brem shall not be entitled to receive from the Partnership or the Company a gross-up, an indemnity, a reimbursement or any other form of payment for any taxes incurred by Brem under Section 409A.</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Entire Agreement; Amendments and Waivers</w:t>
      </w:r>
      <w:r>
        <w:rPr>
          <w:rFonts w:ascii="Times New Roman;sans-serif" w:hAnsi="Times New Roman;sans-serif"/>
          <w:b w:val="false"/>
          <w:color w:val="000000"/>
          <w:sz w:val="24"/>
        </w:rPr>
        <w:t xml:space="preserve">. This Agreement constitutes the entire agreement among the Parties pertaining to the subject matter hereof and supersedes all prior and contemporaneous agreements, understandings, negotiations and discussions, whether oral or written, of the parties with respect to such subject matter. </w:t>
      </w:r>
    </w:p>
    <w:p>
      <w:pPr>
        <w:pStyle w:val="TextBody"/>
        <w:bidi w:val="0"/>
        <w:spacing w:lineRule="auto" w:line="240" w:before="24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counterparts, each of which shall for all purposes be deemed to be an original and all of which shall constitute the same instrument.</w:t>
      </w:r>
    </w:p>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[Signatures are on the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each of the parties hereto has caused this Agreement to be duly executed and effective as of the Effective Date.</w:t>
      </w:r>
    </w:p>
    <w:p>
      <w:pPr>
        <w:pStyle w:val="TextBody"/>
        <w:bidi w:val="0"/>
        <w:spacing w:before="240" w:after="283"/>
        <w:jc w:val="left"/>
        <w:rPr/>
      </w:pPr>
      <w:r>
        <w:rPr/>
      </w:r>
    </w:p>
    <w:p>
      <w:pPr>
        <w:pStyle w:val="TextBody"/>
        <w:bidi w:val="0"/>
        <w:spacing w:lineRule="auto" w:line="240" w:before="600" w:after="283"/>
        <w:jc w:val="left"/>
        <w:rPr/>
      </w:pPr>
      <w:r>
        <w:rPr>
          <w:rFonts w:ascii="Times New Roman;sans-serif" w:hAnsi="Times New Roman;sans-serif"/>
          <w:b w:val="false"/>
          <w:color w:val="000000"/>
          <w:sz w:val="24"/>
          <w:u w:val="single"/>
        </w:rPr>
        <w:t>/s/ Monte M. Brem    </w:t>
      </w:r>
      <w:r>
        <w:rPr>
          <w:rFonts w:ascii="Times New Roman;sans-serif" w:hAnsi="Times New Roman;sans-serif"/>
          <w:b w:val="false"/>
          <w:color w:val="000000"/>
          <w:sz w:val="24"/>
        </w:rPr>
        <w:br/>
        <w:t>Monte M. Brem</w:t>
      </w:r>
    </w:p>
    <w:p>
      <w:pPr>
        <w:pStyle w:val="TextBody"/>
        <w:bidi w:val="0"/>
        <w:spacing w:before="240" w:after="283"/>
        <w:jc w:val="left"/>
        <w:rPr/>
      </w:pPr>
      <w:r>
        <w:rPr/>
      </w:r>
    </w:p>
    <w:p>
      <w:pPr>
        <w:pStyle w:val="TextBody"/>
        <w:bidi w:val="0"/>
        <w:spacing w:lineRule="auto" w:line="240" w:before="240" w:after="283"/>
        <w:jc w:val="left"/>
        <w:rPr>
          <w:rFonts w:ascii="Times New Roman;sans-serif" w:hAnsi="Times New Roman;sans-serif"/>
          <w:b/>
          <w:color w:val="000000"/>
          <w:sz w:val="24"/>
        </w:rPr>
      </w:pPr>
      <w:r>
        <w:rPr>
          <w:rFonts w:ascii="Times New Roman;sans-serif" w:hAnsi="Times New Roman;sans-serif"/>
          <w:b/>
          <w:color w:val="000000"/>
          <w:sz w:val="24"/>
        </w:rPr>
        <w:t>MMAR:</w:t>
      </w:r>
    </w:p>
    <w:p>
      <w:pPr>
        <w:pStyle w:val="TextBody"/>
        <w:bidi w:val="0"/>
        <w:spacing w:lineRule="auto" w:line="240" w:before="240" w:after="240"/>
        <w:jc w:val="left"/>
        <w:rPr>
          <w:rFonts w:ascii="Times New Roman;sans-serif" w:hAnsi="Times New Roman;sans-serif"/>
          <w:b w:val="false"/>
          <w:color w:val="000000"/>
          <w:sz w:val="24"/>
        </w:rPr>
      </w:pPr>
      <w:r>
        <w:rPr>
          <w:rFonts w:ascii="Times New Roman;sans-serif" w:hAnsi="Times New Roman;sans-serif"/>
          <w:b w:val="false"/>
          <w:color w:val="000000"/>
          <w:sz w:val="24"/>
        </w:rPr>
        <w:t>MMAR HNL, LLC</w:t>
      </w:r>
    </w:p>
    <w:p>
      <w:pPr>
        <w:pStyle w:val="TextBody"/>
        <w:bidi w:val="0"/>
        <w:spacing w:before="240" w:after="283"/>
        <w:jc w:val="left"/>
        <w:rPr/>
      </w:pPr>
      <w:r>
        <w:rPr/>
      </w:r>
    </w:p>
    <w:p>
      <w:pPr>
        <w:pStyle w:val="TextBody"/>
        <w:bidi w:val="0"/>
        <w:spacing w:lineRule="auto" w:line="240" w:before="24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Monte M. Brem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Monte M. Brem</w:t>
        <w:br/>
        <w:t>Title: Manager</w:t>
      </w:r>
    </w:p>
    <w:p>
      <w:pPr>
        <w:pStyle w:val="TextBody"/>
        <w:bidi w:val="0"/>
        <w:spacing w:before="240" w:after="283"/>
        <w:jc w:val="left"/>
        <w:rPr/>
      </w:pPr>
      <w:r>
        <w:rPr/>
      </w:r>
    </w:p>
    <w:p>
      <w:pPr>
        <w:pStyle w:val="TextBody"/>
        <w:bidi w:val="0"/>
        <w:spacing w:lineRule="auto" w:line="240" w:before="240" w:after="283"/>
        <w:jc w:val="left"/>
        <w:rPr>
          <w:rFonts w:ascii="Times New Roman;sans-serif" w:hAnsi="Times New Roman;sans-serif"/>
          <w:b/>
          <w:color w:val="000000"/>
          <w:sz w:val="24"/>
        </w:rPr>
      </w:pPr>
      <w:r>
        <w:rPr>
          <w:rFonts w:ascii="Times New Roman;sans-serif" w:hAnsi="Times New Roman;sans-serif"/>
          <w:b/>
          <w:color w:val="000000"/>
          <w:sz w:val="24"/>
        </w:rPr>
        <w:t>COMPANY:</w:t>
      </w:r>
    </w:p>
    <w:p>
      <w:pPr>
        <w:pStyle w:val="TextBody"/>
        <w:bidi w:val="0"/>
        <w:spacing w:lineRule="auto" w:line="240" w:before="24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STEPSTONE GROUP INC.</w:t>
      </w:r>
    </w:p>
    <w:p>
      <w:pPr>
        <w:pStyle w:val="TextBody"/>
        <w:bidi w:val="0"/>
        <w:spacing w:before="240" w:after="283"/>
        <w:jc w:val="left"/>
        <w:rPr/>
      </w:pPr>
      <w:r>
        <w:rPr/>
      </w:r>
    </w:p>
    <w:p>
      <w:pPr>
        <w:pStyle w:val="TextBody"/>
        <w:bidi w:val="0"/>
        <w:spacing w:lineRule="auto" w:line="240" w:before="24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Scott Hart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Scott Hart </w:t>
        <w:br/>
        <w:t>Title: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240" w:after="283"/>
        <w:jc w:val="left"/>
        <w:rPr>
          <w:rFonts w:ascii="Times New Roman;sans-serif" w:hAnsi="Times New Roman;sans-serif"/>
          <w:b/>
          <w:color w:val="000000"/>
          <w:sz w:val="24"/>
        </w:rPr>
      </w:pPr>
      <w:r>
        <w:rPr>
          <w:rFonts w:ascii="Times New Roman;sans-serif" w:hAnsi="Times New Roman;sans-serif"/>
          <w:b/>
          <w:color w:val="000000"/>
          <w:sz w:val="24"/>
        </w:rPr>
        <w:t>PARTNERSHIP:</w:t>
      </w:r>
    </w:p>
    <w:p>
      <w:pPr>
        <w:pStyle w:val="TextBody"/>
        <w:bidi w:val="0"/>
        <w:spacing w:lineRule="auto" w:line="240" w:before="24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STEPSTONE GROUP LP</w:t>
      </w:r>
    </w:p>
    <w:p>
      <w:pPr>
        <w:pStyle w:val="TextBody"/>
        <w:bidi w:val="0"/>
        <w:spacing w:lineRule="auto" w:line="240" w:before="240" w:after="240"/>
        <w:jc w:val="left"/>
        <w:rPr>
          <w:rFonts w:ascii="Times New Roman;sans-serif" w:hAnsi="Times New Roman;sans-serif"/>
          <w:b w:val="false"/>
          <w:color w:val="000000"/>
          <w:sz w:val="24"/>
        </w:rPr>
      </w:pPr>
      <w:r>
        <w:rPr>
          <w:rFonts w:ascii="Times New Roman;sans-serif" w:hAnsi="Times New Roman;sans-serif"/>
          <w:b w:val="false"/>
          <w:color w:val="000000"/>
          <w:sz w:val="24"/>
        </w:rPr>
        <w:t>By: StepStone Group Holdings LLC, its general partner</w:t>
      </w:r>
    </w:p>
    <w:p>
      <w:pPr>
        <w:pStyle w:val="TextBody"/>
        <w:bidi w:val="0"/>
        <w:spacing w:before="240" w:after="283"/>
        <w:jc w:val="left"/>
        <w:rPr/>
      </w:pPr>
      <w:r>
        <w:rPr/>
      </w:r>
    </w:p>
    <w:p>
      <w:pPr>
        <w:pStyle w:val="TextBody"/>
        <w:bidi w:val="0"/>
        <w:spacing w:lineRule="auto" w:line="240" w:before="24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Scott Hart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Scott Hart</w:t>
        <w:br/>
        <w:t>Title:     Partner, Chief Executive Officer</w:t>
      </w:r>
    </w:p>
    <w:p>
      <w:pPr>
        <w:pStyle w:val="TextBody"/>
        <w:bidi w:val="0"/>
        <w:spacing w:before="0" w:after="0"/>
        <w:jc w:val="left"/>
        <w:rPr/>
      </w:pPr>
      <w:r>
        <w:rPr/>
      </w:r>
    </w:p>
    <w:p>
      <w:pPr>
        <w:pStyle w:val="TextBody"/>
        <w:bidi w:val="0"/>
        <w:spacing w:before="24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31.1</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0520"/>
                <wp:effectExtent l="0" t="0" r="0" b="0"/>
                <wp:wrapNone/>
                <wp:docPr id="82" name="Frame8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Consulting Services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Consulting Services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BY THE CHIEF EXECUTIVE OFFICER PURSUANT TO SECTION 302 OF THE SARBANES-OXLEY ACT OF 2002</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 Scott W. Hart, certify that: </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StepStone Group Inc.;</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d.Disclosed in this report any change in the registrant’s internal control over financial reporting that occurred during the registrant’s most recent fiscal quarter (the registrant’s fourth fiscal quarter in </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tbl>
      <w:tblPr>
        <w:tblW w:w="5399" w:type="dxa"/>
        <w:jc w:val="left"/>
        <w:tblInd w:w="0" w:type="dxa"/>
        <w:tblLayout w:type="fixed"/>
        <w:tblCellMar>
          <w:top w:w="28" w:type="dxa"/>
          <w:left w:w="28" w:type="dxa"/>
          <w:bottom w:w="28" w:type="dxa"/>
          <w:right w:w="28" w:type="dxa"/>
        </w:tblCellMar>
      </w:tblPr>
      <w:tblGrid>
        <w:gridCol w:w="771"/>
        <w:gridCol w:w="678"/>
        <w:gridCol w:w="681"/>
        <w:gridCol w:w="144"/>
        <w:gridCol w:w="144"/>
        <w:gridCol w:w="146"/>
        <w:gridCol w:w="826"/>
        <w:gridCol w:w="826"/>
        <w:gridCol w:w="1183"/>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August 7, 2023</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Scott W. Hart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Scott W. Hart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31.2</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CERTIFICATION BY THE CHIEF FINANCIAL OFFICER PURSUANT TO SECTION 302 OF THE SARBANES-OXLEY ACT OF 2002</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 Johnny D. Randel, certify that: </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StepStone Group Inc.;</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tbl>
      <w:tblPr>
        <w:tblW w:w="5399" w:type="dxa"/>
        <w:jc w:val="left"/>
        <w:tblInd w:w="0" w:type="dxa"/>
        <w:tblLayout w:type="fixed"/>
        <w:tblCellMar>
          <w:top w:w="28" w:type="dxa"/>
          <w:left w:w="28" w:type="dxa"/>
          <w:bottom w:w="28" w:type="dxa"/>
          <w:right w:w="28" w:type="dxa"/>
        </w:tblCellMar>
      </w:tblPr>
      <w:tblGrid>
        <w:gridCol w:w="771"/>
        <w:gridCol w:w="678"/>
        <w:gridCol w:w="681"/>
        <w:gridCol w:w="144"/>
        <w:gridCol w:w="144"/>
        <w:gridCol w:w="146"/>
        <w:gridCol w:w="828"/>
        <w:gridCol w:w="828"/>
        <w:gridCol w:w="1179"/>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August 7, 2023</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Johnny D. Randel</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Johnny D. Randel</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32.1</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Quarterly Report of StepStone Group Inc. (the “Company”) on Form 10-Q for the three months ended June 30, 2023, as filed with the Securities and Exchange Commission (the “SEC”) on or about the date hereof (the “Report”), I, Scott W. Hart, Chief Executive Officer of the Company certify, pursuant to 18 U.S.C. Section 1350, as adopted pursuant to Section 906 of the Sarbanes-Oxley Act of 2002, that to my knowledge: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 xml:space="preserve">The Report fully complies with the requirements of Section 13(a) or 15(d) of the Securities Exchange Act of 1934, as amended; and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The information contained in the Report fairly presents, in all material respects, the financial condition and results of operations of the Company.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Date: August 7, 2023</w:t>
      </w:r>
    </w:p>
    <w:tbl>
      <w:tblPr>
        <w:tblW w:w="3611"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826"/>
        <w:gridCol w:w="826"/>
        <w:gridCol w:w="11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Scott W. 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Scott W. 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(Principal Executive Officer)</w:t>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signed original of this written statement required by Section 906 has been provided to the Company and will be retained by the Company and furnished to the SEC or its staff 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32.2</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Quarterly Report of StepStone Group Inc. (the “Company”) on Form 10-Q for the three months ended June 30, 2023, as filed with the Securities and Exchange Commission (the “SEC”) on or about the date hereof (the “Report”), I, Johnny D. Randel, Chief Financial Officer of the Company certify, pursuant to 18 U.S.C. Section 1350, as adopted pursuant to Section 906 of the Sarbanes-Oxley Act of 2002, that to my knowledge: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 xml:space="preserve">The Report fully complies with the requirements of Section 13(a) or 15(d) of the Securities Exchange Act of 1934, as amended; and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The information contained in the Report fairly presents, in all material respects, the financial condition and results of operations of the Company.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Date: August 7, 2023</w:t>
      </w:r>
    </w:p>
    <w:tbl>
      <w:tblPr>
        <w:tblW w:w="3611"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828"/>
        <w:gridCol w:w="828"/>
        <w:gridCol w:w="11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Johnny D. Randel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Johnny D. Randel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(Principal Financial Officer)</w:t>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signed original of this written statement required by Section 906 has been provided to the Company and will be retained by the Company and furnished to the SEC or its staff 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96022/000119312520248881/d23934dex31.htm" TargetMode="External"/><Relationship Id="rId4" Type="http://schemas.openxmlformats.org/officeDocument/2006/relationships/hyperlink" Target="https://www.sec.gov/Archives/edgar/data/1796022/000119312520248881/d23934dex31.htm" TargetMode="External"/><Relationship Id="rId5" Type="http://schemas.openxmlformats.org/officeDocument/2006/relationships/hyperlink" Target="https://www.sec.gov/Archives/edgar/data/1796022/000179602223000011/exhibit32q3fy2023.htm" TargetMode="External"/><Relationship Id="rId6" Type="http://schemas.openxmlformats.org/officeDocument/2006/relationships/hyperlink" Target="https://www.sec.gov/Archives/edgar/data/1796022/000179602223000011/exhibit32q3fy2023.htm" TargetMode="External"/><Relationship Id="rId7" Type="http://schemas.openxmlformats.org/officeDocument/2006/relationships/hyperlink" Target="https://www.sec.gov/Archives/edgar/data/1796022/000179602223000033/exhibit1012-conformedcre.htm" TargetMode="External"/><Relationship Id="rId8" Type="http://schemas.openxmlformats.org/officeDocument/2006/relationships/hyperlink" Target="https://www.sec.gov/Archives/edgar/data/1796022/000179602223000033/exhibit1012-conformedcre.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37100</Words>
  <Characters>210775</Characters>
  <CharactersWithSpaces>246098</CharactersWithSpaces>
  <Paragraphs>2837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