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7"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December 31,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82" w:lineRule="exact"/>
        <w:rPr>
          <w:sz w:val="24"/>
          <w:szCs w:val="24"/>
          <w:color w:val="auto"/>
        </w:rPr>
      </w:pPr>
    </w:p>
    <w:p>
      <w:pPr>
        <w:ind w:left="2520" w:right="2500" w:hanging="2454"/>
        <w:spacing w:after="0" w:line="425" w:lineRule="auto"/>
        <w:tabs>
          <w:tab w:leader="none" w:pos="385"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001-39510</w:t>
      </w:r>
    </w:p>
    <w:p>
      <w:pPr>
        <w:spacing w:after="0" w:line="41" w:lineRule="exact"/>
        <w:rPr>
          <w:sz w:val="24"/>
          <w:szCs w:val="24"/>
          <w:color w:val="auto"/>
        </w:rPr>
      </w:pPr>
    </w:p>
    <w:tbl>
      <w:tblPr>
        <w:tblLayout w:type="fixed"/>
        <w:tblInd w:w="1420" w:type="dxa"/>
        <w:tblCellMar>
          <w:top w:w="0" w:type="dxa"/>
          <w:left w:w="0" w:type="dxa"/>
          <w:bottom w:w="0" w:type="dxa"/>
          <w:right w:w="0" w:type="dxa"/>
        </w:tblCellMar>
      </w:tblPr>
      <w:tr>
        <w:trPr>
          <w:trHeight w:val="421"/>
        </w:trPr>
        <w:tc>
          <w:tcPr>
            <w:tcW w:w="120" w:type="dxa"/>
            <w:vAlign w:val="bottom"/>
          </w:tcPr>
          <w:p>
            <w:pPr>
              <w:spacing w:after="0"/>
              <w:rPr>
                <w:sz w:val="24"/>
                <w:szCs w:val="24"/>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32"/>
                <w:szCs w:val="32"/>
                <w:b w:val="1"/>
                <w:bCs w:val="1"/>
                <w:color w:val="auto"/>
                <w:w w:val="99"/>
              </w:rPr>
              <w:t>STEPSTONE GROUP INC.</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ind w:left="219"/>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03"/>
        </w:trPr>
        <w:tc>
          <w:tcPr>
            <w:tcW w:w="120" w:type="dxa"/>
            <w:vAlign w:val="bottom"/>
          </w:tcPr>
          <w:p>
            <w:pPr>
              <w:spacing w:after="0"/>
              <w:rPr>
                <w:sz w:val="17"/>
                <w:szCs w:val="17"/>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right"/>
              <w:ind w:right="708"/>
              <w:spacing w:after="0"/>
              <w:rPr>
                <w:sz w:val="20"/>
                <w:szCs w:val="20"/>
                <w:color w:val="auto"/>
              </w:rPr>
            </w:pPr>
            <w:r>
              <w:rPr>
                <w:rFonts w:ascii="Arial" w:cs="Arial" w:eastAsia="Arial" w:hAnsi="Arial"/>
                <w:sz w:val="14"/>
                <w:szCs w:val="14"/>
                <w:b w:val="1"/>
                <w:bCs w:val="1"/>
                <w:color w:val="auto"/>
              </w:rPr>
              <w:t>84-3868757</w:t>
            </w:r>
          </w:p>
        </w:tc>
      </w:tr>
      <w:tr>
        <w:trPr>
          <w:trHeight w:val="147"/>
        </w:trPr>
        <w:tc>
          <w:tcPr>
            <w:tcW w:w="120" w:type="dxa"/>
            <w:vAlign w:val="bottom"/>
          </w:tcPr>
          <w:p>
            <w:pPr>
              <w:spacing w:after="0"/>
              <w:rPr>
                <w:sz w:val="12"/>
                <w:szCs w:val="12"/>
                <w:color w:val="auto"/>
              </w:rPr>
            </w:pPr>
          </w:p>
        </w:tc>
        <w:tc>
          <w:tcPr>
            <w:tcW w:w="3340" w:type="dxa"/>
            <w:vAlign w:val="bottom"/>
            <w:gridSpan w:val="2"/>
          </w:tcPr>
          <w:p>
            <w:pPr>
              <w:jc w:val="center"/>
              <w:ind w:right="1320"/>
              <w:spacing w:after="0" w:line="147" w:lineRule="exact"/>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Pr>
          <w:p>
            <w:pPr>
              <w:jc w:val="center"/>
              <w:ind w:left="112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120" w:type="dxa"/>
            <w:vAlign w:val="bottom"/>
          </w:tcPr>
          <w:p>
            <w:pPr>
              <w:spacing w:after="0"/>
              <w:rPr>
                <w:sz w:val="15"/>
                <w:szCs w:val="15"/>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1128"/>
              <w:spacing w:after="0"/>
              <w:rPr>
                <w:sz w:val="20"/>
                <w:szCs w:val="20"/>
                <w:color w:val="auto"/>
              </w:rPr>
            </w:pPr>
            <w:r>
              <w:rPr>
                <w:rFonts w:ascii="Arial" w:cs="Arial" w:eastAsia="Arial" w:hAnsi="Arial"/>
                <w:sz w:val="14"/>
                <w:szCs w:val="14"/>
                <w:color w:val="auto"/>
                <w:w w:val="97"/>
              </w:rPr>
              <w:t>Identification No.)</w:t>
            </w:r>
          </w:p>
        </w:tc>
      </w:tr>
      <w:tr>
        <w:trPr>
          <w:trHeight w:val="332"/>
        </w:trPr>
        <w:tc>
          <w:tcPr>
            <w:tcW w:w="34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450 Lexington Avenue, 31st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33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8"/>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88"/>
              <w:spacing w:after="0"/>
              <w:rPr>
                <w:sz w:val="20"/>
                <w:szCs w:val="20"/>
                <w:color w:val="auto"/>
              </w:rPr>
            </w:pPr>
            <w:r>
              <w:rPr>
                <w:rFonts w:ascii="Arial" w:cs="Arial" w:eastAsia="Arial" w:hAnsi="Arial"/>
                <w:sz w:val="14"/>
                <w:szCs w:val="14"/>
                <w:b w:val="1"/>
                <w:bCs w:val="1"/>
                <w:color w:val="auto"/>
              </w:rPr>
              <w:t>10017</w:t>
            </w:r>
          </w:p>
        </w:tc>
      </w:tr>
      <w:tr>
        <w:trPr>
          <w:trHeight w:val="189"/>
        </w:trPr>
        <w:tc>
          <w:tcPr>
            <w:tcW w:w="3460" w:type="dxa"/>
            <w:vAlign w:val="bottom"/>
            <w:gridSpan w:val="3"/>
          </w:tcPr>
          <w:p>
            <w:pPr>
              <w:jc w:val="center"/>
              <w:ind w:right="1180"/>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r>
        <w:trPr>
          <w:trHeight w:val="263"/>
        </w:trPr>
        <w:tc>
          <w:tcPr>
            <w:tcW w:w="1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(212) 351-6100</w:t>
            </w:r>
          </w:p>
        </w:tc>
        <w:tc>
          <w:tcPr>
            <w:tcW w:w="10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182"/>
        </w:trPr>
        <w:tc>
          <w:tcPr>
            <w:tcW w:w="120" w:type="dxa"/>
            <w:vAlign w:val="bottom"/>
          </w:tcPr>
          <w:p>
            <w:pPr>
              <w:spacing w:after="0"/>
              <w:rPr>
                <w:sz w:val="15"/>
                <w:szCs w:val="15"/>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03"/>
        </w:trPr>
        <w:tc>
          <w:tcPr>
            <w:tcW w:w="12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95"/>
        </w:trPr>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Title of each class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Trading Symbol(s)</w:t>
            </w:r>
          </w:p>
        </w:tc>
        <w:tc>
          <w:tcPr>
            <w:tcW w:w="346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86"/>
        </w:trPr>
        <w:tc>
          <w:tcPr>
            <w:tcW w:w="120" w:type="dxa"/>
            <w:vAlign w:val="bottom"/>
          </w:tcPr>
          <w:p>
            <w:pPr>
              <w:spacing w:after="0"/>
              <w:rPr>
                <w:sz w:val="16"/>
                <w:szCs w:val="16"/>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A Common Stock, $0.001 par value per share</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STEP</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0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74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1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39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740"/>
        <w:spacing w:after="0" w:line="261"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As of February 9, 2021, there were 29,237,500 shares of the registrant’s Class A common stock, par value $0.001, and 65,578,831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80" w:type="dxa"/>
            <w:vAlign w:val="bottom"/>
            <w:gridSpan w:val="3"/>
          </w:tcPr>
          <w:p>
            <w:pPr>
              <w:ind w:left="220"/>
              <w:spacing w:after="0"/>
              <w:rPr>
                <w:sz w:val="20"/>
                <w:szCs w:val="20"/>
                <w:color w:val="auto"/>
              </w:rPr>
            </w:pPr>
            <w:r>
              <w:rPr>
                <w:rFonts w:ascii="Arial" w:cs="Arial" w:eastAsia="Arial" w:hAnsi="Arial"/>
                <w:sz w:val="18"/>
                <w:szCs w:val="18"/>
                <w:color w:val="auto"/>
              </w:rPr>
              <w:t>Page</w:t>
            </w:r>
          </w:p>
        </w:tc>
      </w:tr>
      <w:tr>
        <w:trPr>
          <w:trHeight w:val="21"/>
        </w:trPr>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9"/>
        </w:trPr>
        <w:tc>
          <w:tcPr>
            <w:tcW w:w="1026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PART I - FINANCIAL INFORMATION</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10260" w:type="dxa"/>
            <w:vAlign w:val="bottom"/>
            <w:gridSpan w:val="3"/>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 Financial Statements</w:t>
              </w:r>
            </w:hyperlink>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9"/>
        </w:trPr>
        <w:tc>
          <w:tcPr>
            <w:tcW w:w="10260" w:type="dxa"/>
            <w:vAlign w:val="bottom"/>
            <w:gridSpan w:val="3"/>
            <w:shd w:val="clear" w:color="auto" w:fill="CCEEFF"/>
          </w:tcPr>
          <w:p>
            <w:pPr>
              <w:ind w:left="520"/>
              <w:spacing w:after="0" w:line="189" w:lineRule="exact"/>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Balance Sheets as of December 31, 2020 and March 31,</w:t>
              </w:r>
              <w:r>
                <w:rPr>
                  <w:rFonts w:ascii="Arial" w:cs="Arial" w:eastAsia="Arial" w:hAnsi="Arial"/>
                  <w:sz w:val="18"/>
                  <w:szCs w:val="18"/>
                  <w:color w:val="0000FF"/>
                </w:rPr>
                <w:t xml:space="preserve"> 202</w:t>
              </w:r>
            </w:hyperlink>
            <w:r>
              <w:rPr>
                <w:rFonts w:ascii="Arial" w:cs="Arial" w:eastAsia="Arial" w:hAnsi="Arial"/>
                <w:sz w:val="18"/>
                <w:szCs w:val="18"/>
                <w:color w:val="0000FF"/>
              </w:rPr>
              <w:t>0</w:t>
            </w:r>
          </w:p>
        </w:tc>
        <w:tc>
          <w:tcPr>
            <w:tcW w:w="560" w:type="dxa"/>
            <w:vAlign w:val="bottom"/>
            <w:gridSpan w:val="2"/>
            <w:shd w:val="clear" w:color="auto" w:fill="CCEEFF"/>
          </w:tcPr>
          <w:p>
            <w:pPr>
              <w:jc w:val="center"/>
              <w:ind w:left="130"/>
              <w:spacing w:after="0" w:line="189" w:lineRule="exact"/>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420" w:type="dxa"/>
            <w:vAlign w:val="bottom"/>
            <w:shd w:val="clear" w:color="auto" w:fill="CCEEFF"/>
          </w:tcPr>
          <w:p>
            <w:pPr>
              <w:spacing w:after="0"/>
              <w:rPr>
                <w:sz w:val="16"/>
                <w:szCs w:val="16"/>
                <w:color w:val="auto"/>
              </w:rPr>
            </w:pPr>
          </w:p>
        </w:tc>
      </w:tr>
      <w:tr>
        <w:trPr>
          <w:trHeight w:val="21"/>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260" w:type="dxa"/>
            <w:vAlign w:val="bottom"/>
            <w:gridSpan w:val="3"/>
          </w:tcPr>
          <w:p>
            <w:pPr>
              <w:ind w:left="5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Income for the Three and Nine Months Ended December 31, 2020 and 2019</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c>
          <w:tcPr>
            <w:tcW w:w="420" w:type="dxa"/>
            <w:vAlign w:val="bottom"/>
          </w:tcPr>
          <w:p>
            <w:pPr>
              <w:spacing w:after="0"/>
              <w:rPr>
                <w:sz w:val="19"/>
                <w:szCs w:val="19"/>
                <w:color w:val="auto"/>
              </w:rPr>
            </w:pPr>
          </w:p>
        </w:tc>
      </w:tr>
      <w:tr>
        <w:trPr>
          <w:trHeight w:val="229"/>
        </w:trPr>
        <w:tc>
          <w:tcPr>
            <w:tcW w:w="10260" w:type="dxa"/>
            <w:vAlign w:val="bottom"/>
            <w:gridSpan w:val="3"/>
            <w:shd w:val="clear" w:color="auto" w:fill="CCEEFF"/>
          </w:tcPr>
          <w:p>
            <w:pPr>
              <w:ind w:left="520"/>
              <w:spacing w:after="0"/>
              <w:rPr>
                <w:rFonts w:ascii="Arial" w:cs="Arial" w:eastAsia="Arial" w:hAnsi="Arial"/>
                <w:sz w:val="18"/>
                <w:szCs w:val="18"/>
                <w:u w:val="single" w:color="auto"/>
                <w:color w:val="0000FF"/>
                <w:w w:val="91"/>
              </w:rPr>
            </w:pPr>
            <w:hyperlink w:anchor="page7">
              <w:r>
                <w:rPr>
                  <w:rFonts w:ascii="Arial" w:cs="Arial" w:eastAsia="Arial" w:hAnsi="Arial"/>
                  <w:sz w:val="18"/>
                  <w:szCs w:val="18"/>
                  <w:u w:val="single" w:color="auto"/>
                  <w:color w:val="0000FF"/>
                  <w:w w:val="91"/>
                </w:rPr>
                <w:t>Condensed Consolidated Statements of Comprehensive Income for the Three and Nine Months Ended December 31, 2020 and 2019</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420" w:type="dxa"/>
            <w:vAlign w:val="bottom"/>
            <w:shd w:val="clear" w:color="auto" w:fill="CCEEFF"/>
          </w:tcPr>
          <w:p>
            <w:pPr>
              <w:spacing w:after="0"/>
              <w:rPr>
                <w:sz w:val="19"/>
                <w:szCs w:val="19"/>
                <w:color w:val="auto"/>
              </w:rPr>
            </w:pPr>
          </w:p>
        </w:tc>
      </w:tr>
      <w:tr>
        <w:trPr>
          <w:trHeight w:val="230"/>
        </w:trPr>
        <w:tc>
          <w:tcPr>
            <w:tcW w:w="10260" w:type="dxa"/>
            <w:vAlign w:val="bottom"/>
            <w:gridSpan w:val="3"/>
          </w:tcPr>
          <w:p>
            <w:pPr>
              <w:ind w:left="520"/>
              <w:spacing w:after="0"/>
              <w:rPr>
                <w:rFonts w:ascii="Arial" w:cs="Arial" w:eastAsia="Arial" w:hAnsi="Arial"/>
                <w:sz w:val="18"/>
                <w:szCs w:val="18"/>
                <w:u w:val="single" w:color="auto"/>
                <w:color w:val="0000FF"/>
                <w:w w:val="93"/>
              </w:rPr>
            </w:pPr>
            <w:hyperlink w:anchor="page8">
              <w:r>
                <w:rPr>
                  <w:rFonts w:ascii="Arial" w:cs="Arial" w:eastAsia="Arial" w:hAnsi="Arial"/>
                  <w:sz w:val="18"/>
                  <w:szCs w:val="18"/>
                  <w:u w:val="single" w:color="auto"/>
                  <w:color w:val="0000FF"/>
                  <w:w w:val="93"/>
                </w:rPr>
                <w:t>Condensed Consolidated Statements of Stockholders’ Equity for the Three and Nine Months Ended December 31, 2020 and 2019</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420" w:type="dxa"/>
            <w:vAlign w:val="bottom"/>
          </w:tcPr>
          <w:p>
            <w:pPr>
              <w:spacing w:after="0"/>
              <w:rPr>
                <w:sz w:val="19"/>
                <w:szCs w:val="19"/>
                <w:color w:val="auto"/>
              </w:rPr>
            </w:pPr>
          </w:p>
        </w:tc>
      </w:tr>
      <w:tr>
        <w:trPr>
          <w:trHeight w:val="229"/>
        </w:trPr>
        <w:tc>
          <w:tcPr>
            <w:tcW w:w="10260" w:type="dxa"/>
            <w:vAlign w:val="bottom"/>
            <w:gridSpan w:val="3"/>
            <w:shd w:val="clear" w:color="auto" w:fill="CCEEFF"/>
          </w:tcPr>
          <w:p>
            <w:pPr>
              <w:ind w:left="5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Cash Flows for the Nine Months Ended December 31, 2020 and 2019</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10">
              <w:r>
                <w:rPr>
                  <w:rFonts w:ascii="Arial" w:cs="Arial" w:eastAsia="Arial" w:hAnsi="Arial"/>
                  <w:sz w:val="18"/>
                  <w:szCs w:val="18"/>
                  <w:u w:val="single" w:color="auto"/>
                  <w:color w:val="0000FF"/>
                  <w:w w:val="89"/>
                </w:rPr>
                <w:t>11</w:t>
              </w:r>
            </w:hyperlink>
          </w:p>
        </w:tc>
        <w:tc>
          <w:tcPr>
            <w:tcW w:w="420" w:type="dxa"/>
            <w:vAlign w:val="bottom"/>
            <w:shd w:val="clear" w:color="auto" w:fill="CCEEFF"/>
          </w:tcPr>
          <w:p>
            <w:pPr>
              <w:spacing w:after="0"/>
              <w:rPr>
                <w:sz w:val="19"/>
                <w:szCs w:val="19"/>
                <w:color w:val="auto"/>
              </w:rPr>
            </w:pPr>
          </w:p>
        </w:tc>
      </w:tr>
      <w:tr>
        <w:trPr>
          <w:trHeight w:val="230"/>
        </w:trPr>
        <w:tc>
          <w:tcPr>
            <w:tcW w:w="10260" w:type="dxa"/>
            <w:vAlign w:val="bottom"/>
            <w:gridSpan w:val="3"/>
          </w:tcPr>
          <w:p>
            <w:pPr>
              <w:ind w:left="5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Notes to Condensed Consolidated Financial Statements</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12">
              <w:r>
                <w:rPr>
                  <w:rFonts w:ascii="Arial" w:cs="Arial" w:eastAsia="Arial" w:hAnsi="Arial"/>
                  <w:sz w:val="18"/>
                  <w:szCs w:val="18"/>
                  <w:u w:val="single" w:color="auto"/>
                  <w:color w:val="0000FF"/>
                  <w:w w:val="89"/>
                </w:rPr>
                <w:t>13</w:t>
              </w:r>
            </w:hyperlink>
          </w:p>
        </w:tc>
        <w:tc>
          <w:tcPr>
            <w:tcW w:w="420" w:type="dxa"/>
            <w:vAlign w:val="bottom"/>
          </w:tcPr>
          <w:p>
            <w:pPr>
              <w:spacing w:after="0"/>
              <w:rPr>
                <w:sz w:val="19"/>
                <w:szCs w:val="19"/>
                <w:color w:val="auto"/>
              </w:rPr>
            </w:pPr>
          </w:p>
        </w:tc>
      </w:tr>
      <w:tr>
        <w:trPr>
          <w:trHeight w:val="229"/>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 Management’s Discussion and Analysis of Financial Condition and Results of Operations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35</w:t>
              </w:r>
            </w:hyperlink>
          </w:p>
        </w:tc>
        <w:tc>
          <w:tcPr>
            <w:tcW w:w="420" w:type="dxa"/>
            <w:vAlign w:val="bottom"/>
            <w:shd w:val="clear" w:color="auto" w:fill="CCEEFF"/>
          </w:tcPr>
          <w:p>
            <w:pPr>
              <w:spacing w:after="0"/>
              <w:rPr>
                <w:sz w:val="19"/>
                <w:szCs w:val="19"/>
                <w:color w:val="auto"/>
              </w:rPr>
            </w:pPr>
          </w:p>
        </w:tc>
      </w:tr>
      <w:tr>
        <w:trPr>
          <w:trHeight w:val="229"/>
        </w:trPr>
        <w:tc>
          <w:tcPr>
            <w:tcW w:w="10260" w:type="dxa"/>
            <w:vAlign w:val="bottom"/>
            <w:gridSpan w:val="3"/>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3. Qualitative and Quantitative Disclosures about Market Risk</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62">
              <w:r>
                <w:rPr>
                  <w:rFonts w:ascii="Arial" w:cs="Arial" w:eastAsia="Arial" w:hAnsi="Arial"/>
                  <w:sz w:val="18"/>
                  <w:szCs w:val="18"/>
                  <w:u w:val="single" w:color="auto"/>
                  <w:color w:val="0000FF"/>
                  <w:w w:val="89"/>
                </w:rPr>
                <w:t>62</w:t>
              </w:r>
            </w:hyperlink>
          </w:p>
        </w:tc>
        <w:tc>
          <w:tcPr>
            <w:tcW w:w="420" w:type="dxa"/>
            <w:vAlign w:val="bottom"/>
          </w:tcPr>
          <w:p>
            <w:pPr>
              <w:spacing w:after="0"/>
              <w:rPr>
                <w:sz w:val="19"/>
                <w:szCs w:val="19"/>
                <w:color w:val="auto"/>
              </w:rPr>
            </w:pPr>
          </w:p>
        </w:tc>
      </w:tr>
      <w:tr>
        <w:trPr>
          <w:trHeight w:val="230"/>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4. Controls and Procedures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c>
          <w:tcPr>
            <w:tcW w:w="420" w:type="dxa"/>
            <w:vAlign w:val="bottom"/>
            <w:shd w:val="clear" w:color="auto" w:fill="CCEEFF"/>
          </w:tcPr>
          <w:p>
            <w:pPr>
              <w:spacing w:after="0"/>
              <w:rPr>
                <w:sz w:val="19"/>
                <w:szCs w:val="19"/>
                <w:color w:val="auto"/>
              </w:rPr>
            </w:pPr>
          </w:p>
        </w:tc>
      </w:tr>
      <w:tr>
        <w:trPr>
          <w:trHeight w:val="229"/>
        </w:trPr>
        <w:tc>
          <w:tcPr>
            <w:tcW w:w="10260" w:type="dxa"/>
            <w:vAlign w:val="bottom"/>
            <w:gridSpan w:val="3"/>
          </w:tcPr>
          <w:p>
            <w:pPr>
              <w:ind w:left="4300"/>
              <w:spacing w:after="0"/>
              <w:rPr>
                <w:sz w:val="20"/>
                <w:szCs w:val="20"/>
                <w:color w:val="auto"/>
              </w:rPr>
            </w:pPr>
            <w:r>
              <w:rPr>
                <w:rFonts w:ascii="Arial" w:cs="Arial" w:eastAsia="Arial" w:hAnsi="Arial"/>
                <w:sz w:val="18"/>
                <w:szCs w:val="18"/>
                <w:color w:val="auto"/>
              </w:rPr>
              <w:t>PART II - OTHER INFORMATION</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1. Legal Proceedings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c>
          <w:tcPr>
            <w:tcW w:w="420" w:type="dxa"/>
            <w:vAlign w:val="bottom"/>
            <w:shd w:val="clear" w:color="auto" w:fill="CCEEFF"/>
          </w:tcPr>
          <w:p>
            <w:pPr>
              <w:spacing w:after="0"/>
              <w:rPr>
                <w:sz w:val="19"/>
                <w:szCs w:val="19"/>
                <w:color w:val="auto"/>
              </w:rPr>
            </w:pPr>
          </w:p>
        </w:tc>
      </w:tr>
      <w:tr>
        <w:trPr>
          <w:trHeight w:val="229"/>
        </w:trPr>
        <w:tc>
          <w:tcPr>
            <w:tcW w:w="10260" w:type="dxa"/>
            <w:vAlign w:val="bottom"/>
            <w:gridSpan w:val="3"/>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Item 1A. Risk Factors</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c>
          <w:tcPr>
            <w:tcW w:w="420" w:type="dxa"/>
            <w:vAlign w:val="bottom"/>
          </w:tcPr>
          <w:p>
            <w:pPr>
              <w:spacing w:after="0"/>
              <w:rPr>
                <w:sz w:val="19"/>
                <w:szCs w:val="19"/>
                <w:color w:val="auto"/>
              </w:rPr>
            </w:pPr>
          </w:p>
        </w:tc>
      </w:tr>
      <w:tr>
        <w:trPr>
          <w:trHeight w:val="229"/>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2. Unregistered Sales of Equity Securities and Use of Proceeds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shd w:val="clear" w:color="auto" w:fill="CCEEFF"/>
          </w:tcPr>
          <w:p>
            <w:pPr>
              <w:spacing w:after="0"/>
              <w:rPr>
                <w:sz w:val="19"/>
                <w:szCs w:val="19"/>
                <w:color w:val="auto"/>
              </w:rPr>
            </w:pPr>
          </w:p>
        </w:tc>
      </w:tr>
      <w:tr>
        <w:trPr>
          <w:trHeight w:val="230"/>
        </w:trPr>
        <w:tc>
          <w:tcPr>
            <w:tcW w:w="10260" w:type="dxa"/>
            <w:vAlign w:val="bottom"/>
            <w:gridSpan w:val="3"/>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 Defaults Upon Senior Securities</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tcPr>
          <w:p>
            <w:pPr>
              <w:spacing w:after="0"/>
              <w:rPr>
                <w:sz w:val="19"/>
                <w:szCs w:val="19"/>
                <w:color w:val="auto"/>
              </w:rPr>
            </w:pPr>
          </w:p>
        </w:tc>
      </w:tr>
      <w:tr>
        <w:trPr>
          <w:trHeight w:val="229"/>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 Mine Safety Disclosures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shd w:val="clear" w:color="auto" w:fill="CCEEFF"/>
          </w:tcPr>
          <w:p>
            <w:pPr>
              <w:spacing w:after="0"/>
              <w:rPr>
                <w:sz w:val="19"/>
                <w:szCs w:val="19"/>
                <w:color w:val="auto"/>
              </w:rPr>
            </w:pPr>
          </w:p>
        </w:tc>
      </w:tr>
      <w:tr>
        <w:trPr>
          <w:trHeight w:val="229"/>
        </w:trPr>
        <w:tc>
          <w:tcPr>
            <w:tcW w:w="10260" w:type="dxa"/>
            <w:vAlign w:val="bottom"/>
            <w:gridSpan w:val="3"/>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5. Other Information</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420" w:type="dxa"/>
            <w:vAlign w:val="bottom"/>
          </w:tcPr>
          <w:p>
            <w:pPr>
              <w:spacing w:after="0"/>
              <w:rPr>
                <w:sz w:val="19"/>
                <w:szCs w:val="19"/>
                <w:color w:val="auto"/>
              </w:rPr>
            </w:pPr>
          </w:p>
        </w:tc>
      </w:tr>
      <w:tr>
        <w:trPr>
          <w:trHeight w:val="230"/>
        </w:trPr>
        <w:tc>
          <w:tcPr>
            <w:tcW w:w="1026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6. Exhibits</w:t>
              </w:r>
            </w:hyperlink>
          </w:p>
        </w:tc>
        <w:tc>
          <w:tcPr>
            <w:tcW w:w="560" w:type="dxa"/>
            <w:vAlign w:val="bottom"/>
            <w:gridSpan w:val="2"/>
            <w:shd w:val="clear" w:color="auto" w:fill="CCEEFF"/>
          </w:tcPr>
          <w:p>
            <w:pPr>
              <w:jc w:val="center"/>
              <w:ind w:left="130"/>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67</w:t>
              </w:r>
            </w:hyperlink>
          </w:p>
        </w:tc>
        <w:tc>
          <w:tcPr>
            <w:tcW w:w="420" w:type="dxa"/>
            <w:vAlign w:val="bottom"/>
            <w:shd w:val="clear" w:color="auto" w:fill="CCEEFF"/>
          </w:tcPr>
          <w:p>
            <w:pPr>
              <w:spacing w:after="0"/>
              <w:rPr>
                <w:sz w:val="19"/>
                <w:szCs w:val="19"/>
                <w:color w:val="auto"/>
              </w:rPr>
            </w:pPr>
          </w:p>
        </w:tc>
      </w:tr>
      <w:tr>
        <w:trPr>
          <w:trHeight w:val="230"/>
        </w:trPr>
        <w:tc>
          <w:tcPr>
            <w:tcW w:w="10260" w:type="dxa"/>
            <w:vAlign w:val="bottom"/>
            <w:gridSpan w:val="3"/>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560" w:type="dxa"/>
            <w:vAlign w:val="bottom"/>
            <w:gridSpan w:val="2"/>
          </w:tcPr>
          <w:p>
            <w:pPr>
              <w:jc w:val="center"/>
              <w:ind w:left="13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68</w:t>
              </w:r>
            </w:hyperlink>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3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Unless otherwise indicated or the context otherwise requires:</w:t>
      </w:r>
    </w:p>
    <w:p>
      <w:pPr>
        <w:spacing w:after="0" w:line="210" w:lineRule="exact"/>
        <w:rPr>
          <w:sz w:val="20"/>
          <w:szCs w:val="20"/>
          <w:color w:val="auto"/>
        </w:rPr>
      </w:pPr>
    </w:p>
    <w:p>
      <w:pPr>
        <w:ind w:left="660" w:right="104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Group Inc.</w:t>
      </w:r>
      <w:r>
        <w:rPr>
          <w:rFonts w:ascii="Arial" w:cs="Arial" w:eastAsia="Arial" w:hAnsi="Arial"/>
          <w:sz w:val="20"/>
          <w:szCs w:val="20"/>
          <w:color w:val="auto"/>
        </w:rPr>
        <w:t>” or “</w:t>
      </w:r>
      <w:r>
        <w:rPr>
          <w:rFonts w:ascii="Arial" w:cs="Arial" w:eastAsia="Arial" w:hAnsi="Arial"/>
          <w:sz w:val="20"/>
          <w:szCs w:val="20"/>
          <w:b w:val="1"/>
          <w:bCs w:val="1"/>
          <w:color w:val="auto"/>
        </w:rPr>
        <w:t>SSG</w:t>
      </w:r>
      <w:r>
        <w:rPr>
          <w:rFonts w:ascii="Arial" w:cs="Arial" w:eastAsia="Arial" w:hAnsi="Arial"/>
          <w:sz w:val="20"/>
          <w:szCs w:val="20"/>
          <w:color w:val="auto"/>
        </w:rPr>
        <w:t>” refers solely to StepStone Group Inc., a Delaware corporation, and not to any of its subsidiaries;</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Partnership</w:t>
      </w:r>
      <w:r>
        <w:rPr>
          <w:rFonts w:ascii="Arial" w:cs="Arial" w:eastAsia="Arial" w:hAnsi="Arial"/>
          <w:sz w:val="19"/>
          <w:szCs w:val="19"/>
          <w:color w:val="auto"/>
        </w:rPr>
        <w:t>” refers solely to StepStone Group LP, a Delaware limited partnership, and not to any of its subsidiaries;</w:t>
      </w:r>
    </w:p>
    <w:p>
      <w:pPr>
        <w:spacing w:after="0" w:line="227" w:lineRule="exact"/>
        <w:rPr>
          <w:rFonts w:ascii="Arial" w:cs="Arial" w:eastAsia="Arial" w:hAnsi="Arial"/>
          <w:sz w:val="19"/>
          <w:szCs w:val="19"/>
          <w:color w:val="auto"/>
        </w:rPr>
      </w:pPr>
    </w:p>
    <w:p>
      <w:pPr>
        <w:ind w:left="660" w:right="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Partner</w:t>
      </w:r>
      <w:r>
        <w:rPr>
          <w:rFonts w:ascii="Arial" w:cs="Arial" w:eastAsia="Arial" w:hAnsi="Arial"/>
          <w:sz w:val="20"/>
          <w:szCs w:val="20"/>
          <w:color w:val="auto"/>
        </w:rPr>
        <w:t>” refers to StepStone Group Holdings LLC, a Delaware limited liability company, and the sole general partner of the Partnership;</w:t>
      </w:r>
    </w:p>
    <w:p>
      <w:pPr>
        <w:spacing w:after="0" w:line="163" w:lineRule="exact"/>
        <w:rPr>
          <w:rFonts w:ascii="Arial" w:cs="Arial" w:eastAsia="Arial" w:hAnsi="Arial"/>
          <w:sz w:val="20"/>
          <w:szCs w:val="20"/>
          <w:color w:val="auto"/>
        </w:rPr>
      </w:pPr>
    </w:p>
    <w:p>
      <w:pPr>
        <w:ind w:left="660" w:hanging="4"/>
        <w:spacing w:after="0" w:line="253"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w:t>
      </w:r>
      <w:r>
        <w:rPr>
          <w:rFonts w:ascii="Arial" w:cs="Arial" w:eastAsia="Arial" w:hAnsi="Arial"/>
          <w:sz w:val="20"/>
          <w:szCs w:val="20"/>
          <w:color w:val="auto"/>
        </w:rPr>
        <w:t>,” “</w:t>
      </w:r>
      <w:r>
        <w:rPr>
          <w:rFonts w:ascii="Arial" w:cs="Arial" w:eastAsia="Arial" w:hAnsi="Arial"/>
          <w:sz w:val="20"/>
          <w:szCs w:val="20"/>
          <w:b w:val="1"/>
          <w:bCs w:val="1"/>
          <w:color w:val="auto"/>
        </w:rPr>
        <w:t>us</w:t>
      </w:r>
      <w:r>
        <w:rPr>
          <w:rFonts w:ascii="Arial" w:cs="Arial" w:eastAsia="Arial" w:hAnsi="Arial"/>
          <w:sz w:val="20"/>
          <w:szCs w:val="20"/>
          <w:color w:val="auto"/>
        </w:rPr>
        <w:t>,” “</w:t>
      </w:r>
      <w:r>
        <w:rPr>
          <w:rFonts w:ascii="Arial" w:cs="Arial" w:eastAsia="Arial" w:hAnsi="Arial"/>
          <w:sz w:val="20"/>
          <w:szCs w:val="20"/>
          <w:b w:val="1"/>
          <w:bCs w:val="1"/>
          <w:color w:val="auto"/>
        </w:rPr>
        <w:t>our</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w:t>
      </w:r>
      <w:r>
        <w:rPr>
          <w:rFonts w:ascii="Arial" w:cs="Arial" w:eastAsia="Arial" w:hAnsi="Arial"/>
          <w:sz w:val="20"/>
          <w:szCs w:val="20"/>
          <w:b w:val="1"/>
          <w:bCs w:val="1"/>
          <w:color w:val="auto"/>
        </w:rPr>
        <w:t>our company</w:t>
      </w:r>
      <w:r>
        <w:rPr>
          <w:rFonts w:ascii="Arial" w:cs="Arial" w:eastAsia="Arial" w:hAnsi="Arial"/>
          <w:sz w:val="20"/>
          <w:szCs w:val="20"/>
          <w:color w:val="auto"/>
        </w:rPr>
        <w:t>,” “</w:t>
      </w:r>
      <w:r>
        <w:rPr>
          <w:rFonts w:ascii="Arial" w:cs="Arial" w:eastAsia="Arial" w:hAnsi="Arial"/>
          <w:sz w:val="20"/>
          <w:szCs w:val="20"/>
          <w:b w:val="1"/>
          <w:bCs w:val="1"/>
          <w:color w:val="auto"/>
        </w:rPr>
        <w:t>StepStone</w:t>
      </w:r>
      <w:r>
        <w:rPr>
          <w:rFonts w:ascii="Arial" w:cs="Arial" w:eastAsia="Arial" w:hAnsi="Arial"/>
          <w:sz w:val="20"/>
          <w:szCs w:val="20"/>
          <w:color w:val="auto"/>
        </w:rPr>
        <w:t>” and similar terms refer to SSG and its consolidated subsidiaries, including the Partnership, following the Reorganization and IPO (each as defined below) and to the Partnership and its consolidated subsidiaries prior to the Reorganization and IPO;</w:t>
      </w:r>
    </w:p>
    <w:p>
      <w:pPr>
        <w:spacing w:after="0" w:line="177" w:lineRule="exact"/>
        <w:rPr>
          <w:rFonts w:ascii="Arial" w:cs="Arial" w:eastAsia="Arial" w:hAnsi="Arial"/>
          <w:sz w:val="20"/>
          <w:szCs w:val="20"/>
          <w:color w:val="auto"/>
        </w:rPr>
      </w:pPr>
    </w:p>
    <w:p>
      <w:pPr>
        <w:ind w:left="660" w:right="260" w:hanging="4"/>
        <w:spacing w:after="0" w:line="267" w:lineRule="auto"/>
        <w:tabs>
          <w:tab w:leader="none" w:pos="779"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StepStone Funds</w:t>
      </w:r>
      <w:r>
        <w:rPr>
          <w:rFonts w:ascii="Arial" w:cs="Arial" w:eastAsia="Arial" w:hAnsi="Arial"/>
          <w:sz w:val="20"/>
          <w:szCs w:val="20"/>
          <w:color w:val="auto"/>
        </w:rPr>
        <w:t>” or “</w:t>
      </w:r>
      <w:r>
        <w:rPr>
          <w:rFonts w:ascii="Arial" w:cs="Arial" w:eastAsia="Arial" w:hAnsi="Arial"/>
          <w:sz w:val="20"/>
          <w:szCs w:val="20"/>
          <w:b w:val="1"/>
          <w:bCs w:val="1"/>
          <w:color w:val="auto"/>
        </w:rPr>
        <w:t>our funds</w:t>
      </w:r>
      <w:r>
        <w:rPr>
          <w:rFonts w:ascii="Arial" w:cs="Arial" w:eastAsia="Arial" w:hAnsi="Arial"/>
          <w:sz w:val="20"/>
          <w:szCs w:val="20"/>
          <w:color w:val="auto"/>
        </w:rPr>
        <w:t>” refers to our focused commingled funds and our separately managed accounts, for which we act as both investment adviser and general partner or managing member;</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FY</w:t>
      </w:r>
      <w:r>
        <w:rPr>
          <w:rFonts w:ascii="Arial" w:cs="Arial" w:eastAsia="Arial" w:hAnsi="Arial"/>
          <w:sz w:val="20"/>
          <w:szCs w:val="20"/>
          <w:color w:val="auto"/>
        </w:rPr>
        <w:t>,” “</w:t>
      </w:r>
      <w:r>
        <w:rPr>
          <w:rFonts w:ascii="Arial" w:cs="Arial" w:eastAsia="Arial" w:hAnsi="Arial"/>
          <w:sz w:val="20"/>
          <w:szCs w:val="20"/>
          <w:b w:val="1"/>
          <w:bCs w:val="1"/>
          <w:color w:val="auto"/>
        </w:rPr>
        <w:t>fiscal</w:t>
      </w:r>
      <w:r>
        <w:rPr>
          <w:rFonts w:ascii="Arial" w:cs="Arial" w:eastAsia="Arial" w:hAnsi="Arial"/>
          <w:sz w:val="20"/>
          <w:szCs w:val="20"/>
          <w:color w:val="auto"/>
        </w:rPr>
        <w:t>” or “</w:t>
      </w:r>
      <w:r>
        <w:rPr>
          <w:rFonts w:ascii="Arial" w:cs="Arial" w:eastAsia="Arial" w:hAnsi="Arial"/>
          <w:sz w:val="20"/>
          <w:szCs w:val="20"/>
          <w:b w:val="1"/>
          <w:bCs w:val="1"/>
          <w:color w:val="auto"/>
        </w:rPr>
        <w:t>fiscal year</w:t>
      </w:r>
      <w:r>
        <w:rPr>
          <w:rFonts w:ascii="Arial" w:cs="Arial" w:eastAsia="Arial" w:hAnsi="Arial"/>
          <w:sz w:val="20"/>
          <w:szCs w:val="20"/>
          <w:color w:val="auto"/>
        </w:rPr>
        <w:t>” are to the fiscal year ended March 31 of the applicable year;</w:t>
      </w:r>
    </w:p>
    <w:p>
      <w:pPr>
        <w:spacing w:after="0" w:line="215" w:lineRule="exact"/>
        <w:rPr>
          <w:rFonts w:ascii="Arial" w:cs="Arial" w:eastAsia="Arial" w:hAnsi="Arial"/>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Reorganization</w:t>
      </w:r>
      <w:r>
        <w:rPr>
          <w:rFonts w:ascii="Arial" w:cs="Arial" w:eastAsia="Arial" w:hAnsi="Arial"/>
          <w:sz w:val="18"/>
          <w:szCs w:val="18"/>
          <w:color w:val="auto"/>
        </w:rPr>
        <w:t>” refer to the series of transactions immediately before the Company's initial public offering</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IPO</w:t>
      </w:r>
      <w:r>
        <w:rPr>
          <w:rFonts w:ascii="Arial" w:cs="Arial" w:eastAsia="Arial" w:hAnsi="Arial"/>
          <w:sz w:val="20"/>
          <w:szCs w:val="20"/>
          <w:color w:val="auto"/>
        </w:rPr>
        <w:t>”), which was completed on September 18, 2020;</w:t>
      </w:r>
    </w:p>
    <w:p>
      <w:pPr>
        <w:spacing w:after="0" w:line="194" w:lineRule="exact"/>
        <w:rPr>
          <w:sz w:val="20"/>
          <w:szCs w:val="20"/>
          <w:color w:val="auto"/>
        </w:rPr>
      </w:pPr>
    </w:p>
    <w:p>
      <w:pPr>
        <w:ind w:left="660" w:right="64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private markets allocations</w:t>
      </w:r>
      <w:r>
        <w:rPr>
          <w:rFonts w:ascii="Arial" w:cs="Arial" w:eastAsia="Arial" w:hAnsi="Arial"/>
          <w:sz w:val="20"/>
          <w:szCs w:val="20"/>
          <w:color w:val="auto"/>
        </w:rPr>
        <w:t>” or “</w:t>
      </w:r>
      <w:r>
        <w:rPr>
          <w:rFonts w:ascii="Arial" w:cs="Arial" w:eastAsia="Arial" w:hAnsi="Arial"/>
          <w:sz w:val="20"/>
          <w:szCs w:val="20"/>
          <w:b w:val="1"/>
          <w:bCs w:val="1"/>
          <w:color w:val="auto"/>
        </w:rPr>
        <w:t>combined AUM / AUA</w:t>
      </w:r>
      <w:r>
        <w:rPr>
          <w:rFonts w:ascii="Arial" w:cs="Arial" w:eastAsia="Arial" w:hAnsi="Arial"/>
          <w:sz w:val="20"/>
          <w:szCs w:val="20"/>
          <w:color w:val="auto"/>
        </w:rPr>
        <w:t>” refer to the aggregate amount of our assets under management and our assets under advisement;</w:t>
      </w:r>
    </w:p>
    <w:p>
      <w:pPr>
        <w:spacing w:after="0" w:line="163" w:lineRule="exact"/>
        <w:rPr>
          <w:rFonts w:ascii="Arial" w:cs="Arial" w:eastAsia="Arial" w:hAnsi="Arial"/>
          <w:sz w:val="20"/>
          <w:szCs w:val="20"/>
          <w:color w:val="auto"/>
        </w:rPr>
      </w:pPr>
    </w:p>
    <w:p>
      <w:pPr>
        <w:ind w:left="780" w:hanging="12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high-net-worth</w:t>
      </w:r>
      <w:r>
        <w:rPr>
          <w:rFonts w:ascii="Arial" w:cs="Arial" w:eastAsia="Arial" w:hAnsi="Arial"/>
          <w:sz w:val="18"/>
          <w:szCs w:val="18"/>
          <w:color w:val="auto"/>
        </w:rPr>
        <w:t>” individuals refer to individuals with net worth of over $5 million, excluding primary residence; and</w:t>
      </w:r>
    </w:p>
    <w:p>
      <w:pPr>
        <w:spacing w:after="0" w:line="238" w:lineRule="exact"/>
        <w:rPr>
          <w:rFonts w:ascii="Arial" w:cs="Arial" w:eastAsia="Arial" w:hAnsi="Arial"/>
          <w:sz w:val="18"/>
          <w:szCs w:val="18"/>
          <w:color w:val="auto"/>
        </w:rPr>
      </w:pPr>
    </w:p>
    <w:p>
      <w:pPr>
        <w:ind w:left="660" w:right="220" w:hanging="4"/>
        <w:spacing w:after="0" w:line="267" w:lineRule="auto"/>
        <w:tabs>
          <w:tab w:leader="none" w:pos="77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mass affluent</w:t>
      </w:r>
      <w:r>
        <w:rPr>
          <w:rFonts w:ascii="Arial" w:cs="Arial" w:eastAsia="Arial" w:hAnsi="Arial"/>
          <w:sz w:val="20"/>
          <w:szCs w:val="20"/>
          <w:color w:val="auto"/>
        </w:rPr>
        <w:t>” individuals refer to individuals with annual income over $200,000 or net worth between $1 million and $5 million, excluding primary residence.</w:t>
      </w:r>
    </w:p>
    <w:p>
      <w:pPr>
        <w:spacing w:after="0" w:line="16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TRADEMARKS, SERVICE MARKS AND TRADE NAMES</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 our prospectus dated September 15, 2020, filed with the U.S. Securities and Exchange Commission (“SEC”) in accordance with Rule 424(b) of the Securities Act on September 16, 2020, which is accessible on the SEC's website at www.sec.gov. These factors should not be construed as exhaustive and should be read in conjunction with the other cautionary statements that are included in this Form 10-Q and in the prospectus.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185,020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27,640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funds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Accrued carried interest allocations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636,887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460,837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assets and receivables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23,692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994,823</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 partners’ capital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42,497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23,185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carried interest-related compensation</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320,942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237,737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143,144</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460,686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443,862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216,051</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$0.001 par value, 650,000,000 authorized; 29,237,500 issued and outstanding as of</w:t>
            </w: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4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$0.001 par value, 125,000,000 authorized; 65,578,831 issued and outstanding as of</w:t>
            </w:r>
          </w:p>
        </w:tc>
        <w:tc>
          <w:tcPr>
            <w:tcW w:w="4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4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StepStone Group Inc. stockholders' equity / partners' capital</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146,202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216,229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the Partnership</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362,802</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 partners' capital</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534,137</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236,967</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 partners' capital</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994,823</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680,829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040"/>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70"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The following presents the portion of the condensed consolidated balances presented above attributable to consolidated variable interest entities.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4"/>
              </w:rPr>
              <w:t>March 31, 2020</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27,489</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17,565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Fees and accounts receivable</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16,040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 in funds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12,709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11,400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receivables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66,050</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27,750</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0"/>
        </w:trPr>
        <w:tc>
          <w:tcPr>
            <w:tcW w:w="57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Management and advisory fees,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70,093</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66,265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209,245</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171,026</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fees: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360"/>
              <w:spacing w:after="0"/>
              <w:rPr>
                <w:sz w:val="20"/>
                <w:szCs w:val="20"/>
                <w:color w:val="auto"/>
              </w:rPr>
            </w:pPr>
            <w:r>
              <w:rPr>
                <w:rFonts w:ascii="Arial" w:cs="Arial" w:eastAsia="Arial" w:hAnsi="Arial"/>
                <w:sz w:val="16"/>
                <w:szCs w:val="16"/>
                <w:color w:val="auto"/>
              </w:rPr>
              <w:t>Incentive fees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9"/>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Carried interest allocation: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720"/>
              <w:spacing w:after="0"/>
              <w:rPr>
                <w:sz w:val="20"/>
                <w:szCs w:val="20"/>
                <w:color w:val="auto"/>
              </w:rPr>
            </w:pPr>
            <w:r>
              <w:rPr>
                <w:rFonts w:ascii="Arial" w:cs="Arial" w:eastAsia="Arial" w:hAnsi="Arial"/>
                <w:sz w:val="16"/>
                <w:szCs w:val="16"/>
                <w:color w:val="auto"/>
              </w:rPr>
              <w:t>Realized allocation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38,257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43,540</w:t>
            </w:r>
          </w:p>
        </w:tc>
      </w:tr>
      <w:tr>
        <w:trPr>
          <w:trHeight w:val="219"/>
        </w:trPr>
        <w:tc>
          <w:tcPr>
            <w:tcW w:w="57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Unrealized allocation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150,681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(14,860)</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85,474</w:t>
            </w:r>
          </w:p>
        </w:tc>
      </w:tr>
      <w:tr>
        <w:trPr>
          <w:trHeight w:val="206"/>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carried interest allocation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176,744</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214,307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129,014</w:t>
            </w:r>
          </w:p>
        </w:tc>
      </w:tr>
      <w:tr>
        <w:trPr>
          <w:trHeight w:val="213"/>
        </w:trPr>
        <w:tc>
          <w:tcPr>
            <w:tcW w:w="5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247,150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71,215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428,650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302,666</w:t>
            </w:r>
          </w:p>
        </w:tc>
      </w:tr>
      <w:tr>
        <w:trPr>
          <w:trHeight w:val="19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Cash-based compensation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113,858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94,783</w:t>
            </w:r>
          </w:p>
        </w:tc>
      </w:tr>
      <w:tr>
        <w:trPr>
          <w:trHeight w:val="219"/>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Performance fee-related compensation: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7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Realized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24,582</w:t>
            </w:r>
          </w:p>
        </w:tc>
      </w:tr>
      <w:tr>
        <w:trPr>
          <w:trHeight w:val="213"/>
        </w:trPr>
        <w:tc>
          <w:tcPr>
            <w:tcW w:w="57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Unrealized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43,552</w:t>
            </w:r>
          </w:p>
        </w:tc>
      </w:tr>
      <w:tr>
        <w:trPr>
          <w:trHeight w:val="212"/>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performance fee-related compensation</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83,870</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101,439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68,134</w:t>
            </w:r>
          </w:p>
        </w:tc>
      </w:tr>
      <w:tr>
        <w:trPr>
          <w:trHeight w:val="207"/>
        </w:trPr>
        <w:tc>
          <w:tcPr>
            <w:tcW w:w="5700" w:type="dxa"/>
            <w:vAlign w:val="bottom"/>
          </w:tcPr>
          <w:p>
            <w:pPr>
              <w:ind w:left="20"/>
              <w:spacing w:after="0"/>
              <w:rPr>
                <w:sz w:val="20"/>
                <w:szCs w:val="20"/>
                <w:color w:val="auto"/>
              </w:rPr>
            </w:pPr>
            <w:r>
              <w:rPr>
                <w:rFonts w:ascii="Arial" w:cs="Arial" w:eastAsia="Arial" w:hAnsi="Arial"/>
                <w:sz w:val="16"/>
                <w:szCs w:val="16"/>
                <w:color w:val="auto"/>
              </w:rPr>
              <w:t>Total compensation and benefits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123,808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38,095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219,938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164,349</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37,985</w:t>
            </w:r>
          </w:p>
        </w:tc>
      </w:tr>
      <w:tr>
        <w:trPr>
          <w:trHeight w:val="206"/>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expenses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136,432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51,401</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254,425</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202,334</w:t>
            </w:r>
          </w:p>
        </w:tc>
      </w:tr>
      <w:tr>
        <w:trPr>
          <w:trHeight w:val="19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5,361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3,911</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(7,747)</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07"/>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116,935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97,277</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9,546</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w:t>
            </w: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107,389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94,603</w:t>
            </w:r>
          </w:p>
        </w:tc>
      </w:tr>
      <w:tr>
        <w:trPr>
          <w:trHeight w:val="213"/>
        </w:trPr>
        <w:tc>
          <w:tcPr>
            <w:tcW w:w="5700" w:type="dxa"/>
            <w:vAlign w:val="bottom"/>
          </w:tcPr>
          <w:p>
            <w:pPr>
              <w:ind w:left="400"/>
              <w:spacing w:after="0"/>
              <w:rPr>
                <w:sz w:val="20"/>
                <w:szCs w:val="20"/>
                <w:color w:val="auto"/>
              </w:rPr>
            </w:pPr>
            <w:r>
              <w:rPr>
                <w:rFonts w:ascii="Arial" w:cs="Arial" w:eastAsia="Arial" w:hAnsi="Arial"/>
                <w:sz w:val="16"/>
                <w:szCs w:val="16"/>
                <w:color w:val="auto"/>
              </w:rPr>
              <w:t>Less: Net income attributable to non-controlling interests in subsidiaries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9,656</w:t>
            </w: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9"/>
              </w:rPr>
              <w:t>Less: Net income attributable to non-controlling interests in the Partnership</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76,315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119,976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84,947</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Net income attributable to StepStone Group Inc.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25,578</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24,788</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5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Earnings per share of Class A common stock:</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46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of Class A common stock:</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00" w:type="dxa"/>
            <w:vAlign w:val="bottom"/>
          </w:tcPr>
          <w:p>
            <w:pPr>
              <w:ind w:left="4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29,237,500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29,237,500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32,704,975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32,664,198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0"/>
        </w:trPr>
        <w:tc>
          <w:tcPr>
            <w:tcW w:w="5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before non-controlling interests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94,906</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60" w:right="4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560" w:right="40" w:hanging="161"/>
        <w:spacing w:after="0" w:line="234" w:lineRule="auto"/>
        <w:rPr>
          <w:sz w:val="20"/>
          <w:szCs w:val="20"/>
          <w:color w:val="auto"/>
        </w:rPr>
      </w:pPr>
      <w:r>
        <w:rPr>
          <w:rFonts w:ascii="Arial" w:cs="Arial" w:eastAsia="Arial" w:hAnsi="Arial"/>
          <w:sz w:val="18"/>
          <w:szCs w:val="18"/>
          <w:color w:val="auto"/>
        </w:rPr>
        <w:t>Less: Comprehensive income attributable to non-controlling interests in the Partnership</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370"/>
              <w:spacing w:after="0"/>
              <w:rPr>
                <w:sz w:val="20"/>
                <w:szCs w:val="20"/>
                <w:color w:val="auto"/>
              </w:rPr>
            </w:pPr>
            <w:r>
              <w:rPr>
                <w:rFonts w:ascii="Arial" w:cs="Arial" w:eastAsia="Arial" w:hAnsi="Arial"/>
                <w:sz w:val="18"/>
                <w:szCs w:val="18"/>
                <w:color w:val="auto"/>
              </w:rPr>
              <w:t>5,719</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5,352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19,131</w:t>
            </w:r>
          </w:p>
        </w:tc>
        <w:tc>
          <w:tcPr>
            <w:tcW w:w="960" w:type="dxa"/>
            <w:vAlign w:val="bottom"/>
          </w:tcPr>
          <w:p>
            <w:pPr>
              <w:jc w:val="right"/>
              <w:spacing w:after="0"/>
              <w:rPr>
                <w:sz w:val="20"/>
                <w:szCs w:val="20"/>
                <w:color w:val="auto"/>
              </w:rPr>
            </w:pPr>
            <w:r>
              <w:rPr>
                <w:rFonts w:ascii="Arial" w:cs="Arial" w:eastAsia="Arial" w:hAnsi="Arial"/>
                <w:sz w:val="18"/>
                <w:szCs w:val="18"/>
                <w:color w:val="auto"/>
              </w:rPr>
              <w:t>9,812</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76,463</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12,235</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120,409</w:t>
            </w:r>
          </w:p>
        </w:tc>
        <w:tc>
          <w:tcPr>
            <w:tcW w:w="960" w:type="dxa"/>
            <w:vAlign w:val="bottom"/>
          </w:tcPr>
          <w:p>
            <w:pPr>
              <w:jc w:val="right"/>
              <w:spacing w:after="0"/>
              <w:rPr>
                <w:sz w:val="20"/>
                <w:szCs w:val="20"/>
                <w:color w:val="auto"/>
              </w:rPr>
            </w:pPr>
            <w:r>
              <w:rPr>
                <w:rFonts w:ascii="Arial" w:cs="Arial" w:eastAsia="Arial" w:hAnsi="Arial"/>
                <w:sz w:val="18"/>
                <w:szCs w:val="18"/>
                <w:color w:val="auto"/>
              </w:rPr>
              <w:t>85,094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59690</wp:posOffset>
            </wp:positionV>
            <wp:extent cx="3514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620" w:space="720"/>
            <w:col w:w="4900"/>
          </w:cols>
          <w:pgMar w:left="320" w:top="118" w:right="339" w:bottom="1440" w:gutter="0" w:footer="0" w:header="0"/>
          <w:type w:val="continuous"/>
        </w:sectPr>
      </w:pPr>
    </w:p>
    <w:p>
      <w:pPr>
        <w:ind w:left="20"/>
        <w:spacing w:after="0"/>
        <w:tabs>
          <w:tab w:leader="none" w:pos="5700" w:val="left"/>
          <w:tab w:leader="none" w:pos="6320" w:val="left"/>
          <w:tab w:leader="none" w:pos="7140" w:val="left"/>
          <w:tab w:leader="none" w:pos="8080" w:val="left"/>
          <w:tab w:leader="none" w:pos="8600" w:val="left"/>
          <w:tab w:leader="none" w:pos="9200" w:val="left"/>
          <w:tab w:leader="none" w:pos="10040" w:val="left"/>
          <w:tab w:leader="none" w:pos="10960" w:val="left"/>
        </w:tabs>
        <w:rPr>
          <w:sz w:val="20"/>
          <w:szCs w:val="20"/>
          <w:color w:val="auto"/>
        </w:rPr>
      </w:pPr>
      <w:r>
        <w:rPr>
          <w:rFonts w:ascii="Arial" w:cs="Arial" w:eastAsia="Arial" w:hAnsi="Arial"/>
          <w:sz w:val="18"/>
          <w:szCs w:val="18"/>
          <w:color w:val="auto"/>
        </w:rPr>
        <w:t>Comprehensive income attributable to StepStone Group Inc.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25,653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24,841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1472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4725" cy="342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Retained Earnings</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8"/>
              </w:rPr>
              <w:t>Accumulated Other</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90"/>
              </w:rPr>
              <w:t>Non-Controlling</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Class A Common</w:t>
            </w:r>
          </w:p>
        </w:tc>
        <w:tc>
          <w:tcPr>
            <w:tcW w:w="9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Class B Common</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Additional Paid-</w:t>
            </w:r>
          </w:p>
        </w:tc>
        <w:tc>
          <w:tcPr>
            <w:tcW w:w="102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94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Interests in</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Equity / Partners’</w:t>
            </w: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Subsidiaries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120,278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20,729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284,105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424,395</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25,578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5,496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76,315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107,389</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3,206</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24,788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362,802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534,137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2020</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216,051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20,738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236,967</w:t>
            </w: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Net income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45,265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57,693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0"/>
              </w:rPr>
              <w:t>Other comprehensive income prior to Reorganization</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w w:val="93"/>
              </w:rPr>
              <w:t>Contributed capital prior to Reorganization and IPO</w:t>
            </w:r>
          </w:p>
        </w:tc>
        <w:tc>
          <w:tcPr>
            <w:tcW w:w="24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Equity-based compensation prior to Reorganization</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Sale of non-controlling interests prior to</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3,308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Purchase of non-controlling interests prior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(3,308)</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rPr>
              <w:t>Distributions prior to Reorganization and IPO</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(63,585)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2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ind w:left="240"/>
              <w:spacing w:after="0" w:line="108" w:lineRule="exact"/>
              <w:rPr>
                <w:sz w:val="20"/>
                <w:szCs w:val="20"/>
                <w:color w:val="auto"/>
              </w:rPr>
            </w:pPr>
            <w:r>
              <w:rPr>
                <w:rFonts w:ascii="Arial" w:cs="Arial" w:eastAsia="Arial" w:hAnsi="Arial"/>
                <w:sz w:val="11"/>
                <w:szCs w:val="11"/>
                <w:color w:val="auto"/>
                <w:w w:val="97"/>
              </w:rPr>
              <w:t>controlling interests prior to Reorganization and</w:t>
            </w:r>
          </w:p>
        </w:tc>
        <w:tc>
          <w:tcPr>
            <w:tcW w:w="2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1"/>
              </w:rPr>
              <w:t>Effect of Reorganization and purchase of units in the</w:t>
            </w:r>
          </w:p>
        </w:tc>
        <w:tc>
          <w:tcPr>
            <w:tcW w:w="2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(211,894)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ind w:left="520"/>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23,432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(513)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188,893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Partnership</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89"/>
              </w:rPr>
              <w:t>Issuance of Class A common stock sold in IPO, net of</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337,778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337,798</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underwriting discounts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rPr>
              <w:t>Purchase of partnership interests with IPO net</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80" w:type="dxa"/>
            <w:vAlign w:val="bottom"/>
            <w:vMerge w:val="restart"/>
          </w:tcPr>
          <w:p>
            <w:pPr>
              <w:ind w:left="540"/>
              <w:spacing w:after="0"/>
              <w:rPr>
                <w:sz w:val="20"/>
                <w:szCs w:val="20"/>
                <w:color w:val="auto"/>
              </w:rPr>
            </w:pPr>
            <w:r>
              <w:rPr>
                <w:rFonts w:ascii="Arial" w:cs="Arial" w:eastAsia="Arial" w:hAnsi="Arial"/>
                <w:sz w:val="11"/>
                <w:szCs w:val="11"/>
                <w:color w:val="auto"/>
                <w:w w:val="88"/>
              </w:rPr>
              <w:t>(7)</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(127,979)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(127,986)</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proceeds</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Deferred IPO costs</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(6,686)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(9,667)</w:t>
            </w: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99"/>
              </w:rPr>
              <w:t>Equity reallocation between controlling and non-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ind w:left="240"/>
              <w:spacing w:after="0" w:line="108" w:lineRule="exact"/>
              <w:rPr>
                <w:sz w:val="20"/>
                <w:szCs w:val="20"/>
                <w:color w:val="auto"/>
              </w:rPr>
            </w:pPr>
            <w:r>
              <w:rPr>
                <w:rFonts w:ascii="Arial" w:cs="Arial" w:eastAsia="Arial" w:hAnsi="Arial"/>
                <w:sz w:val="11"/>
                <w:szCs w:val="11"/>
                <w:color w:val="auto"/>
                <w:w w:val="91"/>
              </w:rPr>
              <w:t>controlling interests subsequent to Reorganization</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103,063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and 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3"/>
              </w:rPr>
              <w:t>Deferred tax effect resulting from purchase of Class</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(7,128)</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 units, net of amounts payable under TRA</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w w:val="94"/>
              </w:rPr>
              <w:t>Net income subsequent to Reorganization and IPO</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24,788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6,206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74,711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105,705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Other comprehensive income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00" w:type="dxa"/>
            <w:vAlign w:val="bottom"/>
          </w:tcPr>
          <w:p>
            <w:pPr>
              <w:ind w:left="140"/>
              <w:spacing w:after="0" w:line="112" w:lineRule="exact"/>
              <w:rPr>
                <w:sz w:val="20"/>
                <w:szCs w:val="20"/>
                <w:color w:val="auto"/>
              </w:rPr>
            </w:pPr>
            <w:r>
              <w:rPr>
                <w:rFonts w:ascii="Arial" w:cs="Arial" w:eastAsia="Arial" w:hAnsi="Arial"/>
                <w:sz w:val="11"/>
                <w:szCs w:val="11"/>
                <w:color w:val="auto"/>
                <w:w w:val="89"/>
              </w:rPr>
              <w:t>Contributed capital subsequent to Reorganization and</w:t>
            </w:r>
          </w:p>
        </w:tc>
        <w:tc>
          <w:tcPr>
            <w:tcW w:w="24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6"/>
        </w:trPr>
        <w:tc>
          <w:tcPr>
            <w:tcW w:w="2500" w:type="dxa"/>
            <w:vAlign w:val="bottom"/>
          </w:tcPr>
          <w:p>
            <w:pPr>
              <w:ind w:left="240"/>
              <w:spacing w:after="0"/>
              <w:rPr>
                <w:sz w:val="20"/>
                <w:szCs w:val="20"/>
                <w:color w:val="auto"/>
              </w:rPr>
            </w:pPr>
            <w:r>
              <w:rPr>
                <w:rFonts w:ascii="Arial" w:cs="Arial" w:eastAsia="Arial" w:hAnsi="Arial"/>
                <w:sz w:val="11"/>
                <w:szCs w:val="11"/>
                <w:color w:val="auto"/>
              </w:rPr>
              <w:t>IPO</w:t>
            </w: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Equity-based compensation subsequent to</w:t>
            </w:r>
          </w:p>
        </w:tc>
        <w:tc>
          <w:tcPr>
            <w:tcW w:w="2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1,207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2,704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3,916</w:t>
            </w:r>
          </w:p>
        </w:tc>
        <w:tc>
          <w:tcPr>
            <w:tcW w:w="0" w:type="dxa"/>
            <w:vAlign w:val="bottom"/>
          </w:tcPr>
          <w:p>
            <w:pPr>
              <w:spacing w:after="0"/>
              <w:rPr>
                <w:sz w:val="1"/>
                <w:szCs w:val="1"/>
                <w:color w:val="auto"/>
              </w:rPr>
            </w:pPr>
          </w:p>
        </w:tc>
      </w:tr>
      <w:tr>
        <w:trPr>
          <w:trHeight w:val="138"/>
        </w:trPr>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Reorganization and IPO</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1"/>
                <w:szCs w:val="11"/>
                <w:color w:val="auto"/>
                <w:w w:val="92"/>
              </w:rPr>
              <w:t>Distributions subsequent to Reorganization and IPO</w:t>
            </w:r>
          </w:p>
        </w:tc>
        <w:tc>
          <w:tcPr>
            <w:tcW w:w="2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(1,330)</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2020</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24,788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362,802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534,137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Stockholders'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Accumulated Other</w:t>
            </w: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90"/>
              </w:rPr>
              <w:t>Non-Controlling</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1"/>
                <w:szCs w:val="11"/>
                <w:b w:val="1"/>
                <w:bCs w:val="1"/>
                <w:color w:val="auto"/>
                <w:w w:val="95"/>
              </w:rPr>
              <w:t>Non-Controlling</w:t>
            </w:r>
          </w:p>
        </w:tc>
        <w:tc>
          <w:tcPr>
            <w:tcW w:w="100" w:type="dxa"/>
            <w:vAlign w:val="bottom"/>
          </w:tcPr>
          <w:p>
            <w:pPr>
              <w:spacing w:after="0"/>
              <w:rPr>
                <w:sz w:val="10"/>
                <w:szCs w:val="10"/>
                <w:color w:val="auto"/>
              </w:rPr>
            </w:pPr>
          </w:p>
        </w:tc>
        <w:tc>
          <w:tcPr>
            <w:tcW w:w="80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Class A Common</w:t>
            </w:r>
          </w:p>
        </w:tc>
        <w:tc>
          <w:tcPr>
            <w:tcW w:w="10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Class B Common</w:t>
            </w:r>
          </w:p>
        </w:tc>
        <w:tc>
          <w:tcPr>
            <w:tcW w:w="96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5"/>
              </w:rPr>
              <w:t>Additional Paid-</w:t>
            </w: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Partners’ Capital</w:t>
            </w:r>
          </w:p>
        </w:tc>
        <w:tc>
          <w:tcPr>
            <w:tcW w:w="100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5"/>
              </w:rPr>
              <w:t>Interests in</w:t>
            </w:r>
          </w:p>
        </w:tc>
        <w:tc>
          <w:tcPr>
            <w:tcW w:w="80" w:type="dxa"/>
            <w:vAlign w:val="bottom"/>
          </w:tcPr>
          <w:p>
            <w:pPr>
              <w:spacing w:after="0"/>
              <w:rPr>
                <w:sz w:val="9"/>
                <w:szCs w:val="9"/>
                <w:color w:val="auto"/>
              </w:rPr>
            </w:pPr>
          </w:p>
        </w:tc>
        <w:tc>
          <w:tcPr>
            <w:tcW w:w="9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Interests in the</w:t>
            </w:r>
          </w:p>
        </w:tc>
        <w:tc>
          <w:tcPr>
            <w:tcW w:w="90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2"/>
              </w:rPr>
              <w:t>Equity / Partners’</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8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Stock</w:t>
            </w:r>
          </w:p>
        </w:tc>
        <w:tc>
          <w:tcPr>
            <w:tcW w:w="1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 Capital</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Subsidiaries</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Partnership</w:t>
            </w:r>
          </w:p>
        </w:tc>
        <w:tc>
          <w:tcPr>
            <w:tcW w:w="100" w:type="dxa"/>
            <w:vAlign w:val="bottom"/>
          </w:tcPr>
          <w:p>
            <w:pPr>
              <w:spacing w:after="0"/>
              <w:rPr>
                <w:sz w:val="12"/>
                <w:szCs w:val="12"/>
                <w:color w:val="auto"/>
              </w:rPr>
            </w:pPr>
          </w:p>
        </w:tc>
        <w:tc>
          <w:tcPr>
            <w:tcW w:w="80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2019</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179,580</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259</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16,985</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196,824</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5,170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17,234</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353</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(5,973)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(6,906)</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2019</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186,156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21,404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207,990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March 31, 2019</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128,426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16,953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145,662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84,947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9,656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94,603</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comprehensive income</w:t>
            </w:r>
          </w:p>
        </w:tc>
        <w:tc>
          <w:tcPr>
            <w:tcW w:w="2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303</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Contributed capital</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Equity-based compensation</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1,432</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1,432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Sale of partnership interests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110,753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110,753</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Purchase of partnership interests</w:t>
            </w:r>
          </w:p>
        </w:tc>
        <w:tc>
          <w:tcPr>
            <w:tcW w:w="2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(113,052)</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2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(26,360)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2"/>
                <w:szCs w:val="12"/>
                <w:color w:val="auto"/>
              </w:rPr>
            </w:pPr>
          </w:p>
        </w:tc>
        <w:tc>
          <w:tcPr>
            <w:tcW w:w="3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(5,361)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(31,721)</w:t>
            </w: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December 31, 2019</w:t>
            </w:r>
          </w:p>
        </w:tc>
        <w:tc>
          <w:tcPr>
            <w:tcW w:w="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186,156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21,404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207,990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163,398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94,603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carried interest allocation and investment income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Unrealized gains on marketable securities</w:t>
            </w: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 amortization of deferred financing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 and accounts receivable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Due from affiliates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(13,109)</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receivables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Accrued carried interest-related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53,826</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affiliates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67,850</w:t>
            </w:r>
          </w:p>
        </w:tc>
      </w:tr>
      <w:tr>
        <w:trPr>
          <w:trHeight w:val="250"/>
        </w:trPr>
        <w:tc>
          <w:tcPr>
            <w:tcW w:w="8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71,345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investments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Distributions received from investments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8360" w:type="dxa"/>
            <w:vAlign w:val="bottom"/>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(8,549)</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Sale of 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110,753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capital contributions from non-controlling interests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IPO, net of underwriting discount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337,798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term loan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(31,722)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(30,342)</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75,492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40,622</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188,991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Purchase of non-controlling partnership interests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effect resulting from purchase of Class B units, net of amounts payable under TRA</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Reconciliation of cash, cash equivalents and restricted cash:</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116,114</w:t>
            </w: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Organization</w:t>
      </w:r>
    </w:p>
    <w:p>
      <w:pPr>
        <w:spacing w:after="0" w:line="222" w:lineRule="exact"/>
        <w:rPr>
          <w:sz w:val="20"/>
          <w:szCs w:val="20"/>
          <w:color w:val="auto"/>
        </w:rPr>
      </w:pPr>
    </w:p>
    <w:p>
      <w:pPr>
        <w:ind w:right="60" w:firstLine="648"/>
        <w:spacing w:after="0" w:line="316" w:lineRule="auto"/>
        <w:rPr>
          <w:sz w:val="20"/>
          <w:szCs w:val="20"/>
          <w:color w:val="auto"/>
        </w:rPr>
      </w:pPr>
      <w:r>
        <w:rPr>
          <w:rFonts w:ascii="Arial" w:cs="Arial" w:eastAsia="Arial" w:hAnsi="Arial"/>
          <w:sz w:val="16"/>
          <w:szCs w:val="16"/>
          <w:color w:val="auto"/>
        </w:rPr>
        <w:t>StepStone Group Inc. (“SSG”) was incorporated in the state of Delaware on November 20, 2019. The company was formed for the purpose of completing an initial public offering (“IPO”) in order to conduct the business of StepStone Group LP (the “Partnership”) as a publicly-traded entity. As of September 18, 2020, in connection with the Reorganization discussed below, SSG became the sole managing member of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condensed consolidated financial statements.</w:t>
      </w:r>
    </w:p>
    <w:p>
      <w:pPr>
        <w:spacing w:after="0" w:line="140"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97" w:lineRule="exact"/>
        <w:rPr>
          <w:sz w:val="20"/>
          <w:szCs w:val="20"/>
          <w:color w:val="auto"/>
        </w:rPr>
      </w:pPr>
    </w:p>
    <w:p>
      <w:pPr>
        <w:ind w:right="700" w:firstLine="648"/>
        <w:spacing w:after="0" w:line="287" w:lineRule="auto"/>
        <w:rPr>
          <w:sz w:val="20"/>
          <w:szCs w:val="20"/>
          <w:color w:val="auto"/>
        </w:rPr>
      </w:pPr>
      <w:r>
        <w:rPr>
          <w:rFonts w:ascii="Arial" w:cs="Arial" w:eastAsia="Arial" w:hAnsi="Arial"/>
          <w:sz w:val="19"/>
          <w:szCs w:val="19"/>
          <w:color w:val="auto"/>
        </w:rPr>
        <w:t>The Company, through its subsidiaries, acts as the investment advisor and general partner or managing member to separately managed accounts (“SMAs”) and focused commingled funds (collectively, the “StepStone Funds”).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connection with the IPO, the Company completed certain transactions as part of a corporate reorganization (the “Reorganization”), which are described below:</w:t>
      </w:r>
    </w:p>
    <w:p>
      <w:pPr>
        <w:spacing w:after="0" w:line="177" w:lineRule="exact"/>
        <w:rPr>
          <w:sz w:val="20"/>
          <w:szCs w:val="20"/>
          <w:color w:val="auto"/>
        </w:rPr>
      </w:pPr>
    </w:p>
    <w:p>
      <w:pPr>
        <w:ind w:left="980" w:right="60" w:hanging="324"/>
        <w:spacing w:after="0" w:line="247"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amended and restated its certificate of incorporation to, among other things, provide for Class A common stock and Class B common stock.</w:t>
      </w:r>
    </w:p>
    <w:p>
      <w:pPr>
        <w:spacing w:after="0" w:line="1"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amended its limited partnership agreement to, among other things, provide for Class A units and Class B units.</w:t>
      </w:r>
    </w:p>
    <w:p>
      <w:pPr>
        <w:spacing w:after="0" w:line="22" w:lineRule="exact"/>
        <w:rPr>
          <w:rFonts w:ascii="Arial" w:cs="Arial" w:eastAsia="Arial" w:hAnsi="Arial"/>
          <w:sz w:val="18"/>
          <w:szCs w:val="18"/>
          <w:color w:val="auto"/>
        </w:rPr>
      </w:pPr>
    </w:p>
    <w:p>
      <w:pPr>
        <w:ind w:left="980" w:right="6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StepStone Group Holdings LLC (the “General Partner”) amended and restated its limited liability company agreement to, among other things, appoint SSG as the sole managing member of the General Partner.</w:t>
      </w: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redeemed its 100 shares of common stock outstanding.</w:t>
      </w:r>
    </w:p>
    <w:p>
      <w:pPr>
        <w:ind w:left="980" w:hanging="324"/>
        <w:spacing w:after="0" w:line="266" w:lineRule="auto"/>
        <w:tabs>
          <w:tab w:leader="none" w:pos="9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ind w:left="980" w:right="26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Partnership classified the partnership units acquired by SSG as Class A units and reclassified the partnership units held by the continuing limited partners of the Partnership as Class B units.</w:t>
      </w:r>
    </w:p>
    <w:p>
      <w:pPr>
        <w:ind w:left="980" w:right="300" w:hanging="324"/>
        <w:spacing w:after="0" w:line="239" w:lineRule="auto"/>
        <w:tabs>
          <w:tab w:leader="none" w:pos="968" w:val="left"/>
        </w:tabs>
        <w:numPr>
          <w:ilvl w:val="0"/>
          <w:numId w:val="5"/>
        </w:numPr>
        <w:rPr>
          <w:rFonts w:ascii="Arial" w:cs="Arial" w:eastAsia="Arial" w:hAnsi="Arial"/>
          <w:sz w:val="20"/>
          <w:szCs w:val="20"/>
          <w:color w:val="auto"/>
        </w:rPr>
      </w:pPr>
      <w:r>
        <w:rPr>
          <w:rFonts w:ascii="Arial" w:cs="Arial" w:eastAsia="Arial" w:hAnsi="Arial"/>
          <w:sz w:val="20"/>
          <w:szCs w:val="20"/>
          <w:color w:val="auto"/>
        </w:rPr>
        <w:t>SSG issued to the remaining Class B unitholders one share of Class B common stock for each Class B unit that they owned in exchange for their interests in the General Partner.</w:t>
      </w:r>
    </w:p>
    <w:p>
      <w:pPr>
        <w:ind w:left="980" w:right="40" w:hanging="324"/>
        <w:spacing w:after="0" w:line="260" w:lineRule="auto"/>
        <w:tabs>
          <w:tab w:leader="none" w:pos="968" w:val="left"/>
        </w:tabs>
        <w:numPr>
          <w:ilvl w:val="0"/>
          <w:numId w:val="5"/>
        </w:numPr>
        <w:rPr>
          <w:rFonts w:ascii="Arial" w:cs="Arial" w:eastAsia="Arial" w:hAnsi="Arial"/>
          <w:sz w:val="19"/>
          <w:szCs w:val="19"/>
          <w:color w:val="auto"/>
        </w:rPr>
      </w:pPr>
      <w:r>
        <w:rPr>
          <w:rFonts w:ascii="Arial" w:cs="Arial" w:eastAsia="Arial" w:hAnsi="Arial"/>
          <w:sz w:val="19"/>
          <w:szCs w:val="19"/>
          <w:color w:val="auto"/>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of certain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Initial Public Offering</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80" w:lineRule="exact"/>
        <w:rPr>
          <w:sz w:val="20"/>
          <w:szCs w:val="20"/>
          <w:color w:val="auto"/>
        </w:rPr>
      </w:pPr>
    </w:p>
    <w:p>
      <w:pPr>
        <w:ind w:right="100" w:firstLine="648"/>
        <w:spacing w:after="0" w:line="309" w:lineRule="auto"/>
        <w:rPr>
          <w:sz w:val="20"/>
          <w:szCs w:val="20"/>
          <w:color w:val="auto"/>
        </w:rPr>
      </w:pPr>
      <w:r>
        <w:rPr>
          <w:rFonts w:ascii="Arial" w:cs="Arial" w:eastAsia="Arial" w:hAnsi="Arial"/>
          <w:sz w:val="16"/>
          <w:szCs w:val="16"/>
          <w:color w:val="auto"/>
        </w:rPr>
        <w:t>Following the Reorganization and IPO, SSG became a holding company whose principal asset is a controlling financial interest in the Partnership through its ownership of all of the Partnership’s Class A units and a 100% membership interest in the General Partner of the Partnership. While this interest represents a minority of economic interests in the Partnership, SSG acts as the sole managing member of the General Partner of the Partnership and, as a result, indirectly operates and controls all of the Partnership’s business and affairs. As a result, SSG consolidates the financial results of the Partnership and report non-controlling interests related to the Class B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December 31, 2020, SSG held approximately 30.8% of the economic interest in the Partnership. As the Partnership’s limited partners exchange their Class B units into SSG’s Class A common stock in the future, SSG’s economic interest in the Partnership will increase.</w:t>
      </w:r>
    </w:p>
    <w:p>
      <w:pPr>
        <w:spacing w:after="0" w:line="379"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 Reorganization is considered a transaction between entities under common control. As a result, the condensed consolidated financial statements for periods prior to the Reorganization and IPO are the condensed consolidated financial statements of the Partnership as the predecessor to SSG for accounting and reporting purposes.</w:t>
      </w:r>
    </w:p>
    <w:p>
      <w:pPr>
        <w:spacing w:after="0" w:line="180" w:lineRule="exact"/>
        <w:rPr>
          <w:sz w:val="20"/>
          <w:szCs w:val="20"/>
          <w:color w:val="auto"/>
        </w:rPr>
      </w:pPr>
    </w:p>
    <w:p>
      <w:pPr>
        <w:ind w:left="660" w:right="7140" w:hanging="652"/>
        <w:spacing w:after="0" w:line="468" w:lineRule="auto"/>
        <w:tabs>
          <w:tab w:leader="none" w:pos="358"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ind w:right="20" w:firstLine="648"/>
        <w:spacing w:after="0" w:line="255" w:lineRule="auto"/>
        <w:rPr>
          <w:sz w:val="20"/>
          <w:szCs w:val="20"/>
          <w:color w:val="auto"/>
        </w:rPr>
      </w:pPr>
      <w:r>
        <w:rPr>
          <w:rFonts w:ascii="Arial" w:cs="Arial" w:eastAsia="Arial" w:hAnsi="Arial"/>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audited consolidated financial statements of the Company for the year ended March 31, 2020 included in the Company’s prospectus dated September 15, 2020, filed with the U.S. Securities and Exchange Commission (“SEC”) on September 16, 2020.</w:t>
      </w:r>
    </w:p>
    <w:p>
      <w:pPr>
        <w:spacing w:after="0" w:line="187"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Certain of the StepStone Funds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Reclassifications</w:t>
      </w:r>
    </w:p>
    <w:p>
      <w:pPr>
        <w:spacing w:after="0" w:line="208"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Certain prior year amounts have been reclassified to conform to the current period presentation. Amounts relating to deferred tax assets that were previously reported within other assets and receivables have been presented separately in the condensed consolidated balance sheets as of March 31, 2020. Amounts relating to foreign currency translation gains and losses that were previously reported within general, administrative and other expenses have been presented within other income (loss) in the condensed consolidated statements of income.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Consolidation</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remove the general partner or substantive rights to participate. Certain StepStone Funds are VIEs because they have not granted unaffiliated limited partners or members substantive rights to terminate or remove the general partner or substantive rights to participate. The Company does not consolidate these StepStone Funds because it is not the primary beneficiary of those funds, primarily because its fee arrangements are considered customary and commensurate and thus not deemed to be variable interests, and it does not hold any other interests in those funds that are considered more than insignificant.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has determined that certain of its operating subsidiaries, StepStone Group Real Assets LP (“SRA”), StepStone Group Real Estate LP (“SRE”) and Swiss Capital Alternative Investments AG (“Swiss Capital”),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i w:val="1"/>
          <w:iCs w:val="1"/>
          <w:color w:val="auto"/>
        </w:rPr>
        <w:t xml:space="preserve">Non-controlling interests in subsidiaries </w:t>
      </w:r>
      <w:r>
        <w:rPr>
          <w:rFonts w:ascii="Arial" w:cs="Arial" w:eastAsia="Arial" w:hAnsi="Arial"/>
          <w:sz w:val="18"/>
          <w:szCs w:val="18"/>
          <w:color w:val="auto"/>
        </w:rPr>
        <w:t>represent the economic interests in SRA, SRE, and Swiss Capital (the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included in the Company’s condensed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i w:val="1"/>
          <w:iCs w:val="1"/>
          <w:color w:val="auto"/>
        </w:rPr>
        <w:t xml:space="preserve">Non-controlling interests in the Partnership </w:t>
      </w:r>
      <w:r>
        <w:rPr>
          <w:rFonts w:ascii="Arial" w:cs="Arial" w:eastAsia="Arial" w:hAnsi="Arial"/>
          <w:sz w:val="20"/>
          <w:szCs w:val="20"/>
          <w:color w:val="auto"/>
        </w:rPr>
        <w:t>represent the economic interests related to the Class B units of the Partnership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owned by SSG. Non-controlling interests in the Partnership are allocated a share of income or loss in the Partnership in proportion to their relative ownership interests, after consideration of contractual arrangements that govern allocations of income or loss. Prior to the Reorganization and IPO, all of the Company’s net income related to the Partnership and therefore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Accounting for Differing Fiscal Periods</w:t>
      </w:r>
    </w:p>
    <w:p>
      <w:pPr>
        <w:spacing w:after="0" w:line="222"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ending December 31, 2020, the Company used the September 30, 2020 unaudited financial statements of the StepStone Funds, which reflect the underlying private market funds as of September 30, 2020 to record its investments (including any carried interest allocated by those investments), as adjusted for capital contributions and distributions during the three-month lag period ended December 31,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does not account for management and advisory fees or incentive fees on a three-month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9"/>
          <w:szCs w:val="19"/>
          <w:color w:val="auto"/>
        </w:rPr>
        <w:t>In March 2020, the World Health Organization declared the outbreak of the novel coronavirus (“COVID-19”) a global pandemic. The outbreak has significantly affected the global economy and financial markets. Given the ongoing nature of the outbreak, it is currently not possible to predict the potential scale and scope of the outbreak and its ultimate effects on the financial markets, overall economy and the Company’s condensed consolidated financial statements. During the nine months ended December 31, 2020, the Company's investments in StepStone Funds and accrued carried interest allocations initially experienced significant declines in the first three months, primarily reflecting the unrealized depreciation in the fair value of certain underlying fund investments driven by the impact of COVID-19, and has subsequently seen significant increases, primarily reflecting the unrealized appreciation in the fair value of certain underlying fund investments driven by the general recovery in the financial markets.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Fair Value Measurements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Financial instruments measured and reported at fair value are classified and disclosed based on the observability of inputs used in the determination of their fair values, as follows:</w:t>
      </w:r>
    </w:p>
    <w:p>
      <w:pPr>
        <w:spacing w:after="0" w:line="17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 Pricing inputs are unadjusted, quoted prices in active markets for identical assets or liabilities as of the measurement date.</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91" w:lineRule="exact"/>
        <w:rPr>
          <w:rFonts w:ascii="Arial" w:cs="Arial" w:eastAsia="Arial" w:hAnsi="Arial"/>
          <w:sz w:val="20"/>
          <w:szCs w:val="20"/>
          <w:color w:val="auto"/>
        </w:rPr>
      </w:pPr>
    </w:p>
    <w:p>
      <w:pPr>
        <w:ind w:left="660" w:right="38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6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The Company considers its cash, cash equivalents, restricted cash, fees and accounts receivable, accounts payable, investments and contingent consideration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balances.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Cash</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Restricted cash consists of cash that the Company is contractually obligated to maintain to secure its letters of credit used primarily related to its office facilities and other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Investments</w:t>
      </w:r>
    </w:p>
    <w:p>
      <w:pPr>
        <w:spacing w:after="0" w:line="222"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The Company evaluates its equity method investments for impairment whenever events or changes in circumstances indicate that the carrying amounts of such investments may not be recoverable.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The Company recognizes revenue in accordance with Accounting Standards Codification Topic 606 (“ASC 606”),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w:t>
      </w:r>
      <w:r>
        <w:rPr>
          <w:rFonts w:ascii="Arial" w:cs="Arial" w:eastAsia="Arial" w:hAnsi="Arial"/>
          <w:sz w:val="19"/>
          <w:szCs w:val="19"/>
          <w:color w:val="auto"/>
        </w:rPr>
        <w:t>. Revenue is recognized in a manner that depicts the transfer of promised goods or services to customers and for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220" w:firstLine="648"/>
        <w:spacing w:after="0" w:line="244" w:lineRule="auto"/>
        <w:rPr>
          <w:sz w:val="20"/>
          <w:szCs w:val="20"/>
          <w:color w:val="auto"/>
        </w:rPr>
      </w:pPr>
      <w:r>
        <w:rPr>
          <w:rFonts w:ascii="Arial" w:cs="Arial" w:eastAsia="Arial" w:hAnsi="Arial"/>
          <w:sz w:val="20"/>
          <w:szCs w:val="20"/>
          <w:color w:val="auto"/>
        </w:rPr>
        <w:t>The Company earns management fees for services provided to its SMAs, focused commingled funds and distribution management clients.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incur certain costs in connection with satisfying its performance obligations for investment management services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primarily employee travel costs, organization costs and syndication costs – for which it receives reimbursements from its customers. For reimbursable travel costs, organization costs and syndication costs,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earns two types of performance fee revenues: incentive fees and carried interest allocations, as described below.</w:t>
      </w:r>
    </w:p>
    <w:p>
      <w:pPr>
        <w:spacing w:after="0" w:line="23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auto"/>
        </w:rPr>
        <w:t xml:space="preserve">Incentive fees </w:t>
      </w:r>
      <w:r>
        <w:rPr>
          <w:rFonts w:ascii="Arial" w:cs="Arial" w:eastAsia="Arial" w:hAnsi="Arial"/>
          <w:sz w:val="19"/>
          <w:szCs w:val="19"/>
          <w:color w:val="auto"/>
        </w:rPr>
        <w:t>are generally calculated as a percentage of the profits (up to 10%) earned in respect of certain accounts for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8" w:lineRule="exact"/>
        <w:rPr>
          <w:sz w:val="20"/>
          <w:szCs w:val="20"/>
          <w:color w:val="auto"/>
        </w:rPr>
      </w:pPr>
    </w:p>
    <w:p>
      <w:pPr>
        <w:jc w:val="both"/>
        <w:ind w:right="140" w:firstLine="648"/>
        <w:spacing w:after="0" w:line="306" w:lineRule="auto"/>
        <w:rPr>
          <w:sz w:val="20"/>
          <w:szCs w:val="20"/>
          <w:color w:val="auto"/>
        </w:rPr>
      </w:pPr>
      <w:r>
        <w:rPr>
          <w:rFonts w:ascii="Arial" w:cs="Arial" w:eastAsia="Arial" w:hAnsi="Arial"/>
          <w:sz w:val="16"/>
          <w:szCs w:val="16"/>
          <w:color w:val="auto"/>
        </w:rPr>
        <w:t>The Company recognizes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94" w:lineRule="exact"/>
        <w:rPr>
          <w:sz w:val="20"/>
          <w:szCs w:val="20"/>
          <w:color w:val="auto"/>
        </w:rPr>
      </w:pPr>
    </w:p>
    <w:p>
      <w:pPr>
        <w:ind w:right="60" w:firstLine="648"/>
        <w:spacing w:after="0" w:line="242" w:lineRule="auto"/>
        <w:rPr>
          <w:sz w:val="20"/>
          <w:szCs w:val="20"/>
          <w:color w:val="auto"/>
        </w:rPr>
      </w:pPr>
      <w:r>
        <w:rPr>
          <w:rFonts w:ascii="Arial" w:cs="Arial" w:eastAsia="Arial" w:hAnsi="Arial"/>
          <w:sz w:val="20"/>
          <w:szCs w:val="20"/>
          <w:i w:val="1"/>
          <w:iCs w:val="1"/>
          <w:color w:val="auto"/>
        </w:rPr>
        <w:t xml:space="preserve">Carried interest allocations </w:t>
      </w:r>
      <w:r>
        <w:rPr>
          <w:rFonts w:ascii="Arial" w:cs="Arial" w:eastAsia="Arial" w:hAnsi="Arial"/>
          <w:sz w:val="20"/>
          <w:szCs w:val="20"/>
          <w:color w:val="auto"/>
        </w:rPr>
        <w:t>include the allocation of performance-based fees, commonly referred to as carried interest,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97" w:lineRule="exact"/>
        <w:rPr>
          <w:sz w:val="20"/>
          <w:szCs w:val="20"/>
          <w:color w:val="auto"/>
        </w:rPr>
      </w:pPr>
    </w:p>
    <w:p>
      <w:pPr>
        <w:ind w:right="80" w:firstLine="648"/>
        <w:spacing w:after="0" w:line="316" w:lineRule="auto"/>
        <w:rPr>
          <w:sz w:val="20"/>
          <w:szCs w:val="20"/>
          <w:color w:val="auto"/>
        </w:rPr>
      </w:pPr>
      <w:r>
        <w:rPr>
          <w:rFonts w:ascii="Arial" w:cs="Arial" w:eastAsia="Arial" w:hAnsi="Arial"/>
          <w:sz w:val="16"/>
          <w:szCs w:val="16"/>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2020 and March 31, 2020, no material amounts for potential clawback obligations had been accrued.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Equity-Based Compensation</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Company accounts for grants of equity-based awards, including restricted stock units (“RSUs”),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in the condensed consolidated statements of income. The fair value of RSUs is determined by the closing stock price on the grant date. Forfeitures of equity-based awards are recognized as they occur. See note 9 for additional information regarding the Company’s accounting for equity-based awards.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Taxes</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local or non-U.S. income taxes. Additionally, certain subsidiaries are subject to local jurisdiction taxes at the entity level, with the related tax provision reflected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60" w:firstLine="648"/>
        <w:spacing w:after="0" w:line="260" w:lineRule="auto"/>
        <w:rPr>
          <w:sz w:val="20"/>
          <w:szCs w:val="20"/>
          <w:color w:val="auto"/>
        </w:rPr>
      </w:pPr>
      <w:r>
        <w:rPr>
          <w:rFonts w:ascii="Arial" w:cs="Arial" w:eastAsia="Arial" w:hAnsi="Arial"/>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The principal items giving rise to temporary differences are certain basis differences resulting from exchanges of Partnership units.</w:t>
      </w:r>
    </w:p>
    <w:p>
      <w:pPr>
        <w:spacing w:after="0" w:line="180"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 xml:space="preserve">The Company is subject to the provisions of ASC Subtopic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percent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general, administrative and other expenses in the condensed consolidated statements of income. See note 10 for more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Tax Receivable Agreements</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SSG has entered into an Exchanges Tax Receivable Agreement with the partners of the Partnership as of the date of the IPO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Accumulated Other Comprehensive Income</w:t>
      </w:r>
    </w:p>
    <w:p>
      <w:pPr>
        <w:spacing w:after="0" w:line="22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2020</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86"/>
              </w:rPr>
              <w:t>502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on defined benefit plan, net</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52"/>
              <w:spacing w:after="0"/>
              <w:rPr>
                <w:sz w:val="20"/>
                <w:szCs w:val="20"/>
                <w:color w:val="auto"/>
              </w:rPr>
            </w:pPr>
            <w:r>
              <w:rPr>
                <w:rFonts w:ascii="Arial" w:cs="Arial" w:eastAsia="Arial" w:hAnsi="Arial"/>
                <w:sz w:val="18"/>
                <w:szCs w:val="18"/>
                <w:color w:val="auto"/>
                <w:w w:val="95"/>
              </w:rPr>
              <w:t>(324)</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6"/>
              </w:rPr>
              <w:t>178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9"/>
          <w:szCs w:val="19"/>
          <w:color w:val="auto"/>
        </w:rPr>
        <w:t>The Company operates as one business, a fully-integrated private markets solution provider. The Company’s chief operating decision maker, which consists of the Company’s co-chief executive officers together,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Recent Accounting Pronouncements</w:t>
      </w:r>
    </w:p>
    <w:p>
      <w:pPr>
        <w:spacing w:after="0" w:line="222"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 xml:space="preserve">In February 2016, the Financial Accounting Standards Board (“FASB”) issued Accounting Standards Update (“ASU”) 2016-02, </w:t>
      </w:r>
      <w:r>
        <w:rPr>
          <w:rFonts w:ascii="Arial" w:cs="Arial" w:eastAsia="Arial" w:hAnsi="Arial"/>
          <w:sz w:val="19"/>
          <w:szCs w:val="19"/>
          <w:i w:val="1"/>
          <w:iCs w:val="1"/>
          <w:color w:val="auto"/>
        </w:rPr>
        <w:t xml:space="preserve">Leases </w:t>
      </w:r>
      <w:r>
        <w:rPr>
          <w:rFonts w:ascii="Arial" w:cs="Arial" w:eastAsia="Arial" w:hAnsi="Arial"/>
          <w:sz w:val="19"/>
          <w:szCs w:val="19"/>
          <w:color w:val="auto"/>
        </w:rPr>
        <w:t>(Topic 842). ASU 2016-02 requires an entity to recognize right-of-use assets and lease liabilities on its balance sheet for all leases and</w:t>
      </w:r>
      <w:r>
        <w:rPr>
          <w:rFonts w:ascii="Arial" w:cs="Arial" w:eastAsia="Arial" w:hAnsi="Arial"/>
          <w:sz w:val="19"/>
          <w:szCs w:val="19"/>
          <w:i w:val="1"/>
          <w:iCs w:val="1"/>
          <w:color w:val="auto"/>
        </w:rPr>
        <w:t xml:space="preserve"> </w:t>
      </w:r>
      <w:r>
        <w:rPr>
          <w:rFonts w:ascii="Arial" w:cs="Arial" w:eastAsia="Arial" w:hAnsi="Arial"/>
          <w:sz w:val="19"/>
          <w:szCs w:val="19"/>
          <w:color w:val="auto"/>
        </w:rPr>
        <w:t>to disclose certain information about leasing arrangements. Lessees and lessors are required to disclose qualitative and quantitative information about leasing arrangements to enable a user of the financial statements to assess the amount, timing and uncertainty of cash flows arising from leases. For public business entities, ASU 2016-02 was effective for annual reporting periods beginning after December 15, 2018. On June 3, 2020, the FASB extended the adoption date for all other entities, including emerging growth companies (“EGCs”), as defined by the SEC, that have elected to defer adoption until the standard is effective for non-public business entities, to annual periods beginning after December 15, 2021, and interim periods within annual periods beginning after December 15, 2022, with early adoption permitted. The Company expects to adopt this guidance on April 1, 2021. The adoption of this guidance is expected to materially impact the Company’s condensed consolidated balance sheets due to the requirement to record right-of-use assets and liabilities related to leases that are currently reported as operating leases. However, the Company does not expect the adoption to materially impact its condensed consolidated statements of income because substantially all of its leases are classified as operating leases, which will continue to be recognized as expense on a straight-line basis under the new guidance. See note 14 for more information related to the Company’s minimum lease payments as of December 31, 2020.</w:t>
      </w:r>
    </w:p>
    <w:p>
      <w:pPr>
        <w:spacing w:after="0" w:line="19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Instruments—Credit Losses</w:t>
      </w:r>
      <w:r>
        <w:rPr>
          <w:rFonts w:ascii="Arial" w:cs="Arial" w:eastAsia="Arial" w:hAnsi="Arial"/>
          <w:sz w:val="19"/>
          <w:szCs w:val="19"/>
          <w:color w:val="auto"/>
        </w:rPr>
        <w:t>, which changes the accounting for recognizing impairments of financial assets. Under this guidance, credit losses for certain types of financial instruments will be estimated based on expected losses. The guidance also modifies the impairment models for available-for-sale debt securities and purchased financial assets with credit deterioration since their origination. This guidance is effective for annual and interim periods beginning after December 15, 2019 for SEC filers, December 15, 2020 for public business entities that are not SEC filers, and December 15, 2021 for all other entities, including EGCs that have elected to defer adoption until the guidance becomes effective for non-public entities, with early adoption permitted. The Company adopted this guidance as of its fiscal year beginning April 1, 2020. Adoption of this guidance did not have a material effect on the condensed consolidated financial statements.</w:t>
      </w:r>
    </w:p>
    <w:p>
      <w:pPr>
        <w:spacing w:after="0" w:line="1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modifies ASC 740 to simplify the accounting for income taxes. The guidance, among other changes, (i) provides a policy election to not allocate consolidated income taxes when a member of a consolidated tax return is not subject to income tax and (ii) provides guidance to evaluate whether a step-up in tax basis of goodwill relates to a business combination in which book goodwill was recognized or a separate transaction. This guidance is effective for annual periods beginning after December 15, 2020. The Company does not expect adoption of this guidance to have a material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Revenues</w:t>
      </w:r>
    </w:p>
    <w:p>
      <w:pPr>
        <w:spacing w:after="0" w:line="222"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The following presents revenues disaggregated by product offering, which aligns with the Company's performance obligations and the basis for calculating each amount: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Management and Advisory Fees, Net</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Focused commingled funds</w:t>
            </w: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56,917</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SMAs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Advisory and other services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35,236</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 reimbursement revenues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48"/>
        </w:trPr>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management and advisory fees, net</w:t>
            </w:r>
          </w:p>
        </w:tc>
        <w:tc>
          <w:tcPr>
            <w:tcW w:w="280" w:type="dxa"/>
            <w:vAlign w:val="bottom"/>
            <w:tcBorders>
              <w:bottom w:val="single" w:sz="8" w:color="auto"/>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209,245</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171,026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Incentive Fees</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incentive fees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8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24"/>
                <w:szCs w:val="24"/>
                <w:color w:val="auto"/>
              </w:rPr>
            </w:pPr>
          </w:p>
        </w:tc>
        <w:tc>
          <w:tcPr>
            <w:tcW w:w="25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December 31,</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Carried Interest Allocation</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93,650</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Focused commingled funds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35,364</w:t>
            </w:r>
          </w:p>
        </w:tc>
      </w:tr>
      <w:tr>
        <w:trPr>
          <w:trHeight w:val="248"/>
        </w:trPr>
        <w:tc>
          <w:tcPr>
            <w:tcW w:w="57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carried interest allocation</w:t>
            </w:r>
          </w:p>
        </w:tc>
        <w:tc>
          <w:tcPr>
            <w:tcW w:w="280" w:type="dxa"/>
            <w:vAlign w:val="bottom"/>
            <w:tcBorders>
              <w:bottom w:val="single" w:sz="8" w:color="auto"/>
            </w:tcBorders>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176,744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increase or decrease in carried interest allocation for the three and nine months ended December 31, 2020 as compared to the prior year periods are primarily attributable to net unrealized appreciation or depreciation in the fair value of certain underlying fund investments. See note 2 for a discussion of the Company's accounting policy for investments on a three-month lag.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derives revenues from clients located in both the United States and other countries. The table below presents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Company’s revenues by geographic 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23"/>
                <w:szCs w:val="23"/>
                <w:b w:val="1"/>
                <w:bCs w:val="1"/>
                <w:color w:val="auto"/>
                <w:vertAlign w:val="superscript"/>
              </w:rPr>
              <w:t>(1)</w:t>
            </w:r>
          </w:p>
        </w:tc>
        <w:tc>
          <w:tcPr>
            <w:tcW w:w="29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73,915</w:t>
            </w:r>
          </w:p>
        </w:tc>
        <w:tc>
          <w:tcPr>
            <w:tcW w:w="0" w:type="dxa"/>
            <w:vAlign w:val="bottom"/>
          </w:tcPr>
          <w:p>
            <w:pPr>
              <w:spacing w:after="0"/>
              <w:rPr>
                <w:sz w:val="1"/>
                <w:szCs w:val="1"/>
                <w:color w:val="auto"/>
              </w:rPr>
            </w:pPr>
          </w:p>
        </w:tc>
      </w:tr>
      <w:tr>
        <w:trPr>
          <w:trHeight w:val="215"/>
        </w:trPr>
        <w:tc>
          <w:tcPr>
            <w:tcW w:w="5700" w:type="dxa"/>
            <w:vAlign w:val="bottom"/>
          </w:tcPr>
          <w:p>
            <w:pPr>
              <w:ind w:left="360"/>
              <w:spacing w:after="0"/>
              <w:rPr>
                <w:sz w:val="20"/>
                <w:szCs w:val="20"/>
                <w:color w:val="auto"/>
              </w:rPr>
            </w:pPr>
            <w:r>
              <w:rPr>
                <w:rFonts w:ascii="Arial" w:cs="Arial" w:eastAsia="Arial" w:hAnsi="Arial"/>
                <w:sz w:val="18"/>
                <w:szCs w:val="18"/>
                <w:color w:val="auto"/>
              </w:rPr>
              <w:t>Non-U.S. countries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202,329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331,868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228,751</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right="460" w:hanging="652"/>
        <w:spacing w:after="0" w:line="260"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are attributed to countries based on client location for SMAs and advisory and other services, or location of investment vehicle for focused commingled funds.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 and nine months ended December 31, 2020 and 2019, no individual client represented 10% or more of the Company’s management and advisory fees.</w:t>
      </w:r>
    </w:p>
    <w:p>
      <w:pPr>
        <w:spacing w:after="0" w:line="177"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As of December 31, 2020 and March 31, 2020, the Company had $13.6 million and $8.5 million, respectively, of deferred revenues, which is included in accounts payable, accrued expenses and other liabilities in the condensed consolidated balance sheets. During the nine months ended December 31, 2020, the Company had recognized $0.5 million as revenue from amounts included in the deferred revenue balance as of March 31, 2020.</w:t>
      </w:r>
    </w:p>
    <w:p>
      <w:pPr>
        <w:spacing w:after="0" w:line="185" w:lineRule="exact"/>
        <w:rPr>
          <w:sz w:val="20"/>
          <w:szCs w:val="20"/>
          <w:color w:val="auto"/>
        </w:rPr>
      </w:pPr>
    </w:p>
    <w:p>
      <w:pPr>
        <w:ind w:left="660" w:right="8760" w:hanging="652"/>
        <w:spacing w:after="0" w:line="520" w:lineRule="auto"/>
        <w:tabs>
          <w:tab w:leader="none" w:pos="3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Consolidated VIEs</w:t>
      </w:r>
    </w:p>
    <w:p>
      <w:pPr>
        <w:ind w:right="40" w:firstLine="648"/>
        <w:spacing w:after="0" w:line="242" w:lineRule="auto"/>
        <w:rPr>
          <w:sz w:val="20"/>
          <w:szCs w:val="20"/>
          <w:color w:val="auto"/>
        </w:rPr>
      </w:pPr>
      <w:r>
        <w:rPr>
          <w:rFonts w:ascii="Arial" w:cs="Arial" w:eastAsia="Arial" w:hAnsi="Arial"/>
          <w:sz w:val="20"/>
          <w:szCs w:val="20"/>
          <w:color w:val="auto"/>
        </w:rPr>
        <w:t>The Company consolidates certain VIEs for which it is the primary beneficiary. VIEs consist of certain operating entities not wholly-owned by the Company and include Swiss Capital, SRA and SRE. See note 2 for more information on the Company’s accounting policies related to the consolidation of VIEs. The assets of the consolidated VIEs totaled $66.1 million and $49.2 million as of December 31, 2020 and March 31, 2020, respectively. The liabilities of the consolidated VIEs totaled $27.8 million and $13.5 million as of December 31, 2020 and March 31, 2020,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2020, no material amounts previously distributed have been accrued for clawback liabilities.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Unconsolidated VIEs</w:t>
      </w:r>
    </w:p>
    <w:p>
      <w:pPr>
        <w:spacing w:after="0" w:line="22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Due from affiliates, net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attributable to non-controlling interests in subsidiaries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Maximum exposure to loss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60,376</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w:t>
            </w:r>
          </w:p>
        </w:tc>
      </w:tr>
      <w:tr>
        <w:trPr>
          <w:trHeight w:val="20"/>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Investments</w:t>
      </w:r>
    </w:p>
    <w:p>
      <w:pPr>
        <w:spacing w:after="0" w:line="222" w:lineRule="exact"/>
        <w:rPr>
          <w:sz w:val="20"/>
          <w:szCs w:val="20"/>
          <w:color w:val="auto"/>
        </w:rPr>
      </w:pPr>
    </w:p>
    <w:p>
      <w:pPr>
        <w:ind w:right="80" w:firstLine="648"/>
        <w:spacing w:after="0" w:line="263" w:lineRule="auto"/>
        <w:rPr>
          <w:sz w:val="20"/>
          <w:szCs w:val="20"/>
          <w:color w:val="auto"/>
        </w:rPr>
      </w:pPr>
      <w:r>
        <w:rPr>
          <w:rFonts w:ascii="Arial" w:cs="Arial" w:eastAsia="Arial" w:hAnsi="Arial"/>
          <w:sz w:val="19"/>
          <w:szCs w:val="19"/>
          <w:color w:val="auto"/>
        </w:rPr>
        <w:t>The Company’s investments consist of equity method investments primarily related to investments in the StepStone Funds for which it serves as general partner or managing member but does not have a controlling financial interest. The Company’s equity interest typically does not exceed 1% in each fund. The Company’s share of the underlying net income or loss attributable to its equity interest in the funds is recorded in investment income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equity method investments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funds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carried interest allocations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636,887</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460,837</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9"/>
          <w:szCs w:val="19"/>
          <w:color w:val="auto"/>
        </w:rPr>
        <w:t>The Company recognized equity method income of $182.1 million and $5.4 million for the three months ended December 31, 2020 and 2019, respectively, of which $176.7 million and $4.7 million, respectively, related to carried interest allocations. The Company recognized equity method income of $220.8 million and $132.9 million for the nine months ended December 31, 2020 and 2019, respectively, of which $214.3 million and $129.0 million, respectively, related to carried interest allocations.</w:t>
      </w:r>
    </w:p>
    <w:p>
      <w:pPr>
        <w:spacing w:after="0" w:line="176"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As of December 31, 2020, the Company’s investments in two SMAs each individually represented 10% or more of the total accrued carried interest allocations balance, and in the aggregate represented approximately 26% of the total accrued carried interest allocations balance as of that date. As of March 31, 2020, the Company’s investments in three SMAs each individually represented 10% or more of the total accrued carried interest allocations balance, and in the aggregate represented approximately 37% of the total accrued carried interest allocations balance as of that date.</w:t>
      </w:r>
    </w:p>
    <w:p>
      <w:pPr>
        <w:spacing w:after="0" w:line="194"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Of the total accrued carried interest allocations balance as of December 31, 2020 and March 31, 2020, respectively, $320.9 million and $237.7 million were payable to affiliates and is included in accrued carried interest-related compensation in the condensed consolidated balance sheets.</w:t>
      </w:r>
    </w:p>
    <w:p>
      <w:pPr>
        <w:spacing w:after="0" w:line="186"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Company evaluates each of its equity method investments to determine if any are considered significant as defined by the SEC. As of December 31, 2020 and March 31, 2020 and for the three and nine months ended December 31, 2020 and 2019, no individual equity method investment held by the Company met the significance criteria. As a result, the Company is not required to provide separate financial statements for any of its equity method investments.</w:t>
      </w:r>
    </w:p>
    <w:p>
      <w:pPr>
        <w:spacing w:after="0" w:line="18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1000" w:firstLine="648"/>
        <w:spacing w:after="0" w:line="260" w:lineRule="auto"/>
        <w:rPr>
          <w:sz w:val="20"/>
          <w:szCs w:val="20"/>
          <w:color w:val="auto"/>
        </w:rPr>
      </w:pPr>
      <w:r>
        <w:rPr>
          <w:rFonts w:ascii="Arial" w:cs="Arial" w:eastAsia="Arial" w:hAnsi="Arial"/>
          <w:sz w:val="20"/>
          <w:szCs w:val="20"/>
          <w:color w:val="auto"/>
        </w:rPr>
        <w:t>The Company measures its liabilities at fair value on a recurring basis. The following tables provide details regarding the classification of these liabilities within the fair value hierarchy as of the dates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As of December 31,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As of March 31,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Total</w:t>
            </w: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Arial" w:cs="Arial" w:eastAsia="Arial" w:hAnsi="Arial"/>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For the liabilities presented in the tables above, there were no changes in fair value hierarchy levels during the three and nine months ended December 31, 2020 and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changes in the fair value of Level III financial instruments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w:t>
            </w:r>
          </w:p>
        </w:tc>
        <w:tc>
          <w:tcPr>
            <w:tcW w:w="7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400"/>
              <w:spacing w:after="0"/>
              <w:rPr>
                <w:sz w:val="20"/>
                <w:szCs w:val="20"/>
                <w:color w:val="auto"/>
              </w:rPr>
            </w:pPr>
            <w:r>
              <w:rPr>
                <w:rFonts w:ascii="Arial" w:cs="Arial" w:eastAsia="Arial" w:hAnsi="Arial"/>
                <w:sz w:val="18"/>
                <w:szCs w:val="18"/>
                <w:color w:val="auto"/>
              </w:rPr>
              <w:t>(Gain) loss on change in fair value</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Settlements</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76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20"/>
              <w:spacing w:after="0" w:line="176" w:lineRule="exact"/>
              <w:rPr>
                <w:sz w:val="20"/>
                <w:szCs w:val="20"/>
                <w:color w:val="auto"/>
              </w:rPr>
            </w:pPr>
            <w:r>
              <w:rPr>
                <w:rFonts w:ascii="Arial" w:cs="Arial" w:eastAsia="Arial" w:hAnsi="Arial"/>
                <w:sz w:val="18"/>
                <w:szCs w:val="18"/>
                <w:color w:val="auto"/>
                <w:w w:val="92"/>
              </w:rPr>
              <w:t>Changes in unrealized (gains) losses included in earnings related to financial</w:t>
            </w:r>
          </w:p>
        </w:tc>
        <w:tc>
          <w:tcPr>
            <w:tcW w:w="760" w:type="dxa"/>
            <w:vAlign w:val="bottom"/>
            <w:vMerge w:val="restart"/>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liabilities still held at the reporting date</w:t>
            </w:r>
          </w:p>
        </w:tc>
        <w:tc>
          <w:tcPr>
            <w:tcW w:w="7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The amount of the contingent consideration liability is based on the achievement of certain performance targets. The fair value of the contingent consideration liability is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liability primarily relate to the discount rates applied to the expected future payments of obligations, which ranged from 8.0% to 10.4% as of December 31, 2020. The contingent consideration liability is included in accounts payable, accrued expenses and other liabilities in the condensed consolidated balance sheets. Changes in the fair value of the liability are included in general, administrative and other expenses in the condensed consolidated statements of income.</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Intangibles and Goodwill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Intangible assets primarily consist of certain management contracts providing economic rights to management and advisory fees, as obtained through the Company’s acquisitions of other businesses.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contracts</w:t>
            </w: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r>
      <w:tr>
        <w:trPr>
          <w:trHeight w:val="248"/>
        </w:trPr>
        <w:tc>
          <w:tcPr>
            <w:tcW w:w="8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8"/>
          <w:szCs w:val="18"/>
          <w:color w:val="auto"/>
        </w:rPr>
        <w:t>Amortization expense related to intangible assets was $0.8 million and $1.3 million for the three months ended December 31, 2020 and 2019, respectively, and $2.5 million and $4.0 million for the nine months ended December 31, 2020 and 2019, respectively. These amounts are included in general, administrative and other expenses in the condensed consolidated statements of income.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December 31, 2020, the expected future amortization of finite-lived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FY2021</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FY2022</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FY2024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The carrying value of goodwill was $6.8 million as of December 31, 2020 and March 31, 2020. The Company determined there was no indication of goodwill impairment as of December 31, 2020 and March 31, 2020.</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Debt Obligations</w:t>
      </w:r>
    </w:p>
    <w:p>
      <w:pPr>
        <w:spacing w:after="0" w:line="222"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On September 18, 2020, the Company repaid in full the indebtedness outstanding on a senior secured term loan (“Term Loan B”) in the amount of $146.6 million and effectively terminated the facility, including the senior secured revolving facility. In connection with the repayment, the Company wrote-off the unamortized debt issuance costs and discount of $3.5 million, which is included in interest expense in the condensed consolidated statements of income for the nine months ended December 31, 2020. As of December 31, 2020, the Company had no debt obligations outstanding. As of March 31, 2020, the Company had $143.1 million of debt obligations outstanding.</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Equity-Based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2020 Long-Term Incentive Plan</w:t>
      </w:r>
    </w:p>
    <w:p>
      <w:pPr>
        <w:spacing w:after="0" w:line="22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In connection with the IPO, the Company adopted the 2020 Long-Term Incentive Plan (“LTIP”), which allows for the granting of stock options, stock appreciation rights, restricted stock awards, restricted stock units and performance stock awards to employees, directors and consultants. As of December 31, 2020, there were 2,490,203 shares of Class A common stock available to grant under the LTIP.</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Restricted Stock Units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During the nine months ended December 31, 2020, the Company granted 2,514,317 RSUs to certain employees and directors with an aggregate grant date fair value of $45.4 million. 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the number of shares to satisfy the statutory withholding tax obligation and deliver the net number of resulting shares vested.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change in unvested RSUs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Weighted-Average Grant-</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right"/>
              <w:ind w:right="93"/>
              <w:spacing w:after="0"/>
              <w:rPr>
                <w:sz w:val="20"/>
                <w:szCs w:val="20"/>
                <w:color w:val="auto"/>
              </w:rPr>
            </w:pPr>
            <w:r>
              <w:rPr>
                <w:rFonts w:ascii="Arial" w:cs="Arial" w:eastAsia="Arial" w:hAnsi="Arial"/>
                <w:sz w:val="16"/>
                <w:szCs w:val="16"/>
                <w:b w:val="1"/>
                <w:bCs w:val="1"/>
                <w:color w:val="auto"/>
                <w:w w:val="95"/>
              </w:rPr>
              <w:t>Date Fair Value Per RSU</w:t>
            </w: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2,514,317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2,509,797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Unvested Partnership Units</w:t>
      </w:r>
    </w:p>
    <w:p>
      <w:pPr>
        <w:spacing w:after="0" w:line="222" w:lineRule="exact"/>
        <w:rPr>
          <w:sz w:val="20"/>
          <w:szCs w:val="20"/>
          <w:color w:val="auto"/>
        </w:rPr>
      </w:pPr>
    </w:p>
    <w:p>
      <w:pPr>
        <w:jc w:val="both"/>
        <w:ind w:right="100" w:firstLine="648"/>
        <w:spacing w:after="0" w:line="306" w:lineRule="auto"/>
        <w:rPr>
          <w:sz w:val="20"/>
          <w:szCs w:val="20"/>
          <w:color w:val="auto"/>
        </w:rPr>
      </w:pPr>
      <w:r>
        <w:rPr>
          <w:rFonts w:ascii="Arial" w:cs="Arial" w:eastAsia="Arial" w:hAnsi="Arial"/>
          <w:sz w:val="16"/>
          <w:szCs w:val="16"/>
          <w:color w:val="auto"/>
        </w:rPr>
        <w:t>As part of the Reorganization, previously granted awards of Class A2 unvested partnership units were reclassified as Class B2 units, which will vest periodically through 2024. Upon the final vesting date, all of the Class B2 units will automatically convert into Class B units and unitholders will be entitled to purchase from the Company one share of Class B common stock for each Class B unit at its par value.</w:t>
      </w:r>
    </w:p>
    <w:p>
      <w:pPr>
        <w:spacing w:after="0" w:line="1" w:lineRule="exact"/>
        <w:rPr>
          <w:sz w:val="20"/>
          <w:szCs w:val="20"/>
          <w:color w:val="auto"/>
        </w:rPr>
      </w:pPr>
    </w:p>
    <w:p>
      <w:pPr>
        <w:ind w:right="580"/>
        <w:spacing w:after="0" w:line="244" w:lineRule="auto"/>
        <w:rPr>
          <w:sz w:val="20"/>
          <w:szCs w:val="20"/>
          <w:color w:val="auto"/>
        </w:rPr>
      </w:pPr>
      <w:r>
        <w:rPr>
          <w:rFonts w:ascii="Arial" w:cs="Arial" w:eastAsia="Arial" w:hAnsi="Arial"/>
          <w:sz w:val="20"/>
          <w:szCs w:val="20"/>
          <w:color w:val="auto"/>
        </w:rPr>
        <w:t>Prior to vesting, holders of Class B2 units do not have the right to receive any distributions from the Partnership, other than tax-related distributions.</w:t>
      </w:r>
    </w:p>
    <w:p>
      <w:pPr>
        <w:spacing w:after="0" w:line="191" w:lineRule="exact"/>
        <w:rPr>
          <w:sz w:val="20"/>
          <w:szCs w:val="20"/>
          <w:color w:val="auto"/>
        </w:rPr>
      </w:pPr>
    </w:p>
    <w:p>
      <w:pPr>
        <w:ind w:right="20" w:firstLine="648"/>
        <w:spacing w:after="0" w:line="385" w:lineRule="auto"/>
        <w:rPr>
          <w:sz w:val="20"/>
          <w:szCs w:val="20"/>
          <w:color w:val="auto"/>
        </w:rPr>
      </w:pPr>
      <w:r>
        <w:rPr>
          <w:rFonts w:ascii="Arial" w:cs="Arial" w:eastAsia="Arial" w:hAnsi="Arial"/>
          <w:sz w:val="16"/>
          <w:szCs w:val="16"/>
          <w:color w:val="auto"/>
        </w:rPr>
        <w:t>As of December 31, 2020, there were 2,566,566 unvested Class B2 units outstanding. During the nine months ended December 31, 2020, 24,786 of the outstanding Class B2 units were forfeited. As of December 31, 2020, none of the outstanding Class B2 units were vested.</w:t>
      </w:r>
    </w:p>
    <w:p>
      <w:pPr>
        <w:spacing w:after="0" w:line="85"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As of December 31, 2020, $48.7 million of unrecognized non-cash compensation expense in respect of RSUs and Class B2 units remained to be recognized over a weighted-average period of approximately 3.7 years.</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Income Taxes</w:t>
      </w:r>
    </w:p>
    <w:p>
      <w:pPr>
        <w:spacing w:after="0" w:line="22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Prior to the Reorganization and IPO, the Company operated as a partnership for U.S. federal income tax purposes and therefore was not subject to U.S. federal and state income taxes. Subsequent to the Reorganization and IPO, all income attributable to SSG is subject to U.S. corporate income taxes.</w:t>
      </w:r>
    </w:p>
    <w:p>
      <w:pPr>
        <w:spacing w:after="0" w:line="18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9"/>
          <w:szCs w:val="19"/>
          <w:color w:val="auto"/>
        </w:rPr>
        <w:t>The Reorganization and IPO resulted in a step-up in the tax basis of certain assets that will be recovered as those assets are sold or the basis is amortized. As a result, as of such date, the Company recognized a deferred tax asset in the amount of $81.3 million associated with the increase in tax basis from the Reorganization and IPO, as well as the basis difference in SSG’s investment in the Partnership. A portion of the total basis difference will only reverse upon a sale of SSG’s interest in the Partnership, which is not expected to occur in the foreseeable future. Therefore, the Company also recognized a valuation allowance in the amount of $37.8 million against the deferred tax asset (resulting in a net deferred tax asset of $43.5 million) which is considered capital in nature as it was not more-likely-than-not that this portion of deferred tax assets would be realized. Concurrently with the Reorganization, IPO and recording of the deferred tax asset, the Company recorded a payable pursuant to the Tax Receivable Agreements within due to affiliates in the condensed consolidated balance sheets of $50.7 million.</w:t>
      </w:r>
    </w:p>
    <w:p>
      <w:pPr>
        <w:spacing w:after="0" w:line="184" w:lineRule="exact"/>
        <w:rPr>
          <w:sz w:val="20"/>
          <w:szCs w:val="20"/>
          <w:color w:val="auto"/>
        </w:rPr>
      </w:pPr>
    </w:p>
    <w:p>
      <w:pPr>
        <w:ind w:right="260" w:firstLine="648"/>
        <w:spacing w:after="0" w:line="276" w:lineRule="auto"/>
        <w:rPr>
          <w:sz w:val="20"/>
          <w:szCs w:val="20"/>
          <w:color w:val="auto"/>
        </w:rPr>
      </w:pPr>
      <w:r>
        <w:rPr>
          <w:rFonts w:ascii="Arial" w:cs="Arial" w:eastAsia="Arial" w:hAnsi="Arial"/>
          <w:sz w:val="18"/>
          <w:szCs w:val="18"/>
          <w:color w:val="auto"/>
        </w:rPr>
        <w:t>The Company’s effective tax rate was 8.2% and 5.5% for the three months ended December 31, 2020 and 2019, respectively, and 6.6% and 2.7% for the nine months ended December 31, 2020 and 2019, respectively. The Company’s effective tax rate is dependent on many factors, including the estimated amount of income subject to tax. Consequently, the effective tax rate can vary from period to period. The Company’s overall effective tax rate in each of the periods described above is less than the statutory rate primarily because (a) the Company was not subject to U.S. federal taxes prior to the Reorganization and IPO and (b) a portion of income is allocated to non-controlling interests, and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The Company evaluates the realizability of its deferred tax asset on a quarterly basis and adjusts the valuation allowance when it is more-likely-than-not that all or a portion of the deferred tax asset may not be realized.</w:t>
      </w:r>
    </w:p>
    <w:p>
      <w:pPr>
        <w:spacing w:after="0" w:line="177"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As of December 31, 2020, the Company has not recorded any unrecognized tax benefits and does not expect there to be any material changes to uncertain tax positions within the next 12 months.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pacing w:after="0" w:line="18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Earnings Per Share</w:t>
      </w:r>
    </w:p>
    <w:p>
      <w:pPr>
        <w:spacing w:after="0" w:line="222"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Basic and diluted earnings per share of Class A common stock is presented for the three months ended December 31, 2020 and from September 16, 2020 through December 31, 2020, the period following the Reorganization and IPO. There were no shares of Class A common stock outstanding prior to September 16, 2020, therefore no earnings per share information has been presented for any period prior to that date.</w:t>
      </w:r>
    </w:p>
    <w:p>
      <w:pPr>
        <w:spacing w:after="0" w:line="191"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The following table sets forth reconciliations of the numerators and denominators used to compute basic and diluted earnings per share of Class A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7"/>
                <w:szCs w:val="17"/>
                <w:color w:val="auto"/>
              </w:rPr>
            </w:pPr>
          </w:p>
        </w:tc>
        <w:tc>
          <w:tcPr>
            <w:tcW w:w="22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Period from IPO date to</w:t>
            </w:r>
          </w:p>
        </w:tc>
      </w:tr>
      <w:tr>
        <w:trPr>
          <w:trHeight w:val="230"/>
        </w:trPr>
        <w:tc>
          <w:tcPr>
            <w:tcW w:w="6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 2020</w:t>
            </w:r>
          </w:p>
        </w:tc>
        <w:tc>
          <w:tcPr>
            <w:tcW w:w="200" w:type="dxa"/>
            <w:vAlign w:val="bottom"/>
          </w:tcPr>
          <w:p>
            <w:pPr>
              <w:spacing w:after="0"/>
              <w:rPr>
                <w:sz w:val="19"/>
                <w:szCs w:val="19"/>
                <w:color w:val="auto"/>
              </w:rPr>
            </w:pPr>
          </w:p>
        </w:tc>
        <w:tc>
          <w:tcPr>
            <w:tcW w:w="2220" w:type="dxa"/>
            <w:vAlign w:val="bottom"/>
          </w:tcPr>
          <w:p>
            <w:pPr>
              <w:jc w:val="right"/>
              <w:ind w:right="390"/>
              <w:spacing w:after="0"/>
              <w:rPr>
                <w:sz w:val="20"/>
                <w:szCs w:val="20"/>
                <w:color w:val="auto"/>
              </w:rPr>
            </w:pPr>
            <w:r>
              <w:rPr>
                <w:rFonts w:ascii="Arial" w:cs="Arial" w:eastAsia="Arial" w:hAnsi="Arial"/>
                <w:sz w:val="18"/>
                <w:szCs w:val="18"/>
                <w:b w:val="1"/>
                <w:bCs w:val="1"/>
                <w:color w:val="auto"/>
              </w:rPr>
              <w:t>December 31, 2020</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40" w:type="dxa"/>
            <w:vAlign w:val="bottom"/>
            <w:tcBorders>
              <w:top w:val="single" w:sz="8" w:color="auto"/>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56"/>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StepStone Group Inc. – 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24,788</w:t>
            </w:r>
          </w:p>
        </w:tc>
      </w:tr>
      <w:tr>
        <w:trPr>
          <w:trHeight w:val="230"/>
        </w:trPr>
        <w:tc>
          <w:tcPr>
            <w:tcW w:w="6320" w:type="dxa"/>
            <w:vAlign w:val="bottom"/>
          </w:tcPr>
          <w:p>
            <w:pPr>
              <w:ind w:left="460"/>
              <w:spacing w:after="0"/>
              <w:rPr>
                <w:sz w:val="20"/>
                <w:szCs w:val="20"/>
                <w:color w:val="auto"/>
              </w:rPr>
            </w:pPr>
            <w:r>
              <w:rPr>
                <w:rFonts w:ascii="Arial" w:cs="Arial" w:eastAsia="Arial" w:hAnsi="Arial"/>
                <w:sz w:val="18"/>
                <w:szCs w:val="18"/>
                <w:color w:val="auto"/>
              </w:rPr>
              <w:t>Incremental income from assumed vesting of RSUs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30"/>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Incremental income from assumed vesting and exchange of Class B2 units</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Net income attributable to StepStone Group Inc. –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of Class A common stock outstanding – Basic</w:t>
            </w:r>
          </w:p>
        </w:tc>
        <w:tc>
          <w:tcPr>
            <w:tcW w:w="24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29,237,500</w:t>
            </w:r>
          </w:p>
        </w:tc>
      </w:tr>
      <w:tr>
        <w:trPr>
          <w:trHeight w:val="230"/>
        </w:trPr>
        <w:tc>
          <w:tcPr>
            <w:tcW w:w="6320" w:type="dxa"/>
            <w:vAlign w:val="bottom"/>
          </w:tcPr>
          <w:p>
            <w:pPr>
              <w:ind w:left="460"/>
              <w:spacing w:after="0"/>
              <w:rPr>
                <w:sz w:val="20"/>
                <w:szCs w:val="20"/>
                <w:color w:val="auto"/>
              </w:rPr>
            </w:pPr>
            <w:r>
              <w:rPr>
                <w:rFonts w:ascii="Arial" w:cs="Arial" w:eastAsia="Arial" w:hAnsi="Arial"/>
                <w:sz w:val="18"/>
                <w:szCs w:val="18"/>
                <w:color w:val="auto"/>
              </w:rPr>
              <w:t>Assumed vesting of RSUs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1,012,657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977,400</w:t>
            </w:r>
          </w:p>
        </w:tc>
      </w:tr>
      <w:tr>
        <w:trPr>
          <w:trHeight w:val="229"/>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Assumed vesting and exchange of Class B2 units</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2,454,818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2,449,298</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Weighted-average shares of Class A common stock outstanding – Diluted</w:t>
            </w: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32,704,975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32,664,198</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Net income per share of Class A common stock:</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0.84</w:t>
            </w:r>
          </w:p>
        </w:tc>
      </w:tr>
    </w:tbl>
    <w:p>
      <w:pPr>
        <w:spacing w:after="0" w:line="198" w:lineRule="exact"/>
        <w:rPr>
          <w:sz w:val="20"/>
          <w:szCs w:val="20"/>
          <w:color w:val="auto"/>
        </w:rPr>
      </w:pPr>
    </w:p>
    <w:p>
      <w:pPr>
        <w:ind w:right="360" w:firstLine="648"/>
        <w:spacing w:after="0" w:line="291" w:lineRule="auto"/>
        <w:rPr>
          <w:sz w:val="20"/>
          <w:szCs w:val="20"/>
          <w:color w:val="auto"/>
        </w:rPr>
      </w:pPr>
      <w:r>
        <w:rPr>
          <w:rFonts w:ascii="Arial" w:cs="Arial" w:eastAsia="Arial" w:hAnsi="Arial"/>
          <w:sz w:val="18"/>
          <w:szCs w:val="18"/>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186"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The calculation of diluted earnings per share excludes 65,578,831 shares of Class B units of the Partnership, which are exchangeable into Class A common stock under the if-converted method, as the inclusion of such shares would be anti-dilutive.</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$41.3 million and $38.1 million for the three months ended December 31, 2020 and 2019, respectively, and $126.4 million and $96.0 million for the nine months ended December 31, 2020 and 2019, respectively. Carried interest allocation revenues earned from the StepStone Funds totaled $176.7 million and $4.7 million for the three months ended December 31, 2020 and 2019, respectively, and $214.3 million and $129.0 million for the nine months ended December 31, 2020 and 2019, respectively.</w:t>
      </w:r>
    </w:p>
    <w:p>
      <w:pPr>
        <w:spacing w:after="0" w:line="18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0"/>
          <w:szCs w:val="20"/>
          <w:color w:val="auto"/>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and amounts due from employees.</w:t>
      </w:r>
    </w:p>
    <w:p>
      <w:pPr>
        <w:spacing w:after="0" w:line="18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Due to affiliates in the condensed consolidated balance sheets consists primarily of amounts payable to certain non-controlling interest holders in connection with the Tax Receivable Agreements, amounts payable to StepStone Funds and distributions payable to certain employee equity holders of consolidated subsidiaries, as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4"/>
              </w:rPr>
              <w:t>As of</w:t>
            </w:r>
          </w:p>
        </w:tc>
        <w:tc>
          <w:tcPr>
            <w:tcW w:w="1280" w:type="dxa"/>
            <w:vAlign w:val="bottom"/>
            <w:tcBorders>
              <w:bottom w:val="single" w:sz="8" w:color="auto"/>
            </w:tcBorders>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December 31, 2020</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4"/>
              </w:rPr>
              <w:t>March 31, 2020</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non-controlling interest holders in connection with Tax Receivable Agreements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Amounts payable to StepStone Funds</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 to certain employee equity holders of consolidated subsidiaries</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r>
      <w:tr>
        <w:trPr>
          <w:trHeight w:val="223"/>
        </w:trPr>
        <w:tc>
          <w:tcPr>
            <w:tcW w:w="8140" w:type="dxa"/>
            <w:vAlign w:val="bottom"/>
          </w:tcPr>
          <w:p>
            <w:pPr>
              <w:ind w:left="400"/>
              <w:spacing w:after="0"/>
              <w:rPr>
                <w:sz w:val="20"/>
                <w:szCs w:val="20"/>
                <w:color w:val="auto"/>
              </w:rPr>
            </w:pPr>
            <w:r>
              <w:rPr>
                <w:rFonts w:ascii="Arial" w:cs="Arial" w:eastAsia="Arial" w:hAnsi="Arial"/>
                <w:sz w:val="18"/>
                <w:szCs w:val="18"/>
                <w:color w:val="auto"/>
              </w:rPr>
              <w:t>Total due to affiliates</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55,217</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1"/>
        </w:trPr>
        <w:tc>
          <w:tcPr>
            <w:tcW w:w="8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Stockholders’ Equity</w:t>
      </w:r>
    </w:p>
    <w:p>
      <w:pPr>
        <w:spacing w:after="0" w:line="22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shows a rollforward of the Company's shares of common stock outstanding since the IPO:</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Arial" w:cs="Arial" w:eastAsia="Arial" w:hAnsi="Arial"/>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15, 2020</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Issued to public holders in the IPO</w:t>
            </w:r>
          </w:p>
        </w:tc>
        <w:tc>
          <w:tcPr>
            <w:tcW w:w="2400" w:type="dxa"/>
            <w:vAlign w:val="bottom"/>
          </w:tcPr>
          <w:p>
            <w:pPr>
              <w:jc w:val="right"/>
              <w:spacing w:after="0"/>
              <w:rPr>
                <w:sz w:val="20"/>
                <w:szCs w:val="20"/>
                <w:color w:val="auto"/>
              </w:rPr>
            </w:pPr>
            <w:r>
              <w:rPr>
                <w:rFonts w:ascii="Arial" w:cs="Arial" w:eastAsia="Arial" w:hAnsi="Arial"/>
                <w:sz w:val="18"/>
                <w:szCs w:val="18"/>
                <w:color w:val="auto"/>
              </w:rPr>
              <w:t>20,125,000</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to Class B unitholders in the Reorganization</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65,578,831</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Class A partnership units exchanged in the Reorganization</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9,112,500</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29,237,500</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In connection with the consummation of the IPO, the Partnership issued new partnership interests to certain StepStone professionals in the Infrastructure subsidiary in exchange for their partnership interests in the Infrastructure subsidiary, which increased the interest of the Partnership in the Infrastructure subsidiary to approximately 49% and decreased the interest of the StepStone professionals in the Infrastructure subsidiary to approximately 51%.</w:t>
      </w:r>
    </w:p>
    <w:p>
      <w:pPr>
        <w:spacing w:after="0" w:line="191" w:lineRule="exact"/>
        <w:rPr>
          <w:sz w:val="20"/>
          <w:szCs w:val="20"/>
          <w:color w:val="auto"/>
        </w:rPr>
      </w:pPr>
    </w:p>
    <w:p>
      <w:pPr>
        <w:jc w:val="both"/>
        <w:ind w:right="500" w:firstLine="648"/>
        <w:spacing w:after="0" w:line="269" w:lineRule="auto"/>
        <w:rPr>
          <w:sz w:val="20"/>
          <w:szCs w:val="20"/>
          <w:color w:val="auto"/>
        </w:rPr>
      </w:pPr>
      <w:r>
        <w:rPr>
          <w:rFonts w:ascii="Arial" w:cs="Arial" w:eastAsia="Arial" w:hAnsi="Arial"/>
          <w:sz w:val="19"/>
          <w:szCs w:val="19"/>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0"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In June 2020, one of the Company’s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80" w:lineRule="exact"/>
        <w:rPr>
          <w:sz w:val="20"/>
          <w:szCs w:val="20"/>
          <w:color w:val="auto"/>
        </w:rPr>
      </w:pPr>
    </w:p>
    <w:p>
      <w:pPr>
        <w:ind w:left="660" w:right="7980" w:hanging="652"/>
        <w:spacing w:after="0" w:line="468" w:lineRule="auto"/>
        <w:tabs>
          <w:tab w:leader="none" w:pos="457"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 Litigation</w:t>
      </w:r>
    </w:p>
    <w:p>
      <w:pPr>
        <w:ind w:right="20" w:firstLine="648"/>
        <w:spacing w:after="0" w:line="243" w:lineRule="auto"/>
        <w:rPr>
          <w:sz w:val="20"/>
          <w:szCs w:val="20"/>
          <w:color w:val="auto"/>
        </w:rPr>
      </w:pPr>
      <w:r>
        <w:rPr>
          <w:rFonts w:ascii="Arial" w:cs="Arial" w:eastAsia="Arial" w:hAnsi="Arial"/>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have a potential liability related to any current legal proceedings or claims that would individually or in the aggregate materially affect its condensed consolidated financial statements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Lease Commitments</w:t>
      </w:r>
    </w:p>
    <w:p>
      <w:pPr>
        <w:spacing w:after="0" w:line="222" w:lineRule="exact"/>
        <w:rPr>
          <w:sz w:val="20"/>
          <w:szCs w:val="20"/>
          <w:color w:val="auto"/>
        </w:rPr>
      </w:pPr>
    </w:p>
    <w:p>
      <w:pPr>
        <w:ind w:right="20" w:firstLine="648"/>
        <w:spacing w:after="0" w:line="243" w:lineRule="auto"/>
        <w:rPr>
          <w:sz w:val="20"/>
          <w:szCs w:val="20"/>
          <w:color w:val="auto"/>
        </w:rPr>
      </w:pPr>
      <w:r>
        <w:rPr>
          <w:rFonts w:ascii="Arial" w:cs="Arial" w:eastAsia="Arial" w:hAnsi="Arial"/>
          <w:sz w:val="20"/>
          <w:szCs w:val="20"/>
          <w:color w:val="auto"/>
        </w:rPr>
        <w:t>The Company leases offices in approximately 20 cities in the United States, Canada, South America, Europe, Asia and Australia, and office equipment subject to operating lease agreements expiring through 2031. The Company accounts for its operating leases on a straight-line basis and includes the related expense in general, administrative and other expenses in the condensed consolidated statements of income. The Company’s lease terms may include options to extend or terminate the lease when it is reasonably certain that the Company will exercise those options. Occupancy expense related to office facility operating leases totaled $2.3 million and $2.1 million for the three months ended December 31, 2020 and 2019, respectively, and $6.9 million and $6.7 million for the nine months ended December 31, 2020 and 2019, respectively.</w:t>
      </w:r>
    </w:p>
    <w:p>
      <w:pPr>
        <w:spacing w:after="0" w:line="19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Future minimum lease payments related to the Company’s operating leases that have initial or remaining noncancelable lease terms in excess of one year as of December 31, 2020 are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FY2021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FY2024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9,621</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FY2025</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41,054</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Company has entered into non-cancelable sublease arrangements with terms extending through 2026, pursuant to which the Company expects to receive total minimum rental payments of $7.8 million. Minimum operating lease payments presented in the table above have not been reduced by these minimum sublease rental payments.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Unfunded Capital Commitments</w:t>
      </w:r>
    </w:p>
    <w:p>
      <w:pPr>
        <w:spacing w:after="0" w:line="249" w:lineRule="exact"/>
        <w:rPr>
          <w:sz w:val="20"/>
          <w:szCs w:val="20"/>
          <w:color w:val="auto"/>
        </w:rPr>
      </w:pPr>
    </w:p>
    <w:p>
      <w:pPr>
        <w:ind w:right="60" w:firstLine="648"/>
        <w:spacing w:after="0" w:line="303" w:lineRule="auto"/>
        <w:rPr>
          <w:sz w:val="20"/>
          <w:szCs w:val="20"/>
          <w:color w:val="auto"/>
        </w:rPr>
      </w:pPr>
      <w:r>
        <w:rPr>
          <w:rFonts w:ascii="Arial" w:cs="Arial" w:eastAsia="Arial" w:hAnsi="Arial"/>
          <w:sz w:val="20"/>
          <w:szCs w:val="20"/>
          <w:color w:val="auto"/>
        </w:rPr>
        <w:t>As of December 31, 2020 and March 31, 2020, the Company, generally in its capacity as general partner or managing member of the StepStone Funds, had unfunded commitments totaling $60.9 million and $57.9 million, respectively.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Carried Interest Allocations</w:t>
      </w:r>
    </w:p>
    <w:p>
      <w:pPr>
        <w:spacing w:after="0" w:line="222"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2020 and March 31, 2020, there were no material amounts for potential clawback obligations accrued. This contingent obligation is normally reduced by income taxes that the Company has paid related to the carried interest allocations. As of December 31, 2020, the maximum amount of carried interest allocation subject to contingent repayment was an estimated $92.8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0"/>
          <w:szCs w:val="20"/>
          <w:b w:val="1"/>
          <w:bCs w:val="1"/>
          <w:color w:val="auto"/>
        </w:rPr>
        <w:t>StepStone Group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Indemnification Arrangements</w:t>
      </w:r>
    </w:p>
    <w:p>
      <w:pPr>
        <w:spacing w:after="0" w:line="222"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2020 and March 31, 2020. Based on past experience, management believes that the risk of loss related to these indemnities is remote.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Subsequent Events</w:t>
      </w:r>
    </w:p>
    <w:p>
      <w:pPr>
        <w:spacing w:after="0" w:line="222"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In February 2021, the Board of Directors declared a quarterly cash dividend of $0.07 per share of Class A common stock, payable on March 12, 2021 to shareholders of record as of the close of business on February 26, 2021.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34" w:name="page35"/>
    <w:bookmarkEnd w:id="34"/>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prospectus dated September 15, 2020, filed with the U.S. Securities and Exchange Commission (“SEC”) on September 16, 2020. This quarterly report reflects the historical results of operations and financial position of StepStone Group LP, our predecessor for accounting purposes, prior to the Reorganization and IPO. In this quarterly report, references to “we,” “us,” “our,” “StepStone” and similar terms refer to SSG and its consolidated subsidiaries, including the Partnership, following the Reorganization and IPO and to the Partnership and its consolidated subsidiaries prior to the Reorganization and IPO.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Business Overview</w:t>
      </w:r>
    </w:p>
    <w:p>
      <w:pPr>
        <w:spacing w:after="0" w:line="222" w:lineRule="exact"/>
        <w:rPr>
          <w:sz w:val="20"/>
          <w:szCs w:val="20"/>
          <w:color w:val="auto"/>
        </w:rPr>
      </w:pPr>
    </w:p>
    <w:p>
      <w:pPr>
        <w:ind w:right="180" w:firstLine="648"/>
        <w:spacing w:after="0" w:line="256" w:lineRule="auto"/>
        <w:rPr>
          <w:sz w:val="20"/>
          <w:szCs w:val="20"/>
          <w:color w:val="auto"/>
        </w:rPr>
      </w:pPr>
      <w:r>
        <w:rPr>
          <w:rFonts w:ascii="Arial" w:cs="Arial" w:eastAsia="Arial" w:hAnsi="Arial"/>
          <w:sz w:val="19"/>
          <w:szCs w:val="19"/>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2020, we oversaw approximately $333 billion of private markets allocations, including $80 billion of AUM and $253 billion of assets under advisement (“AUA”).</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9"/>
          <w:szCs w:val="19"/>
          <w:color w:val="auto"/>
        </w:rPr>
        <w:t>We are a global firm and believe that local knowledge, business relationships and presence are all critical to securing a competitive edge in the private markets. We deploy a local staffing model, operating from approximately 20 offices across 13 countries in five continents. Our offices are staffed by investment professionals who bring valuable regional insights and language proficiency to enhance existing client relationships and build new client relationships. Since our inception in 2007, we have invested heavily in our platforms to drive growth and expand our investment solutions capabilities and service offerings, including through opportunistic transactions that have helped accelerate the growth of our team and capabilities. As of December 31, 2020, we had 563 total employees, including approximately 200 investment professionals and more than 360 employees across our operating team and implementation teams dedicated to sourcing, executing, analyzing and monitoring private markets opportunities.</w:t>
      </w:r>
    </w:p>
    <w:p>
      <w:pPr>
        <w:spacing w:after="0" w:line="180"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77" w:lineRule="exact"/>
        <w:rPr>
          <w:sz w:val="20"/>
          <w:szCs w:val="20"/>
          <w:color w:val="auto"/>
        </w:rPr>
      </w:pPr>
    </w:p>
    <w:p>
      <w:pPr>
        <w:ind w:left="660" w:right="80" w:hanging="328"/>
        <w:spacing w:after="0" w:line="246"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231F20"/>
        </w:rPr>
        <w:t>Separately managed accounts (“SMAs”)</w:t>
      </w:r>
      <w:r>
        <w:rPr>
          <w:rFonts w:ascii="Arial" w:cs="Arial" w:eastAsia="Arial" w:hAnsi="Arial"/>
          <w:sz w:val="20"/>
          <w:szCs w:val="20"/>
          <w:color w:val="000000"/>
        </w:rPr>
        <w:t>. Owned by one client and managed according to their specific preferences, SMAs integrate</w:t>
      </w:r>
      <w:r>
        <w:rPr>
          <w:rFonts w:ascii="Arial" w:cs="Arial" w:eastAsia="Arial" w:hAnsi="Arial"/>
          <w:sz w:val="20"/>
          <w:szCs w:val="20"/>
          <w:i w:val="1"/>
          <w:iCs w:val="1"/>
          <w:color w:val="231F20"/>
        </w:rPr>
        <w:t xml:space="preserve"> </w:t>
      </w:r>
      <w:r>
        <w:rPr>
          <w:rFonts w:ascii="Arial" w:cs="Arial" w:eastAsia="Arial" w:hAnsi="Arial"/>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$61 billion of our AUM as of December 31, 2020</w:t>
      </w:r>
      <w:r>
        <w:rPr>
          <w:rFonts w:ascii="Arial" w:cs="Arial" w:eastAsia="Arial" w:hAnsi="Arial"/>
          <w:sz w:val="20"/>
          <w:szCs w:val="20"/>
          <w:color w:val="231F20"/>
        </w:rPr>
        <w:t>.</w:t>
      </w:r>
    </w:p>
    <w:p>
      <w:pPr>
        <w:spacing w:after="0" w:line="191" w:lineRule="exact"/>
        <w:rPr>
          <w:rFonts w:ascii="Arial" w:cs="Arial" w:eastAsia="Arial" w:hAnsi="Arial"/>
          <w:sz w:val="20"/>
          <w:szCs w:val="20"/>
          <w:color w:val="auto"/>
        </w:rPr>
      </w:pPr>
    </w:p>
    <w:p>
      <w:pPr>
        <w:ind w:left="660" w:right="200" w:hanging="328"/>
        <w:spacing w:after="0" w:line="316"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231F20"/>
        </w:rPr>
        <w:t xml:space="preserve">Focused commingled funds. </w:t>
      </w:r>
      <w:r>
        <w:rPr>
          <w:rFonts w:ascii="Arial" w:cs="Arial" w:eastAsia="Arial" w:hAnsi="Arial"/>
          <w:sz w:val="18"/>
          <w:szCs w:val="18"/>
          <w:color w:val="231F20"/>
        </w:rPr>
        <w:t>Owned by multiple clients, our focused commingled funds deploy capital in specific asset classes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defined investment strategies. Focused commingled funds comprised $14 billion of our AUM as of </w:t>
      </w:r>
      <w:r>
        <w:rPr>
          <w:rFonts w:ascii="Arial" w:cs="Arial" w:eastAsia="Arial" w:hAnsi="Arial"/>
          <w:sz w:val="18"/>
          <w:szCs w:val="18"/>
          <w:color w:val="000000"/>
        </w:rPr>
        <w:t>December 31, 2020</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1" w:lineRule="exact"/>
        <w:rPr>
          <w:sz w:val="20"/>
          <w:szCs w:val="20"/>
          <w:color w:val="auto"/>
        </w:rPr>
      </w:pPr>
    </w:p>
    <w:p>
      <w:pPr>
        <w:ind w:left="660" w:right="40" w:hanging="328"/>
        <w:spacing w:after="0" w:line="243"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231F20"/>
        </w:rPr>
        <w:t xml:space="preserve">Advisory and data services. </w:t>
      </w:r>
      <w:r>
        <w:rPr>
          <w:rFonts w:ascii="Arial" w:cs="Arial" w:eastAsia="Arial" w:hAnsi="Arial"/>
          <w:sz w:val="20"/>
          <w:szCs w:val="20"/>
          <w:color w:val="231F20"/>
        </w:rPr>
        <w:t>These services include one or more of the following for our clients: (i) recurring support of portfolio</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and Pacing, our portfolio cash flow, investment allocation and liquidity forecasting tool. Advisory relationships comprised </w:t>
      </w:r>
      <w:r>
        <w:rPr>
          <w:rFonts w:ascii="Arial" w:cs="Arial" w:eastAsia="Arial" w:hAnsi="Arial"/>
          <w:sz w:val="20"/>
          <w:szCs w:val="20"/>
          <w:color w:val="000000"/>
        </w:rPr>
        <w:t>$253 billion</w:t>
      </w:r>
      <w:r>
        <w:rPr>
          <w:rFonts w:ascii="Arial" w:cs="Arial" w:eastAsia="Arial" w:hAnsi="Arial"/>
          <w:sz w:val="20"/>
          <w:szCs w:val="20"/>
          <w:color w:val="231F20"/>
        </w:rPr>
        <w:t xml:space="preserve"> of our AUA and $5 billion of our AUM as of </w:t>
      </w:r>
      <w:r>
        <w:rPr>
          <w:rFonts w:ascii="Arial" w:cs="Arial" w:eastAsia="Arial" w:hAnsi="Arial"/>
          <w:sz w:val="20"/>
          <w:szCs w:val="20"/>
          <w:color w:val="000000"/>
        </w:rPr>
        <w:t>December 31, 2020</w:t>
      </w:r>
      <w:r>
        <w:rPr>
          <w:rFonts w:ascii="Arial" w:cs="Arial" w:eastAsia="Arial" w:hAnsi="Arial"/>
          <w:sz w:val="20"/>
          <w:szCs w:val="20"/>
          <w:color w:val="231F20"/>
        </w:rPr>
        <w:t>.</w:t>
      </w:r>
    </w:p>
    <w:p>
      <w:pPr>
        <w:spacing w:after="0" w:line="192"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231F20"/>
        </w:rPr>
        <w:t xml:space="preserve">Portfolio analytics and reporting. </w:t>
      </w:r>
      <w:r>
        <w:rPr>
          <w:rFonts w:ascii="Arial" w:cs="Arial" w:eastAsia="Arial" w:hAnsi="Arial"/>
          <w:sz w:val="19"/>
          <w:szCs w:val="19"/>
          <w:color w:val="231F20"/>
        </w:rPr>
        <w:t>We provide clients with tailored reporting packages, including customized performance</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benchmarks as well as associated compliance, administrative and tax capabilities. Mandates for portfolio analytics and reporting services typically include licensed access to our proprietary performance monitoring software, Omni. Through Omni, we provided portfolio analytics and reporting on over $540 billion of client commitments as of </w:t>
      </w:r>
      <w:r>
        <w:rPr>
          <w:rFonts w:ascii="Arial" w:cs="Arial" w:eastAsia="Arial" w:hAnsi="Arial"/>
          <w:sz w:val="19"/>
          <w:szCs w:val="19"/>
          <w:color w:val="000000"/>
        </w:rPr>
        <w:t>December 31, 2020</w:t>
      </w:r>
      <w:r>
        <w:rPr>
          <w:rFonts w:ascii="Arial" w:cs="Arial" w:eastAsia="Arial" w:hAnsi="Arial"/>
          <w:sz w:val="19"/>
          <w:szCs w:val="19"/>
          <w:color w:val="231F20"/>
        </w:rPr>
        <w:t>, inclusive of our combined AUM/AUA, previously exited investments and investments of former clients.</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Trends Affecting Our Business</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231F20"/>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performance throughout market cycles.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In addition to these macroeconomic trends and market factors, we believe our future performance will be influenced by the following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factors:</w:t>
      </w:r>
    </w:p>
    <w:p>
      <w:pPr>
        <w:spacing w:after="0" w:line="200" w:lineRule="exact"/>
        <w:rPr>
          <w:sz w:val="20"/>
          <w:szCs w:val="20"/>
          <w:color w:val="auto"/>
        </w:rPr>
      </w:pPr>
    </w:p>
    <w:p>
      <w:pPr>
        <w:ind w:left="660" w:right="140" w:hanging="328"/>
        <w:spacing w:after="0" w:line="24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231F20"/>
        </w:rPr>
        <w:t xml:space="preserve">The extent to which clients favor private markets investments. </w:t>
      </w:r>
      <w:r>
        <w:rPr>
          <w:rFonts w:ascii="Arial" w:cs="Arial" w:eastAsia="Arial" w:hAnsi="Arial"/>
          <w:sz w:val="20"/>
          <w:szCs w:val="20"/>
          <w:color w:val="231F20"/>
        </w:rPr>
        <w:t>Our ability to attract new capital is partially dependent on clients’</w:t>
      </w:r>
      <w:r>
        <w:rPr>
          <w:rFonts w:ascii="Arial" w:cs="Arial" w:eastAsia="Arial" w:hAnsi="Arial"/>
          <w:sz w:val="20"/>
          <w:szCs w:val="20"/>
          <w:i w:val="1"/>
          <w:iCs w:val="1"/>
          <w:color w:val="231F20"/>
        </w:rPr>
        <w:t xml:space="preserve"> </w:t>
      </w:r>
      <w:r>
        <w:rPr>
          <w:rFonts w:ascii="Arial" w:cs="Arial" w:eastAsia="Arial" w:hAnsi="Arial"/>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from private wealth clients, (3) shifting asset allocation policies of institutional clients and (4) increasing barriers to entry and growth for potential competitors.</w:t>
      </w:r>
    </w:p>
    <w:p>
      <w:pPr>
        <w:spacing w:after="0" w:line="195" w:lineRule="exact"/>
        <w:rPr>
          <w:rFonts w:ascii="Arial" w:cs="Arial" w:eastAsia="Arial" w:hAnsi="Arial"/>
          <w:sz w:val="20"/>
          <w:szCs w:val="20"/>
          <w:color w:val="auto"/>
        </w:rPr>
      </w:pPr>
    </w:p>
    <w:p>
      <w:pPr>
        <w:ind w:left="660" w:hanging="328"/>
        <w:spacing w:after="0" w:line="27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generate strong, stable returns. </w:t>
      </w:r>
      <w:r>
        <w:rPr>
          <w:rFonts w:ascii="Arial" w:cs="Arial" w:eastAsia="Arial" w:hAnsi="Arial"/>
          <w:sz w:val="18"/>
          <w:szCs w:val="18"/>
          <w:color w:val="231F20"/>
        </w:rPr>
        <w:t>Our ability to raise and retain capital is partially dependent on the investment returns</w:t>
      </w:r>
      <w:r>
        <w:rPr>
          <w:rFonts w:ascii="Arial" w:cs="Arial" w:eastAsia="Arial" w:hAnsi="Arial"/>
          <w:sz w:val="18"/>
          <w:szCs w:val="18"/>
          <w:i w:val="1"/>
          <w:iCs w:val="1"/>
          <w:color w:val="231F20"/>
        </w:rPr>
        <w:t xml:space="preserve"> </w:t>
      </w:r>
      <w:r>
        <w:rPr>
          <w:rFonts w:ascii="Arial" w:cs="Arial" w:eastAsia="Arial" w:hAnsi="Arial"/>
          <w:sz w:val="18"/>
          <w:szCs w:val="18"/>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1" w:lineRule="exact"/>
        <w:rPr>
          <w:sz w:val="20"/>
          <w:szCs w:val="20"/>
          <w:color w:val="auto"/>
        </w:rPr>
      </w:pPr>
    </w:p>
    <w:p>
      <w:pPr>
        <w:ind w:left="660" w:right="80" w:hanging="328"/>
        <w:spacing w:after="0" w:line="278"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231F20"/>
        </w:rPr>
        <w:t xml:space="preserve">Our ability to maintain our data advantage relative to competitors. </w:t>
      </w:r>
      <w:r>
        <w:rPr>
          <w:rFonts w:ascii="Arial" w:cs="Arial" w:eastAsia="Arial" w:hAnsi="Arial"/>
          <w:sz w:val="18"/>
          <w:szCs w:val="18"/>
          <w:color w:val="231F20"/>
        </w:rPr>
        <w:t>Our proprietary data and technology platforms, analytical tools</w:t>
      </w:r>
      <w:r>
        <w:rPr>
          <w:rFonts w:ascii="Arial" w:cs="Arial" w:eastAsia="Arial" w:hAnsi="Arial"/>
          <w:sz w:val="18"/>
          <w:szCs w:val="18"/>
          <w:i w:val="1"/>
          <w:iCs w:val="1"/>
          <w:color w:val="231F20"/>
        </w:rPr>
        <w:t xml:space="preserve"> </w:t>
      </w:r>
      <w:r>
        <w:rPr>
          <w:rFonts w:ascii="Arial" w:cs="Arial" w:eastAsia="Arial" w:hAnsi="Arial"/>
          <w:sz w:val="18"/>
          <w:szCs w:val="18"/>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64" w:lineRule="exact"/>
        <w:rPr>
          <w:rFonts w:ascii="Arial" w:cs="Arial" w:eastAsia="Arial" w:hAnsi="Arial"/>
          <w:sz w:val="18"/>
          <w:szCs w:val="18"/>
          <w:color w:val="auto"/>
        </w:rPr>
      </w:pPr>
    </w:p>
    <w:p>
      <w:pPr>
        <w:ind w:left="660" w:right="80" w:hanging="328"/>
        <w:spacing w:after="0" w:line="243"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231F20"/>
        </w:rPr>
        <w:t xml:space="preserve">Our ability to source investments with attractive risk-adjusted returns. </w:t>
      </w:r>
      <w:r>
        <w:rPr>
          <w:rFonts w:ascii="Arial" w:cs="Arial" w:eastAsia="Arial" w:hAnsi="Arial"/>
          <w:sz w:val="20"/>
          <w:szCs w:val="20"/>
          <w:color w:val="231F20"/>
        </w:rPr>
        <w:t>The continued growth in our revenues is dependent on our</w:t>
      </w:r>
      <w:r>
        <w:rPr>
          <w:rFonts w:ascii="Arial" w:cs="Arial" w:eastAsia="Arial" w:hAnsi="Arial"/>
          <w:sz w:val="20"/>
          <w:szCs w:val="20"/>
          <w:i w:val="1"/>
          <w:iCs w:val="1"/>
          <w:color w:val="231F20"/>
        </w:rPr>
        <w:t xml:space="preserve"> </w:t>
      </w:r>
      <w:r>
        <w:rPr>
          <w:rFonts w:ascii="Arial" w:cs="Arial" w:eastAsia="Arial" w:hAnsi="Arial"/>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such investment opportunity. A significant decrease in the quality or quantity of potential opportunities could adversely affect our ability to source investments with attractive risk-adjusted returns.</w:t>
      </w:r>
    </w:p>
    <w:p>
      <w:pPr>
        <w:spacing w:after="0" w:line="192"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231F20"/>
        </w:rPr>
        <w:t xml:space="preserve">Increased competition and clients’ desire to work with fewer managers. </w:t>
      </w:r>
      <w:r>
        <w:rPr>
          <w:rFonts w:ascii="Arial" w:cs="Arial" w:eastAsia="Arial" w:hAnsi="Arial"/>
          <w:sz w:val="20"/>
          <w:szCs w:val="20"/>
          <w:color w:val="231F20"/>
        </w:rPr>
        <w:t>There has been an increasing desire on the part of larger</w:t>
      </w:r>
      <w:r>
        <w:rPr>
          <w:rFonts w:ascii="Arial" w:cs="Arial" w:eastAsia="Arial" w:hAnsi="Arial"/>
          <w:sz w:val="20"/>
          <w:szCs w:val="20"/>
          <w:i w:val="1"/>
          <w:iCs w:val="1"/>
          <w:color w:val="231F20"/>
        </w:rPr>
        <w:t xml:space="preserve"> </w:t>
      </w:r>
      <w:r>
        <w:rPr>
          <w:rFonts w:ascii="Arial" w:cs="Arial" w:eastAsia="Arial" w:hAnsi="Arial"/>
          <w:sz w:val="20"/>
          <w:szCs w:val="20"/>
          <w:color w:val="231F20"/>
        </w:rPr>
        <w:t>clients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Impact of COVID-19</w:t>
      </w:r>
    </w:p>
    <w:p>
      <w:pPr>
        <w:spacing w:after="0" w:line="22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231F20"/>
        </w:rPr>
        <w:t>In March 2020, the World Health Organization declared the outbreak of the novel coronavirus (“COVID-19”) a global pandemic. The spread of COVID-19 throughout the world has led many countries to institute a variety of measures in an effort to contain viral spread, which has led to significant disruption and uncertainty in the global financial markets. While some of the initial restrictions have been relaxed or lifted in an effort to generate more economic activity, the risk of future COVID-19 outbreaks remains and restrictions have been and may continue to be reimposed to mitigate risks to public health in jurisdictions where additional outbreaks have been detected. Moreover, even where restrictions are and remain lifted, and as vaccination treatment options become available and more accessible, certain groups of people may continue to self-isolate and not participate in the economy at pre-pandemic levels for a prolonged period of time, potentially further delaying global economic recovery.</w:t>
      </w:r>
    </w:p>
    <w:p>
      <w:pPr>
        <w:spacing w:after="0" w:line="1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231F20"/>
        </w:rPr>
        <w:t xml:space="preserve">We are closely monitoring developments related to COVID-19 and assessing any negative impacts to our business. The COVID-19 pandemic has affected, and may further affect, our business in various ways. In particular, it is possible that our future results may be adversely affected by slowdowns in fundraising activity and the pace of capital deployment, which could result in delayed or decreased management fees, or if fund managers are unable or less able to profitably exit existing investments, which could result in delayed or decreased performance fee revenues. The underlying investments in the StepStone Funds reflect valuations on a three-month lag, or as of September 30, 2020, adjusted for capital contributions and distributions during the three-month lag period ended </w:t>
      </w:r>
      <w:r>
        <w:rPr>
          <w:rFonts w:ascii="Arial" w:cs="Arial" w:eastAsia="Arial" w:hAnsi="Arial"/>
          <w:sz w:val="18"/>
          <w:szCs w:val="18"/>
          <w:color w:val="000000"/>
        </w:rPr>
        <w:t>December 31, 2020</w:t>
      </w:r>
      <w:r>
        <w:rPr>
          <w:rFonts w:ascii="Arial" w:cs="Arial" w:eastAsia="Arial" w:hAnsi="Arial"/>
          <w:sz w:val="18"/>
          <w:szCs w:val="18"/>
          <w:color w:val="231F20"/>
        </w:rPr>
        <w:t xml:space="preserve">. For the nine months ended December 31, 2020, our </w:t>
      </w:r>
      <w:r>
        <w:rPr>
          <w:rFonts w:ascii="Arial" w:cs="Arial" w:eastAsia="Arial" w:hAnsi="Arial"/>
          <w:sz w:val="18"/>
          <w:szCs w:val="18"/>
          <w:color w:val="000000"/>
        </w:rPr>
        <w:t>investments in StepStone Funds and accrued carried interest allocations initially experienced</w:t>
      </w:r>
      <w:r>
        <w:rPr>
          <w:rFonts w:ascii="Arial" w:cs="Arial" w:eastAsia="Arial" w:hAnsi="Arial"/>
          <w:sz w:val="18"/>
          <w:szCs w:val="18"/>
          <w:color w:val="231F20"/>
        </w:rPr>
        <w:t xml:space="preserve"> </w:t>
      </w:r>
      <w:r>
        <w:rPr>
          <w:rFonts w:ascii="Arial" w:cs="Arial" w:eastAsia="Arial" w:hAnsi="Arial"/>
          <w:sz w:val="18"/>
          <w:szCs w:val="18"/>
          <w:color w:val="000000"/>
        </w:rPr>
        <w:t xml:space="preserve">significant declines during the first three months, primarily reflecting the unrealized depreciation in the fair value of certain underlying fund investments driven by the impact of COVID-19, and has subsequently seen </w:t>
      </w:r>
      <w:r>
        <w:rPr>
          <w:rFonts w:ascii="Arial" w:cs="Arial" w:eastAsia="Arial" w:hAnsi="Arial"/>
          <w:sz w:val="18"/>
          <w:szCs w:val="18"/>
          <w:color w:val="231F20"/>
        </w:rPr>
        <w:t>significant increases, primarily reflecting the unrealized</w:t>
      </w:r>
      <w:r>
        <w:rPr>
          <w:rFonts w:ascii="Arial" w:cs="Arial" w:eastAsia="Arial" w:hAnsi="Arial"/>
          <w:sz w:val="18"/>
          <w:szCs w:val="18"/>
          <w:color w:val="000000"/>
        </w:rPr>
        <w:t xml:space="preserve"> </w:t>
      </w:r>
      <w:r>
        <w:rPr>
          <w:rFonts w:ascii="Arial" w:cs="Arial" w:eastAsia="Arial" w:hAnsi="Arial"/>
          <w:sz w:val="18"/>
          <w:szCs w:val="18"/>
          <w:color w:val="231F20"/>
        </w:rPr>
        <w:t>appreciation in the fair value of certain underlying fund investments driven by the general recovery in the financial markets.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Recent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Reorganization and Initial Public Offering</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spacing w:after="0" w:line="165"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w:t>
      </w:r>
    </w:p>
    <w:p>
      <w:pPr>
        <w:spacing w:after="0" w:line="16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231F20"/>
        </w:rPr>
        <w:t>See note 1 to our condensed consolidated financial statements included elsewhere in this quarterly report for more information about the Reorganization and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31F20"/>
        </w:rPr>
        <w:t>Debt Repayment</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On September 18, 2020, we repaid in full the indebtedness outstanding on our senior secured term loan in the amount of $146.6 million and terminated the facility, including the senior secured revolving facility. In connection with the repayment, we wrote-off the unamortized debt issuance costs and discount of $3.5 million, which is included in interest expense in the condensed consolidated statements of income for the nine months ended December 31, 2020. As of December 31, 2020, we had no debt obligations outstanding.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Key Financial Measures</w:t>
      </w:r>
    </w:p>
    <w:p>
      <w:pPr>
        <w:spacing w:after="0" w:line="22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Our key financial and operating measures are discussed below. Additional information regarding our significant accounting policies can be found in note 2 to our condensed consolidated financial statements included elsewhere in this quarterly report.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generate revenues primarily from management and advisory fees, incentive fees and allocations of carried 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 and Advisory Fees, Net</w:t>
      </w:r>
    </w:p>
    <w:p>
      <w:pPr>
        <w:spacing w:after="0" w:line="21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231F20"/>
        </w:rPr>
        <w:t>Management and advisory fees, net, consist of fees received from managing SMAs and focused commingled funds, advisory and data services, and portfolio analytics and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41" w:lineRule="exact"/>
        <w:rPr>
          <w:sz w:val="20"/>
          <w:szCs w:val="20"/>
          <w:color w:val="auto"/>
        </w:rPr>
      </w:pPr>
    </w:p>
    <w:p>
      <w:pPr>
        <w:ind w:left="660" w:right="320" w:hanging="328"/>
        <w:spacing w:after="0" w:line="24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231F20"/>
        </w:rPr>
        <w:t>Management fees from SMAs are generally based on a contractual rate applied to committed capital or net invested capital under management.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0.38% of average FEAUM for the twelve months ended December 31, 2019 and 2020, respectively.</w:t>
      </w:r>
    </w:p>
    <w:p>
      <w:pPr>
        <w:spacing w:after="0" w:line="194"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0.86% and 0.93% of average FEAUM for the twelve months ended December 31, 2019 and 2020, respectively, and primarily reflected the timing of new funds and shifts in asset class mix.</w:t>
      </w:r>
    </w:p>
    <w:p>
      <w:pPr>
        <w:spacing w:after="0" w:line="195"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231F20"/>
        </w:rPr>
        <w:t>The weighted-average management fee rate across SMAs and focused commingled funds was approximately 0.52% and 0.52% of average FEAUM for the twelve months ended December 31, 2019 and 2020, respectively.</w:t>
      </w:r>
    </w:p>
    <w:p>
      <w:pPr>
        <w:spacing w:after="0" w:line="176" w:lineRule="exact"/>
        <w:rPr>
          <w:rFonts w:ascii="Arial" w:cs="Arial" w:eastAsia="Arial" w:hAnsi="Arial"/>
          <w:sz w:val="20"/>
          <w:szCs w:val="20"/>
          <w:color w:val="auto"/>
        </w:rPr>
      </w:pPr>
    </w:p>
    <w:p>
      <w:pPr>
        <w:ind w:left="660" w:right="260" w:hanging="328"/>
        <w:spacing w:after="0" w:line="24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231F20"/>
        </w:rPr>
        <w:t>Fee revenues from advisory, SPAR or SPI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4"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9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i w:val="1"/>
          <w:iCs w:val="1"/>
          <w:color w:val="auto"/>
        </w:rPr>
        <w:t>Performance Fees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We earn two types of performance fee revenues: incentive fees and carried interest allocations, as described below. Incentive fees comprise fees earned from certain client investment mandates for which we do not have a general partnership interest in a StepStone Fund. Carried interest allocations include the allocation of performance-based fees, commonly referred to as carried interest, from limited partners in the StepStone Funds to us. As of December 31, 2020, we had over $41 billion of performance fee-eligible capital across approximately 120 programs, of which over 80 were in accrued carried interest positions.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i w:val="1"/>
          <w:iCs w:val="1"/>
          <w:color w:val="231F20"/>
        </w:rPr>
        <w:t xml:space="preserve">Incentive fees </w:t>
      </w:r>
      <w:r>
        <w:rPr>
          <w:rFonts w:ascii="Arial" w:cs="Arial" w:eastAsia="Arial" w:hAnsi="Arial"/>
          <w:sz w:val="19"/>
          <w:szCs w:val="19"/>
          <w:color w:val="231F20"/>
        </w:rPr>
        <w:t>are generally calculated as a percentage of the profits (up to 10%) earned in respect of certain accounts for which we</w:t>
      </w:r>
      <w:r>
        <w:rPr>
          <w:rFonts w:ascii="Arial" w:cs="Arial" w:eastAsia="Arial" w:hAnsi="Arial"/>
          <w:sz w:val="19"/>
          <w:szCs w:val="19"/>
          <w:i w:val="1"/>
          <w:iCs w:val="1"/>
          <w:color w:val="231F20"/>
        </w:rPr>
        <w:t xml:space="preserve"> </w:t>
      </w:r>
      <w:r>
        <w:rPr>
          <w:rFonts w:ascii="Arial" w:cs="Arial" w:eastAsia="Arial" w:hAnsi="Arial"/>
          <w:sz w:val="19"/>
          <w:szCs w:val="19"/>
          <w:color w:val="231F20"/>
        </w:rPr>
        <w:t>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1" w:lineRule="exact"/>
        <w:rPr>
          <w:sz w:val="20"/>
          <w:szCs w:val="20"/>
          <w:color w:val="auto"/>
        </w:rPr>
      </w:pPr>
    </w:p>
    <w:p>
      <w:pPr>
        <w:ind w:right="40" w:firstLine="648"/>
        <w:spacing w:after="0" w:line="316" w:lineRule="auto"/>
        <w:rPr>
          <w:sz w:val="20"/>
          <w:szCs w:val="20"/>
          <w:color w:val="auto"/>
        </w:rPr>
      </w:pPr>
      <w:r>
        <w:rPr>
          <w:rFonts w:ascii="Arial" w:cs="Arial" w:eastAsia="Arial" w:hAnsi="Arial"/>
          <w:sz w:val="16"/>
          <w:szCs w:val="16"/>
          <w:color w:val="231F20"/>
        </w:rPr>
        <w:t>We recognize incentive fee revenue only when these amounts are realized and no longer subject to significant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40"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i w:val="1"/>
          <w:iCs w:val="1"/>
          <w:color w:val="231F20"/>
        </w:rPr>
        <w:t xml:space="preserve">Carried interest allocations </w:t>
      </w:r>
      <w:r>
        <w:rPr>
          <w:rFonts w:ascii="Arial" w:cs="Arial" w:eastAsia="Arial" w:hAnsi="Arial"/>
          <w:sz w:val="20"/>
          <w:szCs w:val="20"/>
          <w:color w:val="231F20"/>
        </w:rPr>
        <w:t>include the allocation of performance-based fees to us from limited partners in the StepStone Funds in</w:t>
      </w:r>
      <w:r>
        <w:rPr>
          <w:rFonts w:ascii="Arial" w:cs="Arial" w:eastAsia="Arial" w:hAnsi="Arial"/>
          <w:sz w:val="20"/>
          <w:szCs w:val="20"/>
          <w:i w:val="1"/>
          <w:iCs w:val="1"/>
          <w:color w:val="231F20"/>
        </w:rPr>
        <w:t xml:space="preserve"> </w:t>
      </w:r>
      <w:r>
        <w:rPr>
          <w:rFonts w:ascii="Arial" w:cs="Arial" w:eastAsia="Arial" w:hAnsi="Arial"/>
          <w:sz w:val="20"/>
          <w:szCs w:val="20"/>
          <w:color w:val="231F20"/>
        </w:rPr>
        <w:t xml:space="preserve">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Arial" w:cs="Arial" w:eastAsia="Arial" w:hAnsi="Arial"/>
          <w:sz w:val="20"/>
          <w:szCs w:val="20"/>
          <w:i w:val="1"/>
          <w:iCs w:val="1"/>
          <w:color w:val="231F20"/>
        </w:rPr>
        <w:t>Revenue from Contracts</w:t>
      </w:r>
      <w:r>
        <w:rPr>
          <w:rFonts w:ascii="Arial" w:cs="Arial" w:eastAsia="Arial" w:hAnsi="Arial"/>
          <w:sz w:val="20"/>
          <w:szCs w:val="20"/>
          <w:color w:val="231F20"/>
        </w:rPr>
        <w:t xml:space="preserve"> </w:t>
      </w:r>
      <w:r>
        <w:rPr>
          <w:rFonts w:ascii="Arial" w:cs="Arial" w:eastAsia="Arial" w:hAnsi="Arial"/>
          <w:sz w:val="20"/>
          <w:szCs w:val="20"/>
          <w:i w:val="1"/>
          <w:iCs w:val="1"/>
          <w:color w:val="231F20"/>
        </w:rPr>
        <w:t>with Customers</w:t>
      </w:r>
      <w:r>
        <w:rPr>
          <w:rFonts w:ascii="Arial" w:cs="Arial" w:eastAsia="Arial" w:hAnsi="Arial"/>
          <w:sz w:val="20"/>
          <w:szCs w:val="20"/>
          <w:color w:val="231F20"/>
        </w:rPr>
        <w: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2020 and March 31, 2020, no material amounts for potential clawback obligations had been accrued.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Cash-based compensation </w:t>
      </w:r>
      <w:r>
        <w:rPr>
          <w:rFonts w:ascii="Arial" w:cs="Arial" w:eastAsia="Arial" w:hAnsi="Arial"/>
          <w:sz w:val="20"/>
          <w:szCs w:val="20"/>
          <w:color w:val="auto"/>
        </w:rPr>
        <w:t>primarily includes salaries, bonuses, employee benefits and employer-related payroll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Equity-based compensation </w:t>
      </w:r>
      <w:r>
        <w:rPr>
          <w:rFonts w:ascii="Arial" w:cs="Arial" w:eastAsia="Arial" w:hAnsi="Arial"/>
          <w:sz w:val="19"/>
          <w:szCs w:val="19"/>
          <w:color w:val="auto"/>
        </w:rPr>
        <w:t>represents grants of equity related awards or arrangements to certain employees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i w:val="1"/>
          <w:iCs w:val="1"/>
          <w:color w:val="auto"/>
        </w:rPr>
        <w:t xml:space="preserve">Performance fee-related compensation </w:t>
      </w:r>
      <w:r>
        <w:rPr>
          <w:rFonts w:ascii="Arial" w:cs="Arial" w:eastAsia="Arial" w:hAnsi="Arial"/>
          <w:sz w:val="18"/>
          <w:szCs w:val="18"/>
          <w:color w:val="auto"/>
        </w:rPr>
        <w:t>represents the portion of carried interest allocation revenue and incentive fees that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awarded to employees as a form of long-term incentive compensation. Performance fee-related compensation is generally tied to the investment performance of the StepStone Funds. </w:t>
      </w:r>
      <w:r>
        <w:rPr>
          <w:rFonts w:ascii="Arial" w:cs="Arial" w:eastAsia="Arial" w:hAnsi="Arial"/>
          <w:sz w:val="18"/>
          <w:szCs w:val="18"/>
          <w:color w:val="231F20"/>
        </w:rPr>
        <w:t>Approximately 50% of carried interest allocation revenue is awarded to employees as part</w:t>
      </w:r>
      <w:r>
        <w:rPr>
          <w:rFonts w:ascii="Arial" w:cs="Arial" w:eastAsia="Arial" w:hAnsi="Arial"/>
          <w:sz w:val="18"/>
          <w:szCs w:val="18"/>
          <w:color w:val="auto"/>
        </w:rPr>
        <w:t xml:space="preserve"> </w:t>
      </w:r>
      <w:r>
        <w:rPr>
          <w:rFonts w:ascii="Arial" w:cs="Arial" w:eastAsia="Arial" w:hAnsi="Arial"/>
          <w:sz w:val="18"/>
          <w:szCs w:val="18"/>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spacing w:after="0" w:line="172" w:lineRule="exact"/>
        <w:rPr>
          <w:sz w:val="20"/>
          <w:szCs w:val="20"/>
          <w:color w:val="auto"/>
        </w:rPr>
      </w:pPr>
    </w:p>
    <w:p>
      <w:pPr>
        <w:ind w:right="680" w:firstLine="648"/>
        <w:spacing w:after="0" w:line="385" w:lineRule="auto"/>
        <w:rPr>
          <w:sz w:val="20"/>
          <w:szCs w:val="20"/>
          <w:color w:val="auto"/>
        </w:rPr>
      </w:pPr>
      <w:r>
        <w:rPr>
          <w:rFonts w:ascii="Arial" w:cs="Arial" w:eastAsia="Arial" w:hAnsi="Arial"/>
          <w:sz w:val="16"/>
          <w:szCs w:val="16"/>
          <w:i w:val="1"/>
          <w:iCs w:val="1"/>
          <w:color w:val="auto"/>
        </w:rPr>
        <w:t xml:space="preserve">General, administrative and other </w:t>
      </w:r>
      <w:r>
        <w:rPr>
          <w:rFonts w:ascii="Arial" w:cs="Arial" w:eastAsia="Arial" w:hAnsi="Arial"/>
          <w:sz w:val="16"/>
          <w:szCs w:val="16"/>
          <w:color w:val="auto"/>
        </w:rPr>
        <w:t>includes occupancy, travel and entertainment, insurance, legal and other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of intangible assets, system-related costs, and other general costs associated with operating our business.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i w:val="1"/>
          <w:iCs w:val="1"/>
          <w:color w:val="231F20"/>
        </w:rPr>
        <w:t xml:space="preserve">Investment income </w:t>
      </w:r>
      <w:r>
        <w:rPr>
          <w:rFonts w:ascii="Arial" w:cs="Arial" w:eastAsia="Arial" w:hAnsi="Arial"/>
          <w:sz w:val="19"/>
          <w:szCs w:val="19"/>
          <w:color w:val="231F20"/>
        </w:rPr>
        <w:t>primarily represents our share of earnings from the investments we make in our SMAs and focused commingled</w:t>
      </w:r>
      <w:r>
        <w:rPr>
          <w:rFonts w:ascii="Arial" w:cs="Arial" w:eastAsia="Arial" w:hAnsi="Arial"/>
          <w:sz w:val="19"/>
          <w:szCs w:val="19"/>
          <w:i w:val="1"/>
          <w:iCs w:val="1"/>
          <w:color w:val="231F20"/>
        </w:rPr>
        <w:t xml:space="preserve"> </w:t>
      </w:r>
      <w:r>
        <w:rPr>
          <w:rFonts w:ascii="Arial" w:cs="Arial" w:eastAsia="Arial" w:hAnsi="Arial"/>
          <w:sz w:val="19"/>
          <w:szCs w:val="19"/>
          <w:color w:val="231F20"/>
        </w:rPr>
        <w:t>funds. We, either directly or through our subsidiaries, generally have a general partner interest in the StepStone Funds, which invest in primary funds, secondary funds and co-investment funds, or a combination of investment types.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80"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231F20"/>
        </w:rPr>
        <w:t>Consequently, our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Interest income </w:t>
      </w:r>
      <w:r>
        <w:rPr>
          <w:rFonts w:ascii="Arial" w:cs="Arial" w:eastAsia="Arial" w:hAnsi="Arial"/>
          <w:sz w:val="20"/>
          <w:szCs w:val="20"/>
          <w:color w:val="auto"/>
        </w:rPr>
        <w:t>consists of income earned on cash, cash equivalents and marketable securities.</w:t>
      </w:r>
    </w:p>
    <w:p>
      <w:pPr>
        <w:spacing w:after="0" w:line="216"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consists of the interest expense on our previously outstanding debt and related amortization of deferred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amortization of original issue discount. The nine months ended December 31, 2020 includes a $3.5 million charge related to the write-off of unamortized debt issuance costs and discount in connection with the full repayment of our outstanding debt balance.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Other income (loss) </w:t>
      </w:r>
      <w:r>
        <w:rPr>
          <w:rFonts w:ascii="Arial" w:cs="Arial" w:eastAsia="Arial" w:hAnsi="Arial"/>
          <w:sz w:val="20"/>
          <w:szCs w:val="20"/>
          <w:color w:val="auto"/>
        </w:rPr>
        <w:t>includes foreign currency translation gains and losses and non-operating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231F20"/>
        </w:rPr>
        <w:t>We are a corporation for U.S. federal income tax purposes and therefore are subject to U.S. federal and state income taxes on our share of taxable income generated by the Partnership. Prior to the Reorganization and IPO, we operated as a partnership for U.S. federal income tax purposes and therefore were not subject to U.S. federal and state income taxes.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Accordingly, the tax liability with respect to income attributable to non-controlling interests in the Partnership is borne by the holders of such non-controlling interests.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Non-Controlling Interests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65"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i w:val="1"/>
          <w:iCs w:val="1"/>
          <w:color w:val="auto"/>
        </w:rPr>
        <w:t xml:space="preserve">Non-controlling interests in subsidiaries </w:t>
      </w:r>
      <w:r>
        <w:rPr>
          <w:rFonts w:ascii="Arial" w:cs="Arial" w:eastAsia="Arial" w:hAnsi="Arial"/>
          <w:sz w:val="20"/>
          <w:szCs w:val="20"/>
          <w:color w:val="auto"/>
        </w:rPr>
        <w:t>represent the economic interests in the consolidated subsidiaries of the Partnership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91" w:lineRule="exact"/>
        <w:rPr>
          <w:sz w:val="20"/>
          <w:szCs w:val="20"/>
          <w:color w:val="auto"/>
        </w:rPr>
      </w:pPr>
    </w:p>
    <w:p>
      <w:pPr>
        <w:ind w:right="40" w:firstLine="648"/>
        <w:spacing w:after="0" w:line="291" w:lineRule="auto"/>
        <w:rPr>
          <w:sz w:val="20"/>
          <w:szCs w:val="20"/>
          <w:color w:val="auto"/>
        </w:rPr>
      </w:pPr>
      <w:r>
        <w:rPr>
          <w:rFonts w:ascii="Arial" w:cs="Arial" w:eastAsia="Arial" w:hAnsi="Arial"/>
          <w:sz w:val="18"/>
          <w:szCs w:val="18"/>
          <w:i w:val="1"/>
          <w:iCs w:val="1"/>
          <w:color w:val="auto"/>
        </w:rPr>
        <w:t xml:space="preserve">Non-controlling interests in the Partnership </w:t>
      </w:r>
      <w:r>
        <w:rPr>
          <w:rFonts w:ascii="Arial" w:cs="Arial" w:eastAsia="Arial" w:hAnsi="Arial"/>
          <w:sz w:val="18"/>
          <w:szCs w:val="18"/>
          <w:color w:val="auto"/>
        </w:rPr>
        <w:t>represent the economic interests in the Partnership held by the Class B unitholders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Operating Metrics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We monitor certain operating metrics that are either common to the asset management industry or that we believe provide important data regarding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jc w:val="both"/>
        <w:ind w:right="100" w:firstLine="648"/>
        <w:spacing w:after="0" w:line="246" w:lineRule="auto"/>
        <w:rPr>
          <w:sz w:val="20"/>
          <w:szCs w:val="20"/>
          <w:color w:val="auto"/>
        </w:rPr>
      </w:pPr>
      <w:r>
        <w:rPr>
          <w:rFonts w:ascii="Arial" w:cs="Arial" w:eastAsia="Arial" w:hAnsi="Arial"/>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1" w:lineRule="exact"/>
        <w:rPr>
          <w:sz w:val="20"/>
          <w:szCs w:val="20"/>
          <w:color w:val="auto"/>
        </w:rPr>
      </w:pPr>
    </w:p>
    <w:p>
      <w:pPr>
        <w:ind w:firstLine="648"/>
        <w:spacing w:after="0" w:line="242" w:lineRule="auto"/>
        <w:rPr>
          <w:sz w:val="20"/>
          <w:szCs w:val="20"/>
          <w:color w:val="auto"/>
        </w:rPr>
      </w:pPr>
      <w:r>
        <w:rPr>
          <w:rFonts w:ascii="Arial" w:cs="Arial" w:eastAsia="Arial" w:hAnsi="Arial"/>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2020 reflects final data for the prior period (September 30, 2020), adjusted for net new client account activity through December 31, 2020. NAV data for underlying investments is as of September 30, 2020, as reported by underlying managers up to 115 days following September 30, 2020. When NAV data is not available by 115 days following September 30, 2020,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spacing w:after="0" w:line="178"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231F20"/>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December 31, 2020 reflects final data for the prior period (September 30, 2020), adjusted for net new client account activity through December 31, 2020. NAV data for underlying investments is as of September 30, 2020, as reported by underlying managers up to 115 days following September 30, 2020. When NAV data is not available by 115 days following September 30, 2020, such NAVs are adjusted for cash activity following the last available reported NAV.</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spacing w:after="0" w:line="165"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231F20"/>
        </w:rPr>
        <w:t>Our calculation of FEAUM may differ from the calculations of other asset managers and, as a result, may not be comparable to similar measures presented by other asset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Undeployed fee-earning capital represents the amount of capital commitments to StepStone Funds that has not yet been invested or considered active, and as this capital is invested or activated, will generate management fee revenue.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right="140" w:firstLine="648"/>
        <w:spacing w:after="0" w:line="316" w:lineRule="auto"/>
        <w:rPr>
          <w:sz w:val="20"/>
          <w:szCs w:val="20"/>
          <w:color w:val="auto"/>
        </w:rPr>
      </w:pPr>
      <w:r>
        <w:rPr>
          <w:rFonts w:ascii="Arial" w:cs="Arial" w:eastAsia="Arial" w:hAnsi="Arial"/>
          <w:sz w:val="18"/>
          <w:szCs w:val="18"/>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Revenues and Adjusted Net Income</w:t>
      </w:r>
    </w:p>
    <w:p>
      <w:pPr>
        <w:spacing w:after="0" w:line="222"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231F20"/>
        </w:rPr>
        <w:t>Adjusted net income (“ANI”) is a non-GAAP performance measure that we present on a pre-tax and after-tax basis used to evaluate profitability.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(d) amortization of intangibles and (e) certain other items that we believe are not indicative of our core operating performance, including charges associated with acquisitions and corporate transactions, contract terminations and employee severance. ANI is income before taxes fully taxed at our blended statutory rate. We believe ANI and adjusted revenues are useful to investors because they enable investors to evaluate the performance of our business across reporting periods.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Fee-Related Earnings</w:t>
      </w:r>
    </w:p>
    <w:p>
      <w:pPr>
        <w:spacing w:after="0" w:line="222"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231F20"/>
        </w:rPr>
        <w:t>Fee-related earnings (“FRE”) is a non-GAAP performance measure used to monitor our baseline earnings from recurring management and advisory fees. FRE is a component of ANI and comprises net management and advisory fees, less operating expenses other than performance fee-related compensation, equity-based compensation for awards granted prior to and in connection with our IPO, amortization of intangibles and other non-core operating items.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220" w:firstLine="648"/>
        <w:spacing w:after="0" w:line="269" w:lineRule="auto"/>
        <w:rPr>
          <w:sz w:val="20"/>
          <w:szCs w:val="20"/>
          <w:color w:val="auto"/>
        </w:rPr>
      </w:pPr>
      <w:r>
        <w:rPr>
          <w:rFonts w:ascii="Arial" w:cs="Arial" w:eastAsia="Arial" w:hAnsi="Arial"/>
          <w:sz w:val="19"/>
          <w:szCs w:val="19"/>
          <w:color w:val="auto"/>
        </w:rPr>
        <w:t>ANI per share measures our per-share earnings assuming all Class B units in the Partnership were exchanged for Class A common stock in SSG. ANI per share is calculated as ANI divided by adjusted shares outstanding. We believe ANI per share is useful to investors because it enables them to better evaluate per-share operating performance across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2" w:lineRule="exact"/>
        <w:rPr>
          <w:sz w:val="20"/>
          <w:szCs w:val="20"/>
          <w:color w:val="auto"/>
        </w:rPr>
      </w:pPr>
    </w:p>
    <w:p>
      <w:pPr>
        <w:ind w:right="580" w:firstLine="648"/>
        <w:spacing w:after="0" w:line="316" w:lineRule="auto"/>
        <w:rPr>
          <w:sz w:val="20"/>
          <w:szCs w:val="20"/>
          <w:color w:val="auto"/>
        </w:rPr>
      </w:pPr>
      <w:r>
        <w:rPr>
          <w:rFonts w:ascii="Arial" w:cs="Arial" w:eastAsia="Arial" w:hAnsi="Arial"/>
          <w:sz w:val="18"/>
          <w:szCs w:val="18"/>
          <w:color w:val="auto"/>
        </w:rPr>
        <w:t>The following is a discussion of our unaudited consolidated results of operations for the periods presented. This information is derived from our accompanying condensed consolidated financial statements prepared in accordance with 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6"/>
                <w:szCs w:val="16"/>
                <w:b w:val="1"/>
                <w:bCs w:val="1"/>
                <w:color w:val="auto"/>
                <w:w w:val="94"/>
              </w:rPr>
              <w:t>Three Months Ended December 31,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w w:val="91"/>
              </w:rPr>
              <w:t>Nine Months Ended December 31,</w:t>
            </w:r>
          </w:p>
        </w:tc>
        <w:tc>
          <w:tcPr>
            <w:tcW w:w="0" w:type="dxa"/>
            <w:vAlign w:val="bottom"/>
          </w:tcPr>
          <w:p>
            <w:pPr>
              <w:spacing w:after="0"/>
              <w:rPr>
                <w:sz w:val="1"/>
                <w:szCs w:val="1"/>
                <w:color w:val="auto"/>
              </w:rPr>
            </w:pPr>
          </w:p>
        </w:tc>
      </w:tr>
      <w:tr>
        <w:trPr>
          <w:trHeight w:val="210"/>
        </w:trPr>
        <w:tc>
          <w:tcPr>
            <w:tcW w:w="57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70,093</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66,265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209,245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171,026</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fees: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Carried interest allocation: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720"/>
              <w:spacing w:after="0"/>
              <w:rPr>
                <w:sz w:val="20"/>
                <w:szCs w:val="20"/>
                <w:color w:val="auto"/>
              </w:rPr>
            </w:pPr>
            <w:r>
              <w:rPr>
                <w:rFonts w:ascii="Arial" w:cs="Arial" w:eastAsia="Arial" w:hAnsi="Arial"/>
                <w:sz w:val="18"/>
                <w:szCs w:val="18"/>
                <w:color w:val="auto"/>
              </w:rPr>
              <w:t>Realized allocation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43,540</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Unrealized allocation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carried interest allocation</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176,744</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214,307</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247,150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71,215</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428,650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302,666</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Cash-based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94,783</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0"/>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Performance fee-related compensation: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Realized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24,582</w:t>
            </w:r>
          </w:p>
        </w:tc>
        <w:tc>
          <w:tcPr>
            <w:tcW w:w="0" w:type="dxa"/>
            <w:vAlign w:val="bottom"/>
          </w:tcPr>
          <w:p>
            <w:pPr>
              <w:spacing w:after="0"/>
              <w:rPr>
                <w:sz w:val="1"/>
                <w:szCs w:val="1"/>
                <w:color w:val="auto"/>
              </w:rPr>
            </w:pPr>
          </w:p>
        </w:tc>
      </w:tr>
      <w:tr>
        <w:trPr>
          <w:trHeight w:val="230"/>
        </w:trPr>
        <w:tc>
          <w:tcPr>
            <w:tcW w:w="5720" w:type="dxa"/>
            <w:vAlign w:val="bottom"/>
            <w:gridSpan w:val="2"/>
          </w:tcPr>
          <w:p>
            <w:pPr>
              <w:ind w:left="780"/>
              <w:spacing w:after="0"/>
              <w:rPr>
                <w:sz w:val="20"/>
                <w:szCs w:val="20"/>
                <w:color w:val="auto"/>
              </w:rPr>
            </w:pPr>
            <w:r>
              <w:rPr>
                <w:rFonts w:ascii="Arial" w:cs="Arial" w:eastAsia="Arial" w:hAnsi="Arial"/>
                <w:sz w:val="18"/>
                <w:szCs w:val="18"/>
                <w:color w:val="auto"/>
              </w:rPr>
              <w:t>Unrealized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73,629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43,552</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performance fee-related compensation</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83,870</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101,439</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68,134</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219,938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164,349</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expenses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136,432</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51,401</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254,425</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202,334</w:t>
            </w: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97,277</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107,389</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163,398</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94,603</w:t>
            </w:r>
          </w:p>
        </w:tc>
        <w:tc>
          <w:tcPr>
            <w:tcW w:w="0" w:type="dxa"/>
            <w:vAlign w:val="bottom"/>
          </w:tcPr>
          <w:p>
            <w:pPr>
              <w:spacing w:after="0"/>
              <w:rPr>
                <w:sz w:val="1"/>
                <w:szCs w:val="1"/>
                <w:color w:val="auto"/>
              </w:rPr>
            </w:pPr>
          </w:p>
        </w:tc>
      </w:tr>
      <w:tr>
        <w:trPr>
          <w:trHeight w:val="230"/>
        </w:trPr>
        <w:tc>
          <w:tcPr>
            <w:tcW w:w="5720" w:type="dxa"/>
            <w:vAlign w:val="bottom"/>
            <w:gridSpan w:val="2"/>
          </w:tcPr>
          <w:p>
            <w:pPr>
              <w:ind w:left="400"/>
              <w:spacing w:after="0"/>
              <w:rPr>
                <w:sz w:val="20"/>
                <w:szCs w:val="20"/>
                <w:color w:val="auto"/>
              </w:rPr>
            </w:pPr>
            <w:r>
              <w:rPr>
                <w:rFonts w:ascii="Arial" w:cs="Arial" w:eastAsia="Arial" w:hAnsi="Arial"/>
                <w:sz w:val="18"/>
                <w:szCs w:val="18"/>
                <w:color w:val="auto"/>
                <w:w w:val="93"/>
              </w:rPr>
              <w:t>Less: Net income attributable to non-controlling interests in subsidiaries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Less: Net income attributable to non-controlling interests in the</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76,315</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119,976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84,947</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Partnership</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StepStone Group Inc.</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25,578</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24,788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5720" w:type="dxa"/>
            <w:vAlign w:val="bottom"/>
            <w:gridSpan w:val="2"/>
          </w:tcPr>
          <w:p>
            <w:pPr>
              <w:ind w:left="5540"/>
              <w:spacing w:after="0"/>
              <w:rPr>
                <w:sz w:val="20"/>
                <w:szCs w:val="20"/>
                <w:color w:val="auto"/>
              </w:rPr>
            </w:pPr>
            <w:r>
              <w:rPr>
                <w:rFonts w:ascii="Arial" w:cs="Arial" w:eastAsia="Arial" w:hAnsi="Arial"/>
                <w:sz w:val="18"/>
                <w:szCs w:val="18"/>
                <w:color w:val="auto"/>
                <w:w w:val="79"/>
              </w:rPr>
              <w:t>45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Revenues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jc w:val="both"/>
        <w:ind w:right="160" w:firstLine="648"/>
        <w:spacing w:after="0" w:line="385" w:lineRule="auto"/>
        <w:rPr>
          <w:sz w:val="20"/>
          <w:szCs w:val="20"/>
          <w:color w:val="auto"/>
        </w:rPr>
      </w:pPr>
      <w:r>
        <w:rPr>
          <w:rFonts w:ascii="Arial" w:cs="Arial" w:eastAsia="Arial" w:hAnsi="Arial"/>
          <w:sz w:val="16"/>
          <w:szCs w:val="16"/>
          <w:color w:val="auto"/>
        </w:rPr>
        <w:t>Total revenues increased $175.9 million, or 247%, to $247.2 million for the three months ended December 31, 2020 as compared to the three months ended December 31, 2019, due to higher carried interest allocation, net management and advisory fees and incentive fees.</w:t>
      </w:r>
    </w:p>
    <w:p>
      <w:pPr>
        <w:spacing w:after="0" w:line="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Net management and advisory fees increased $3.8 million, or 6%, to $70.1 million for the three months ended December 31, 2020 as compared to the three months ended December 31, 2019. The increase was driven by new client activity and an 18% growth in FEAUM across the platform. The increases were partially offset by a $0.8 million decline in revenues associated with liquidating portfolios for which StepStone serves as the replacement manager. The prior year results included approximately $3.8 million in retroactive fees primarily related to additional closes for StepStone Secondary Opportunities Fund IV (“SSOF IV”) and $1.0 million related to an advisory success fee in December 2019. For new investors, fees relating to periods prior to the closing date are considered retroactive.</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Incentive fees increased $0.1 million, or 37%, to $0.3 million for the three months ended December 31, 2020 as compared to the three months ended December 31, 2019.</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Realized carried interest allocation revenues increased $6.5 million, or 33%, to $26.1 million for the three months ended December 31, 2020 as compared to the three months ended December 31, 2019, reflecting higher realization activity within our private equity funds. Unrealized carried interest allocation revenues include the reversal of realized carried interest allocation revenues. Excluding the reversal, unrealized carried interest allocation revenues increased $172.0 million, to $176.7 million for the three months ended December 31, 2020 as compared to the three months ended December 31, 2019, primarily reflecting a larger increase in the cumulative allocation of gains associated with the underlying portfolios within our private equity funds primarily driven by the continued recovery in global financial markets despite the ongoing economic impacts of COVID-19.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Total revenues increased $126.0 million, or 42%, to $428.7 million for the nine months ended December 31, 2020 as compared to the nine months ended December 31, 2019, due to higher carried interest allocation, net management and advisory fees and incentive fees.</w:t>
      </w:r>
    </w:p>
    <w:p>
      <w:pPr>
        <w:spacing w:after="0" w:line="13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Net management and advisory fees increased $38.2 million, or 22%, to $209.2 million for the nine months ended December 31, 2020 as compared to the nine months ended December 31, 2019. This increase was driven by new client activity and growth in FEAUM across the platform, including retroactive fees of $9.0 million from StepStone Real Estate Partners IV (“SREP IV”), which had its final close in September 2020. The increases were partially offset by a $1.4 million decline in revenues associated with liquidating portfolios for which StepStone serves as the replacement manager. For new investors, fees relating to periods prior to the closing date are considered retroactive.</w:t>
      </w:r>
    </w:p>
    <w:p>
      <w:pPr>
        <w:spacing w:after="0" w:line="1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Incentive fees increased $2.5 million, or 94%, to $5.1 million for the nine months ended December 31, 2020 as compared to the nine months ended December 31, 2019.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Realized carried interest allocation revenues decreased $5.3 million, or 12%, to $38.3 million for the nine months ended December 31, 2020 as compared to the nine months ended December 31, 2019, reflecting lower realization activity within our private equity funds. Unrealized carried interest allocation revenues include the reversal of realized carried interest allocation revenues. Excluding the reversal, unrealized carried interest allocation revenues increased $85.3 million, or 66%, to $214.3 million for the nine months ended December 31, 2020 as compared to the nine months ended December 31, 2019. The increase in unrealized carried interest allocation for the nine months ended December 31, 2020 was primarily attributable to a larger increase in the cumulative allocation of gains associated with the underlying portfolios within our private equity funds primarily driven by the continued recovery in global financial markets despite the ongoing economic impacts of COVID-19.</w:t>
      </w:r>
    </w:p>
    <w:p>
      <w:pPr>
        <w:spacing w:after="0" w:line="180"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For the nine months ended December 31, 2020, our investments in StepStone Funds and accrued carried interest allocations initially experienced a $128.5 million decline during the first three months, primarily reflecting the unrealized depreciation in the fair value of certain underlying fund investments driven by the impact of COVID-19, and have subsequently seen a significant increase of $342.8 million, primarily reflecting the unrealized appreciation in the fair value of certain underlying fund investments primarily driven by the continued recovery in global financial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jc w:val="both"/>
        <w:ind w:right="220" w:firstLine="648"/>
        <w:spacing w:after="0" w:line="269" w:lineRule="auto"/>
        <w:rPr>
          <w:sz w:val="20"/>
          <w:szCs w:val="20"/>
          <w:color w:val="auto"/>
        </w:rPr>
      </w:pPr>
      <w:r>
        <w:rPr>
          <w:rFonts w:ascii="Arial" w:cs="Arial" w:eastAsia="Arial" w:hAnsi="Arial"/>
          <w:sz w:val="19"/>
          <w:szCs w:val="19"/>
          <w:color w:val="auto"/>
        </w:rPr>
        <w:t>Total expenses increased $85.0 million, or 165%, to $136.4 million for the three months ended December 31, 2020 as compared to the three months ended December 31, 2019, reflecting increases in performance fee-related compensation, equity-based compensation and cash-based compensation, partially offset by decreases in general, administrative and other expenses.</w:t>
      </w:r>
    </w:p>
    <w:p>
      <w:pPr>
        <w:spacing w:after="0" w:line="170" w:lineRule="exact"/>
        <w:rPr>
          <w:sz w:val="20"/>
          <w:szCs w:val="20"/>
          <w:color w:val="auto"/>
        </w:rPr>
      </w:pPr>
    </w:p>
    <w:p>
      <w:pPr>
        <w:jc w:val="both"/>
        <w:ind w:right="700" w:firstLine="648"/>
        <w:spacing w:after="0" w:line="250" w:lineRule="auto"/>
        <w:rPr>
          <w:sz w:val="20"/>
          <w:szCs w:val="20"/>
          <w:color w:val="auto"/>
        </w:rPr>
      </w:pPr>
      <w:r>
        <w:rPr>
          <w:rFonts w:ascii="Arial" w:cs="Arial" w:eastAsia="Arial" w:hAnsi="Arial"/>
          <w:sz w:val="20"/>
          <w:szCs w:val="20"/>
          <w:color w:val="auto"/>
        </w:rPr>
        <w:t>Cash-based compensation increased $2.5 million, or 7%, to $36.7 million for the three months ended December 31, 2020 as compared to the three months ended December 31, 2019, due to increased staffing and compensation levels. Our full-time headcount increased 14% from December 31, 2019 to December 31, 2020.</w:t>
      </w:r>
    </w:p>
    <w:p>
      <w:pPr>
        <w:spacing w:after="0" w:line="1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Equity-based compensation increased $2.7 million, or 565%, to $3.2 million for the three months ended December 31, 2020 as compared to the three months ended December 31, 2019. The increase was attributable to the grant of restricted stock units (“RSUs”) made to certain employees and directors in connection with our IPO in September 2020.</w:t>
      </w:r>
    </w:p>
    <w:p>
      <w:pPr>
        <w:spacing w:after="0" w:line="186" w:lineRule="exact"/>
        <w:rPr>
          <w:sz w:val="20"/>
          <w:szCs w:val="20"/>
          <w:color w:val="auto"/>
        </w:rPr>
      </w:pPr>
    </w:p>
    <w:p>
      <w:pPr>
        <w:ind w:right="140" w:firstLine="648"/>
        <w:spacing w:after="0" w:line="321" w:lineRule="auto"/>
        <w:rPr>
          <w:sz w:val="20"/>
          <w:szCs w:val="20"/>
          <w:color w:val="auto"/>
        </w:rPr>
      </w:pPr>
      <w:r>
        <w:rPr>
          <w:rFonts w:ascii="Arial" w:cs="Arial" w:eastAsia="Arial" w:hAnsi="Arial"/>
          <w:sz w:val="16"/>
          <w:szCs w:val="16"/>
          <w:color w:val="auto"/>
        </w:rPr>
        <w:t>Performance fee-related compensation expense increased $80.4 million, to $83.9 million for the three months ended December 31, 2020 as compared to the three months ended December 31, 2019, primarily reflecting the increase in carried interest allocation revenue. Realized performance fee-related compensation decreased $0.2 million, or 2%, to $10.2 million for the three months ended December 31, 2020 as compared to the three months ended December 31, 2019, despite the increase in realized carried interest allocation revenues as a portion of realized carried interest allocation revenue in the current-year period included revenue with no associated compensation expense.</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General, administrative and other expenses decreased $0.7 million, or 5%, to $12.6 million for the three months ended December 31, 2020 as compared to the three months ended December 31, 2019. The decrease primarily reflected declines of $2.2 million in travel and associated costs for investment evaluation and client service, $1.1 million in marketing expenses and $0.5 million in amortization expense for intangibles. These decreases were partially offset by an increase of $1.5 million in legal and professional fees, $1.1 million in insurance costs and other general operating expenses. We anticipate travel and other expenses will return to prior levels as the COVID-19 situation improves, and that costs associated with being a public company will be reflected in our expenses going forward.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ind w:right="60" w:firstLine="648"/>
        <w:spacing w:after="0" w:line="269" w:lineRule="auto"/>
        <w:rPr>
          <w:sz w:val="20"/>
          <w:szCs w:val="20"/>
          <w:color w:val="auto"/>
        </w:rPr>
      </w:pPr>
      <w:r>
        <w:rPr>
          <w:rFonts w:ascii="Arial" w:cs="Arial" w:eastAsia="Arial" w:hAnsi="Arial"/>
          <w:sz w:val="19"/>
          <w:szCs w:val="19"/>
          <w:color w:val="auto"/>
        </w:rPr>
        <w:t>Total expenses increased $52.1 million, or 26%, to $254.4 million for the nine months ended December 31, 2020 as compared to the nine months ended December 31, 2019, due to increases in performance fee-related compensation, cash-based compensation and equity-based compensation, partially offset by decreases in general, administrative and other expenses.</w:t>
      </w:r>
    </w:p>
    <w:p>
      <w:pPr>
        <w:spacing w:after="0" w:line="170" w:lineRule="exact"/>
        <w:rPr>
          <w:sz w:val="20"/>
          <w:szCs w:val="20"/>
          <w:color w:val="auto"/>
        </w:rPr>
      </w:pPr>
    </w:p>
    <w:p>
      <w:pPr>
        <w:ind w:right="500" w:firstLine="648"/>
        <w:spacing w:after="0" w:line="269" w:lineRule="auto"/>
        <w:rPr>
          <w:sz w:val="20"/>
          <w:szCs w:val="20"/>
          <w:color w:val="auto"/>
        </w:rPr>
      </w:pPr>
      <w:r>
        <w:rPr>
          <w:rFonts w:ascii="Arial" w:cs="Arial" w:eastAsia="Arial" w:hAnsi="Arial"/>
          <w:sz w:val="19"/>
          <w:szCs w:val="19"/>
          <w:color w:val="auto"/>
        </w:rPr>
        <w:t>Cash-based compensation increased $19.1 million, or 20%, to $113.9 million for the nine months ended December 31, 2020 as compared to the nine months ended December 31, 2019, due to increased staffing and compensation levels, as well as $4.1 million in severance costs. Our full-time headcount increased 14% from December 31, 2019 to December 31, 2020.</w:t>
      </w:r>
    </w:p>
    <w:p>
      <w:pPr>
        <w:spacing w:after="0" w:line="17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Equity-based compensation increased $3.2 million, or 224%, to $4.6 million for the nine months ended December 31, 2020 as compared to the nine months ended December 31, 2019. The increase was attributable to the grant of RSUs made to certain employees and directors in connection with our IPO in September 2020.</w:t>
      </w:r>
    </w:p>
    <w:p>
      <w:pPr>
        <w:spacing w:after="0" w:line="18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Performance fee-related compensation expense increased $33.3 million, or 49%, to $101.4 million for the nine months ended December 31, 2020 as compared to the nine months ended December 31, 2019, primarily reflecting the increase in carried interest allocation revenue. Realized performance fee-related compensation decreased $6.6 million, or 27%, to $18.0 million for the nine months ended December 31, 2020 as compared to the nine months ended December 31, 2019, primarily reflecting lower realization activity.</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General, administrative and other expenses decreased $3.5 million, or 9%, to $34.5 million for the nine months ended December 31, 2020 as compared to the nine months ended December 31, 2019. The decrease primarily reflected declines of $5.5 million in travel and associated costs for investment evaluation and client service, $1.6 million in marketing expenses, $1.5 million in amortization expense for intangibles, and other general operating expenses, partially offset by an increase of $2.8 million in legal and professional fees, $1.8 million in information and technology expenses and $1.6 million in insurance costs. We anticipate travel and other expenses will return to prior levels as the COVID-19 situation improves, and that costs associated with being a public company will be reflected in our expenses going forward.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Other Income (Expense)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Investment income increased $4.7 million, or 667%, to $5.4 million for the three months ended December 31, 2020 as compared to the three months ended December 31, 2019, primarily reflecting overall changes in the valuations of the underlying investments in the StepStone Funds.</w:t>
      </w:r>
    </w:p>
    <w:p>
      <w:pPr>
        <w:spacing w:after="0" w:line="186"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Interest income decreased $0.3 million, or 79%, to $0.1 million for the three months ended December 31, 2020 as compared to the three months ended December 31, 2019.</w:t>
      </w:r>
    </w:p>
    <w:p>
      <w:pPr>
        <w:spacing w:after="0" w:line="177"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Interest expense decreased $2.4 million, or 99%, to $26 thousand for the three months ended December 31, 2020 as compared to the three months ended December 31, 2019. The decrease was primarily due to the full repayment of our previously outstanding senior secured term loan (“Term Loan B”) in connection with the IPO in September 2020.</w:t>
      </w:r>
    </w:p>
    <w:p>
      <w:pPr>
        <w:spacing w:after="0" w:line="186"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0"/>
          <w:szCs w:val="20"/>
          <w:color w:val="auto"/>
        </w:rPr>
        <w:t>Other income (loss) increased $1.0 million to income of $0.8 million for the three months ended December 31, 2020 as compared to the three months ended December 31, 2019, primarily reflecting favorable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Investment income increased $2.6 million, or 66%, to $6.5 million for the nine months ended December 31, 2020 as compared to the nine months ended December 31, 2019, primarily reflecting overall changes in the valuations of the underlying investments in the StepStone Funds.</w:t>
      </w:r>
    </w:p>
    <w:p>
      <w:pPr>
        <w:spacing w:after="0" w:line="18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Interest income decreased $0.8 million, or 70%, to $0.3 million for the nine months ended December 31, 2020 as compared to the nine months ended December 31, 2019.</w:t>
      </w:r>
    </w:p>
    <w:p>
      <w:pPr>
        <w:spacing w:after="0" w:line="1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Interest expense decreased $0.4 million, or 5%, to $7.4 million for the nine months ended December 31, 2020 as compared to the nine months ended December 31, 2019. The decrease was primarily due to the full repayment of our previously outstanding Term Loan B in connection with the IPO in September 2020, partially offset by the write-off of $3.5 million in unamortized debt issuance costs and discount with the full repayment of our Term Loan B.</w:t>
      </w:r>
    </w:p>
    <w:p>
      <w:pPr>
        <w:spacing w:after="0" w:line="191"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Other income (loss) increased $1.6 million to income of $1.3 million for the nine months ended December 31, 2020 as compared to the nine months ended December 31, 2019, primarily reflecting favorable foreign currency translation.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Income Tax Expense</w:t>
      </w:r>
    </w:p>
    <w:p>
      <w:pPr>
        <w:spacing w:after="0" w:line="22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Income tax expense primarily reflects U.S. federal and state income taxes on our share of taxable income generated by the Partnership, as well as local and foreign income taxes of certain of the Partnership’s subsidiaries. Prior to the Reorganization and IPO, income tax expense consisted of local income taxes and foreign income taxes for subsidiaries that have operations outside of the United States as the Partnership is treated as a flow-through entity and is not subject to federal income taxes.</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Our effective income tax rate was 8.2% and 5.5% for the three months ended December 31, 2020 and 2019, respectively, and 6.6% and 2.7% for the nine months ended December 31, 2020 and 2019, respectively. Our overall effective tax rate is less than the statutory rate primarily because (a) we were not subject to U.S. federal taxes prior to the Reorganization and IPO and (b) a portion of income is allocated to non-controlling interests, and the tax liability on such income is borne by the holders of such non-controlling interests.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Income tax expense increased $8.5 million, or 857%, to $9.5 million for the three months ended December 31, 2020 as compared to the three months ended December 31, 2019. The increase was primarily related to U.S. federal and state income taxes recognized on our share of taxable income generated by the Partnership for the three months ended December 31, 2020 and a general increase in taxes paid in non-U.S. subsidiaries. For the period prior to the Reorganization and IPO, we were not subject to U.S. federal income taxes.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Income tax expense increased $8.9 million, or 333%, to $11.6 million for the nine months ended December 31, 2020 as compared to the nine months ended December 31, 2019. The increase was primarily related to U.S. federal and state income taxes recognized on our share of taxable income generated by the Partnership for the nine months ended December 31, 2020 and a general increase in taxes paid in non-U.S. subsidiaries. For the period prior to the Reorganization and IPO, we were not subject to U.S. federal income taxes.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Subsidiaries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$0.3 million, or 6%, to $5.5 million for the three months ended December 31, 2020 as compared to the three months ended December 31, 2019. The increase was primarily attributable to an increase in income generated by our consolidated subsidiaries not wholly-owned by us.</w:t>
      </w:r>
    </w:p>
    <w:p>
      <w:pPr>
        <w:spacing w:after="0" w:line="18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Net income attributable to non-controlling interests in subsidiaries increased $9.0 million, or 93%, to $18.6 million for the nine months ended December 31, 2020 as compared to the nine months ended December 31, 2019. The increase was primarily attributable to an increase in income generated by our consolidated subsidiaries not wholly-owned by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Net Income Attributable to Non-Controlling Interests in the Partnership</w:t>
      </w:r>
    </w:p>
    <w:p>
      <w:pPr>
        <w:spacing w:after="0" w:line="22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Net income attributable to non-controlling interests in the Partnership represents the portion of net income or loss attributable to the interests held by the Class B unitholders of the Partnership subsequent to the Reorganization and IPO. Net income attributable to non-controlling interests in the Partnership was $76.3 million and $120.0 million for the three and nine months ended December 31, 2020, respectively. Prior to the Reorganization and IPO, all of our income or loss relates to the Partnership and has been presented as non-controlling interests in the Partnership.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Management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AUM was $67 billion as of March 31, 2020, $72 billion as of September 30, 2020 and $80 billion as of December 31, 2020.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Assets Under Advisement</w:t>
      </w:r>
    </w:p>
    <w:p>
      <w:pPr>
        <w:spacing w:after="0" w:line="222" w:lineRule="exact"/>
        <w:rPr>
          <w:sz w:val="20"/>
          <w:szCs w:val="20"/>
          <w:color w:val="auto"/>
        </w:rPr>
      </w:pPr>
    </w:p>
    <w:p>
      <w:pPr>
        <w:ind w:right="820" w:firstLine="648"/>
        <w:spacing w:after="0" w:line="260" w:lineRule="auto"/>
        <w:rPr>
          <w:sz w:val="20"/>
          <w:szCs w:val="20"/>
          <w:color w:val="auto"/>
        </w:rPr>
      </w:pPr>
      <w:r>
        <w:rPr>
          <w:rFonts w:ascii="Arial" w:cs="Arial" w:eastAsia="Arial" w:hAnsi="Arial"/>
          <w:sz w:val="20"/>
          <w:szCs w:val="20"/>
          <w:color w:val="auto"/>
        </w:rPr>
        <w:t>Assets related to our advisory accounts were $229 billion as of March 31, 2020, $241 billion as of September 30, 2020 and $253 billion as of December 31,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Fee-Earning AUM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Three Months Ended December 31, 2020</w:t>
      </w:r>
    </w:p>
    <w:p>
      <w:pPr>
        <w:spacing w:after="0" w:line="216"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FEAUM increased $2.3 billion, or 5%, to $46.6 billion as of December 31, 2020 as compared to $44.3 billion as of September 30, 2020. Of the increase, $1.9 billion was from SMAs and $0.4 billion was from focused commingled funds.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FEAUM increased $5.4 billion, or 13%, to $46.6 billion as of December 31, 2020 as compared to $41.2 billion as of March 31, 2020.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the increase, $4.2 billion was from SMAs and $1.2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0"/>
              </w:rPr>
              <w:t>Three Months Ended December 31, 2020</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December 31, 2020</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3"/>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Funds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44,310</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Arial" w:cs="Arial" w:eastAsia="Arial" w:hAnsi="Arial"/>
                <w:sz w:val="18"/>
                <w:szCs w:val="18"/>
                <w:color w:val="auto"/>
              </w:rPr>
              <w:t>Contributions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5,994</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Distributions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w w:val="94"/>
              </w:rPr>
              <w:t>Market value, FX and other</w:t>
            </w:r>
            <w:r>
              <w:rPr>
                <w:rFonts w:ascii="Arial" w:cs="Arial" w:eastAsia="Arial" w:hAnsi="Arial"/>
                <w:sz w:val="23"/>
                <w:szCs w:val="23"/>
                <w:color w:val="auto"/>
                <w:w w:val="94"/>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right="300" w:hanging="652"/>
        <w:spacing w:after="0" w:line="250"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Contributions consist of new capital commitments that earn fees on committed capital and capital contributions to funds and accounts that earn fees on net invested capital or NAV.</w:t>
      </w: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Distributions consist of returns of capital from funds and accounts that pay fees on net invested capital or NAV.</w:t>
      </w:r>
    </w:p>
    <w:p>
      <w:pPr>
        <w:spacing w:after="0" w:line="9" w:lineRule="exact"/>
        <w:rPr>
          <w:rFonts w:ascii="Arial" w:cs="Arial" w:eastAsia="Arial" w:hAnsi="Arial"/>
          <w:sz w:val="18"/>
          <w:szCs w:val="18"/>
          <w:color w:val="auto"/>
        </w:rPr>
      </w:pPr>
    </w:p>
    <w:p>
      <w:pPr>
        <w:ind w:left="660" w:right="160" w:hanging="652"/>
        <w:spacing w:after="0" w:line="255" w:lineRule="auto"/>
        <w:tabs>
          <w:tab w:leader="none" w:pos="6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value, FX and other primarily consist of changes in market value appreciation (depreciation) for funds that pay on NAV, the effect of foreign exchange rate changes on non-U.S. dollar denominated commitments, and reductions in fee-earning AUM from funds that moved from a committed capital to net invested capital fee basis or from funds and accounts that no longer pay fees.</w:t>
      </w:r>
    </w:p>
    <w:p>
      <w:pPr>
        <w:spacing w:after="0" w:line="18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following tables set forth FEAUM by asset class and selected weighted-average management fee rate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December 31, 2020</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2020</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2019</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FEAUM</w:t>
            </w: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19,269</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Private debt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6060" w:type="dxa"/>
            <w:vAlign w:val="bottom"/>
          </w:tcPr>
          <w:p>
            <w:pPr>
              <w:ind w:left="46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39,351</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2020</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March 31, 2020</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 2019</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Weighted-average fee rate</w:t>
            </w:r>
            <w:r>
              <w:rPr>
                <w:rFonts w:ascii="Arial" w:cs="Arial" w:eastAsia="Arial" w:hAnsi="Arial"/>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Private equity</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0.64 %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0.64 %</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 estate, infrastructure and private debt asset classes</w:t>
            </w:r>
            <w:r>
              <w:rPr>
                <w:rFonts w:ascii="Arial" w:cs="Arial" w:eastAsia="Arial" w:hAnsi="Arial"/>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0.39 %</w:t>
            </w:r>
          </w:p>
        </w:tc>
      </w:tr>
      <w:tr>
        <w:trPr>
          <w:trHeight w:val="223"/>
        </w:trPr>
        <w:tc>
          <w:tcPr>
            <w:tcW w:w="5820" w:type="dxa"/>
            <w:vAlign w:val="bottom"/>
          </w:tcPr>
          <w:p>
            <w:pPr>
              <w:ind w:left="4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0.52 %</w:t>
            </w:r>
          </w:p>
        </w:tc>
      </w:tr>
      <w:tr>
        <w:trPr>
          <w:trHeight w:val="21"/>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Weighted-average fee rates reflect the applicable management fees for the last 12 months ending on each period presented.</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the timing of new funds.</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change in weighted-average fee rates primarily reflected shifts in asset class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Undeployed Fee-Earning Capital</w:t>
      </w:r>
    </w:p>
    <w:p>
      <w:pPr>
        <w:spacing w:after="0" w:line="222"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As of December 31, 2020, we had $17.4 billion of undeployed fee-earning capital on which we will earn fees once deployed or activated.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components of FRE and ANI:</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advisory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171,026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Cash-based compensation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94,783</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line="230" w:lineRule="exact"/>
              <w:rPr>
                <w:sz w:val="20"/>
                <w:szCs w:val="20"/>
                <w:color w:val="auto"/>
              </w:rPr>
            </w:pPr>
            <w:r>
              <w:rPr>
                <w:rFonts w:ascii="Arial" w:cs="Arial" w:eastAsia="Arial" w:hAnsi="Arial"/>
                <w:sz w:val="18"/>
                <w:szCs w:val="18"/>
                <w:color w:val="auto"/>
              </w:rPr>
              <w:t>General, administrative and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37,985</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Fee-related earnings</w:t>
            </w:r>
            <w:r>
              <w:rPr>
                <w:rFonts w:ascii="Arial" w:cs="Arial" w:eastAsia="Arial" w:hAnsi="Arial"/>
                <w:sz w:val="23"/>
                <w:szCs w:val="23"/>
                <w:b w:val="1"/>
                <w:bCs w:val="1"/>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68,442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46,334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Realized carried interest allocations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43,540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Incentive fees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rPr>
              <w:t>Deferred incentive fees</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29"/>
        </w:trPr>
        <w:tc>
          <w:tcPr>
            <w:tcW w:w="39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Write-off of unamortized deferred financing</w:t>
            </w:r>
          </w:p>
        </w:tc>
        <w:tc>
          <w:tcPr>
            <w:tcW w:w="2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costs</w:t>
            </w:r>
          </w:p>
        </w:tc>
        <w:tc>
          <w:tcPr>
            <w:tcW w:w="26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line="230" w:lineRule="exact"/>
              <w:rPr>
                <w:sz w:val="20"/>
                <w:szCs w:val="20"/>
                <w:color w:val="auto"/>
              </w:rPr>
            </w:pPr>
            <w:r>
              <w:rPr>
                <w:rFonts w:ascii="Arial" w:cs="Arial" w:eastAsia="Arial" w:hAnsi="Arial"/>
                <w:sz w:val="18"/>
                <w:szCs w:val="18"/>
                <w:color w:val="auto"/>
              </w:rPr>
              <w:t>Other income (loss)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400"/>
              <w:spacing w:after="0"/>
              <w:rPr>
                <w:sz w:val="20"/>
                <w:szCs w:val="20"/>
                <w:color w:val="auto"/>
              </w:rPr>
            </w:pPr>
            <w:r>
              <w:rPr>
                <w:rFonts w:ascii="Arial" w:cs="Arial" w:eastAsia="Arial" w:hAnsi="Arial"/>
                <w:sz w:val="18"/>
                <w:szCs w:val="18"/>
                <w:color w:val="auto"/>
                <w:w w:val="92"/>
              </w:rPr>
              <w:t>Realized performance fee-related compensation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24,582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175"/>
        </w:trPr>
        <w:tc>
          <w:tcPr>
            <w:tcW w:w="3980" w:type="dxa"/>
            <w:vAlign w:val="bottom"/>
          </w:tcPr>
          <w:p>
            <w:pPr>
              <w:ind w:left="400"/>
              <w:spacing w:after="0" w:line="176" w:lineRule="exact"/>
              <w:rPr>
                <w:sz w:val="20"/>
                <w:szCs w:val="20"/>
                <w:color w:val="auto"/>
              </w:rPr>
            </w:pPr>
            <w:r>
              <w:rPr>
                <w:rFonts w:ascii="Arial" w:cs="Arial" w:eastAsia="Arial" w:hAnsi="Arial"/>
                <w:sz w:val="18"/>
                <w:szCs w:val="18"/>
                <w:color w:val="auto"/>
                <w:w w:val="96"/>
              </w:rPr>
              <w:t>Income attributable to non-controlling interests</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19,297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600"/>
              <w:spacing w:after="0" w:line="230" w:lineRule="exact"/>
              <w:rPr>
                <w:sz w:val="20"/>
                <w:szCs w:val="20"/>
                <w:color w:val="auto"/>
              </w:rPr>
            </w:pPr>
            <w:r>
              <w:rPr>
                <w:rFonts w:ascii="Arial" w:cs="Arial" w:eastAsia="Arial" w:hAnsi="Arial"/>
                <w:sz w:val="18"/>
                <w:szCs w:val="18"/>
                <w:color w:val="auto"/>
              </w:rPr>
              <w:t>in subsidiaries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Pre-tax adjusted net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Less: Income taxes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20" w:hanging="652"/>
        <w:spacing w:after="0" w:line="250"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translation gains and losses have been reclassified from general, administrative and other expenses to other income (loss) in our consolidated income statements for all prior periods presented to conform to the current period presentation.</w:t>
      </w:r>
    </w:p>
    <w:p>
      <w:pPr>
        <w:ind w:left="660" w:right="40" w:hanging="652"/>
        <w:spacing w:after="0" w:line="252"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for the nine months ended December 31, 2019), severance costs ($0.8 million for the three months ended December 31, 2019, and $4.1 million and $0.9 million for the nine months ended December 31, 2020 and 2019, respectively), transaction costs ($0.3 million and $0.2 million for the three months ended December 31, 2020 and 2019, respectively, and $0.3 million and $1.1 million for the nine months ended December 31, 2020 and 2019, respectively), loss on change in fair value for contingent consideration obligation ($0.4 million for the three and nine months ended December 31, 2020), and other non-core operating income and expenses.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left="660" w:hanging="652"/>
        <w:spacing w:after="0" w:line="269"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income attributable to non-controlling interests in subsidiaries net of non-controlling interest portion of unrealized investment income (loss) ($0.1 million and $0.2 million for the three months ended December 31, 2020 and 2019, respectively, and $(0.5) million and $0.3 million for the nine months ended December 31, 2020 and 2019, respectively), and non-controlling interest portion of loss on change in fair value for contingent consideration obligation ($0.2 million for the three and nine months ended December 31, 2020).</w:t>
      </w:r>
    </w:p>
    <w:p>
      <w:pPr>
        <w:spacing w:after="0" w:line="1" w:lineRule="exact"/>
        <w:rPr>
          <w:rFonts w:ascii="Arial" w:cs="Arial" w:eastAsia="Arial" w:hAnsi="Arial"/>
          <w:sz w:val="17"/>
          <w:szCs w:val="17"/>
          <w:color w:val="auto"/>
        </w:rPr>
      </w:pPr>
    </w:p>
    <w:p>
      <w:pPr>
        <w:ind w:left="660" w:right="20" w:hanging="652"/>
        <w:spacing w:after="0" w:line="253"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corporate income taxes at a blended statutory rate of 25.0% applied to pre-tax adjusted net income for all periods presented. The 25.0% is based on a federal statutory rate of 21.0% and a combined state, local and foreign rate net of federal benefits of 4.0%. As we were not subject to U.S. federal and state income taxes prior to the Reorganization and IPO, the blended statutory rate of 25.0% has been applied to all periods presented for comparability purposes.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b w:val="1"/>
          <w:bCs w:val="1"/>
          <w:color w:val="auto"/>
        </w:rPr>
        <w:t>Adjusted Revenues and Adjusted Net Income</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Adjusted revenues increased $10.4 million, or 12%, to $96.5 million for the three months ended December 31, 2020 as compared to the three months ended December 31, 2019, primarily reflecting increases in net management and advisory fees and realized carried interest allocation revenues.</w:t>
      </w:r>
    </w:p>
    <w:p>
      <w:pPr>
        <w:spacing w:after="0" w:line="186"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ANI increased $9.0 million, or 50%, to $27.0 million for the three months ended December 31, 2020 as compared to the three months ended December 31, 2019, primarily due to the increase in FRE as discussed below, an increase in realized carried interest allocation revenues, net of related compensation, and lower interest expense, partially offset by a higher allocation of income to non-controlling interests.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jc w:val="both"/>
        <w:ind w:right="100" w:firstLine="648"/>
        <w:spacing w:after="0" w:line="269" w:lineRule="auto"/>
        <w:rPr>
          <w:sz w:val="20"/>
          <w:szCs w:val="20"/>
          <w:color w:val="auto"/>
        </w:rPr>
      </w:pPr>
      <w:r>
        <w:rPr>
          <w:rFonts w:ascii="Arial" w:cs="Arial" w:eastAsia="Arial" w:hAnsi="Arial"/>
          <w:sz w:val="19"/>
          <w:szCs w:val="19"/>
          <w:color w:val="auto"/>
        </w:rPr>
        <w:t>Adjusted revenues increased $39.3 million, or 18%, to $257.3 million for the nine months ended December 31, 2020 as compared to the nine months ended December 31, 2019, primarily reflecting increases in net management and advisory fees and incentive fees (including the deferred portion), partially offset by decreases in realized carried interest allocation revenues.</w:t>
      </w:r>
    </w:p>
    <w:p>
      <w:pPr>
        <w:spacing w:after="0" w:line="170"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ANI increased $19.1 million, or 46%, to $60.8 million for the nine months ended December 31, 2020 as compared to the nine months ended December 31, 2019, primarily due to increases in FRE as discussed below, as well as increases in realized carried interest allocation revenues, net of related compensation and incentive fees (including the deferred portion). These increases were partially offset by a higher allocation of income to non-controlling interests.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Adjusted Net Income Per Share</w:t>
      </w:r>
    </w:p>
    <w:p>
      <w:pPr>
        <w:spacing w:after="0" w:line="222" w:lineRule="exact"/>
        <w:rPr>
          <w:sz w:val="20"/>
          <w:szCs w:val="20"/>
          <w:color w:val="auto"/>
        </w:rPr>
      </w:pPr>
    </w:p>
    <w:p>
      <w:pPr>
        <w:ind w:right="40" w:firstLine="648"/>
        <w:spacing w:after="0" w:line="232" w:lineRule="auto"/>
        <w:rPr>
          <w:sz w:val="20"/>
          <w:szCs w:val="20"/>
          <w:color w:val="auto"/>
        </w:rPr>
      </w:pPr>
      <w:r>
        <w:rPr>
          <w:rFonts w:ascii="Arial" w:cs="Arial" w:eastAsia="Arial" w:hAnsi="Arial"/>
          <w:sz w:val="20"/>
          <w:szCs w:val="20"/>
          <w:color w:val="auto"/>
        </w:rPr>
        <w:t>The following table shows a reconciliation of diluted weighted-average shares of Class A common stock outstanding to adjusted shares outstanding used in the computation of ANI per share for the three and nine months ended December 31, 2020 and 2019. As Class A common stock did not exist prior to the Reorganization and IPO, the number of adjusted shares outstanding used in the computation of ANI per share for all prior year periods presented reflect the number of adjusted shares for the period from the IPO date to September 30, 2020 for comparability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20"/>
              <w:spacing w:after="0" w:line="176" w:lineRule="exact"/>
              <w:rPr>
                <w:sz w:val="20"/>
                <w:szCs w:val="20"/>
                <w:color w:val="auto"/>
              </w:rPr>
            </w:pPr>
            <w:r>
              <w:rPr>
                <w:rFonts w:ascii="Arial" w:cs="Arial" w:eastAsia="Arial" w:hAnsi="Arial"/>
                <w:sz w:val="18"/>
                <w:szCs w:val="18"/>
                <w:color w:val="auto"/>
                <w:w w:val="95"/>
              </w:rPr>
              <w:t>Weighted-average shares of Class A common stock</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29,237,500</w:t>
            </w:r>
          </w:p>
        </w:tc>
        <w:tc>
          <w:tcPr>
            <w:tcW w:w="0" w:type="dxa"/>
            <w:vAlign w:val="bottom"/>
          </w:tcPr>
          <w:p>
            <w:pPr>
              <w:spacing w:after="0"/>
              <w:rPr>
                <w:sz w:val="1"/>
                <w:szCs w:val="1"/>
                <w:color w:val="auto"/>
              </w:rPr>
            </w:pPr>
          </w:p>
        </w:tc>
      </w:tr>
      <w:tr>
        <w:trPr>
          <w:trHeight w:val="229"/>
        </w:trPr>
        <w:tc>
          <w:tcPr>
            <w:tcW w:w="3980" w:type="dxa"/>
            <w:vAlign w:val="bottom"/>
          </w:tcPr>
          <w:p>
            <w:pPr>
              <w:ind w:left="240"/>
              <w:spacing w:after="0" w:line="230" w:lineRule="exact"/>
              <w:rPr>
                <w:sz w:val="20"/>
                <w:szCs w:val="20"/>
                <w:color w:val="auto"/>
              </w:rPr>
            </w:pPr>
            <w:r>
              <w:rPr>
                <w:rFonts w:ascii="Arial" w:cs="Arial" w:eastAsia="Arial" w:hAnsi="Arial"/>
                <w:sz w:val="18"/>
                <w:szCs w:val="18"/>
                <w:color w:val="auto"/>
              </w:rPr>
              <w:t>outstanding – Basic</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Assumed vesting of RSUs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745,347</w:t>
            </w:r>
          </w:p>
        </w:tc>
        <w:tc>
          <w:tcPr>
            <w:tcW w:w="0" w:type="dxa"/>
            <w:vAlign w:val="bottom"/>
          </w:tcPr>
          <w:p>
            <w:pPr>
              <w:spacing w:after="0"/>
              <w:rPr>
                <w:sz w:val="1"/>
                <w:szCs w:val="1"/>
                <w:color w:val="auto"/>
              </w:rPr>
            </w:pPr>
          </w:p>
        </w:tc>
      </w:tr>
      <w:tr>
        <w:trPr>
          <w:trHeight w:val="175"/>
        </w:trPr>
        <w:tc>
          <w:tcPr>
            <w:tcW w:w="3980" w:type="dxa"/>
            <w:vAlign w:val="bottom"/>
          </w:tcPr>
          <w:p>
            <w:pPr>
              <w:ind w:left="460"/>
              <w:spacing w:after="0" w:line="176" w:lineRule="exact"/>
              <w:rPr>
                <w:sz w:val="20"/>
                <w:szCs w:val="20"/>
                <w:color w:val="auto"/>
              </w:rPr>
            </w:pPr>
            <w:r>
              <w:rPr>
                <w:rFonts w:ascii="Arial" w:cs="Arial" w:eastAsia="Arial" w:hAnsi="Arial"/>
                <w:sz w:val="18"/>
                <w:szCs w:val="18"/>
                <w:color w:val="auto"/>
                <w:w w:val="99"/>
              </w:rPr>
              <w:t>Assumed vesting and exchange of Class B2</w:t>
            </w:r>
          </w:p>
        </w:tc>
        <w:tc>
          <w:tcPr>
            <w:tcW w:w="2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2,454,818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2,411,318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2,449,298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2,411,318</w:t>
            </w:r>
          </w:p>
        </w:tc>
        <w:tc>
          <w:tcPr>
            <w:tcW w:w="0" w:type="dxa"/>
            <w:vAlign w:val="bottom"/>
          </w:tcPr>
          <w:p>
            <w:pPr>
              <w:spacing w:after="0"/>
              <w:rPr>
                <w:sz w:val="1"/>
                <w:szCs w:val="1"/>
                <w:color w:val="auto"/>
              </w:rPr>
            </w:pPr>
          </w:p>
        </w:tc>
      </w:tr>
      <w:tr>
        <w:trPr>
          <w:trHeight w:val="230"/>
        </w:trPr>
        <w:tc>
          <w:tcPr>
            <w:tcW w:w="3980" w:type="dxa"/>
            <w:vAlign w:val="bottom"/>
          </w:tcPr>
          <w:p>
            <w:pPr>
              <w:ind w:left="680"/>
              <w:spacing w:after="0" w:line="230" w:lineRule="exact"/>
              <w:rPr>
                <w:sz w:val="20"/>
                <w:szCs w:val="20"/>
                <w:color w:val="auto"/>
              </w:rPr>
            </w:pPr>
            <w:r>
              <w:rPr>
                <w:rFonts w:ascii="Arial" w:cs="Arial" w:eastAsia="Arial" w:hAnsi="Arial"/>
                <w:sz w:val="18"/>
                <w:szCs w:val="18"/>
                <w:color w:val="auto"/>
              </w:rPr>
              <w:t>units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88"/>
              </w:rPr>
              <w:t>Exchange of Class B units in the Partnership</w:t>
            </w:r>
            <w:r>
              <w:rPr>
                <w:rFonts w:ascii="Arial" w:cs="Arial" w:eastAsia="Arial" w:hAnsi="Arial"/>
                <w:sz w:val="23"/>
                <w:szCs w:val="23"/>
                <w:color w:val="auto"/>
                <w:w w:val="88"/>
                <w:vertAlign w:val="superscript"/>
              </w:rPr>
              <w:t>(1)(2)</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65,578,831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line="223" w:lineRule="exact"/>
              <w:rPr>
                <w:sz w:val="20"/>
                <w:szCs w:val="20"/>
                <w:color w:val="auto"/>
              </w:rPr>
            </w:pPr>
            <w:r>
              <w:rPr>
                <w:rFonts w:ascii="Arial" w:cs="Arial" w:eastAsia="Arial" w:hAnsi="Arial"/>
                <w:sz w:val="18"/>
                <w:szCs w:val="18"/>
                <w:color w:val="auto"/>
              </w:rPr>
              <w:t>Adjusted shares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98,283,806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98,243,029</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97,972,996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Adjusted net income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60" w:hanging="652"/>
        <w:spacing w:after="0" w:line="250"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Class A common stock did not exist prior to the Reorganization and IPO in September 2020. As a result, the number of adjusted shares outstanding used in the computation of ANI per share for all prior year periods presented reflect the number of adjusted shares for the period from the IPO date to September 30, 2020 for comparability purposes.</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Assumes the full exchange of Class B units in the Partnership for Class A common stock of SSG pursuant to the exchange agreement.</w:t>
      </w:r>
    </w:p>
    <w:p>
      <w:pPr>
        <w:spacing w:after="0" w:line="21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b w:val="1"/>
          <w:bCs w:val="1"/>
          <w:color w:val="auto"/>
        </w:rPr>
        <w:t>Fee-Related Earnings</w:t>
      </w:r>
    </w:p>
    <w:p>
      <w:pPr>
        <w:spacing w:after="0" w:line="22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i w:val="1"/>
          <w:iCs w:val="1"/>
          <w:color w:val="auto"/>
        </w:rPr>
        <w:t>Three Months Ended December 31, 2020 Compared to Three Months Ended December 31, 2019</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FRE increased $1.0 million, or 5%, to $22.3 million for the three months ended December 31, 2020 as compared to the three months ended December 31, 2019, primarily reflecting higher net management and advisory fees and lower general, administrative and other expenses, partially offset by higher cash-based compensation.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Nine Months Ended December 31, 2020 Compared to Nine Months Ended December 31, 2019</w:t>
      </w:r>
    </w:p>
    <w:p>
      <w:pPr>
        <w:spacing w:after="0" w:line="216"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FRE increased $22.1 million, or 48%, to $68.4 million for the nine months ended December 31, 2020 as compared to the nine months ended December 31, 2019, primarily reflecting higher net management and advisory fees and lower general, administrative and other expenses, partially offset by higher cash-based compensation.</w:t>
      </w:r>
    </w:p>
    <w:p>
      <w:pPr>
        <w:spacing w:after="0" w:line="180"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revenues to adjusted revenues.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302,666</w:t>
            </w: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(150,681)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(176,050)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(85,474)</w:t>
            </w: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Adjusted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96,469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257,300</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217,991</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shows a reconciliation of income before income tax to ANI and FRE.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 December 31,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97,277</w:t>
            </w: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(19,297)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30"/>
        </w:trPr>
        <w:tc>
          <w:tcPr>
            <w:tcW w:w="4100" w:type="dxa"/>
            <w:vAlign w:val="bottom"/>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carried interest allocation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(85,474)</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0"/>
              </w:rPr>
              <w:t>Unrealized performance fee-related compensation</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73,629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Non-core items</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line="230" w:lineRule="exact"/>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carried interest allocation revenue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(43,540)</w:t>
            </w:r>
          </w:p>
        </w:tc>
        <w:tc>
          <w:tcPr>
            <w:tcW w:w="0" w:type="dxa"/>
            <w:vAlign w:val="bottom"/>
          </w:tcPr>
          <w:p>
            <w:pPr>
              <w:spacing w:after="0"/>
              <w:rPr>
                <w:sz w:val="1"/>
                <w:szCs w:val="1"/>
                <w:color w:val="auto"/>
              </w:rPr>
            </w:pPr>
          </w:p>
        </w:tc>
      </w:tr>
      <w:tr>
        <w:trPr>
          <w:trHeight w:val="229"/>
        </w:trPr>
        <w:tc>
          <w:tcPr>
            <w:tcW w:w="4100" w:type="dxa"/>
            <w:vAlign w:val="bottom"/>
          </w:tcPr>
          <w:p>
            <w:pPr>
              <w:ind w:left="460"/>
              <w:spacing w:after="0"/>
              <w:rPr>
                <w:sz w:val="20"/>
                <w:szCs w:val="20"/>
                <w:color w:val="auto"/>
              </w:rPr>
            </w:pPr>
            <w:r>
              <w:rPr>
                <w:rFonts w:ascii="Arial" w:cs="Arial" w:eastAsia="Arial" w:hAnsi="Arial"/>
                <w:sz w:val="18"/>
                <w:szCs w:val="18"/>
                <w:color w:val="auto"/>
                <w:w w:val="94"/>
              </w:rPr>
              <w:t>Realized performance fee-related compensation</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24,582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Incentive fees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Other (income) loss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Write-off of unamortized deferred financing costs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100" w:type="dxa"/>
            <w:vAlign w:val="bottom"/>
          </w:tcPr>
          <w:p>
            <w:pPr>
              <w:ind w:left="4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19,297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680"/>
              <w:spacing w:after="0" w:line="230" w:lineRule="exact"/>
              <w:rPr>
                <w:sz w:val="20"/>
                <w:szCs w:val="20"/>
                <w:color w:val="auto"/>
              </w:rPr>
            </w:pPr>
            <w:r>
              <w:rPr>
                <w:rFonts w:ascii="Arial" w:cs="Arial" w:eastAsia="Arial" w:hAnsi="Arial"/>
                <w:sz w:val="18"/>
                <w:szCs w:val="18"/>
                <w:color w:val="auto"/>
              </w:rPr>
              <w:t>interests in subsidiaries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Fee-related earnings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9" w:lineRule="exact"/>
        <w:rPr>
          <w:sz w:val="20"/>
          <w:szCs w:val="20"/>
          <w:color w:val="auto"/>
        </w:rPr>
      </w:pPr>
    </w:p>
    <w:p>
      <w:pPr>
        <w:ind w:left="660" w:hanging="652"/>
        <w:spacing w:after="0" w:line="265" w:lineRule="auto"/>
        <w:tabs>
          <w:tab w:leader="none" w:pos="6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income attributable to non-controlling interests in subsidiaries net of non-controlling interest portion of unrealized investment income (loss) ($0.1 million and $0.2 million for the three months ended December 31, 2020 and 2019, respectively, and $(0.5) million and $0.3 million for the nine months ended December 31, 2020 and 2019, respectively), and non-controlling interest portion of loss on change in fair value for contingent consideration obligation ($0.2 million for the three and nine months ended December 31, 2020).</w:t>
      </w:r>
    </w:p>
    <w:p>
      <w:pPr>
        <w:ind w:left="660" w:right="40" w:hanging="652"/>
        <w:spacing w:after="0" w:line="252" w:lineRule="auto"/>
        <w:tabs>
          <w:tab w:leader="none" w:pos="6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compensation paid to certain equity holders as part of an acquisition earn-out ($1.4 million for the nine months ended December 31, 2019), severance costs ($0.8 million for the three months ended December 31, 2019, and $4.1 million and $0.9 million for the nine months ended December 31, 2020 and 2019, respectively), transaction costs ($0.3 million and $0.2 million for the three months ended December 31, 2020 and 2019, respectively, and $0.3 million and $1.1 million for the nine months ended December 31, 2020 and 2019, respectively), loss on change in fair value for contingent consideration obligation ($0.4 million for the three and nine months ended December 31, 2020), and other non-core operating income and expenses.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left="660" w:right="20" w:hanging="652"/>
        <w:spacing w:after="0" w:line="259"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corporate income taxes at a blended statutory rate of 25.0% applied to pre-tax adjusted net income for all periods presented. The 25.0% is based on a federal statutory rate of 21.0% and a combined state, local and foreign rate net of federal benefits of 4.0%. As we were not subject to U.S. federal and state income taxes prior to the Reorganization and IPO, the blended statutory rate of 25.0% has been applied to all periods presented for comparability purposes.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Investment Performance</w:t>
      </w:r>
    </w:p>
    <w:p>
      <w:pPr>
        <w:spacing w:after="0" w:line="22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9"/>
          <w:szCs w:val="19"/>
          <w:color w:val="auto"/>
        </w:rPr>
        <w:t>The following table presents information relating to the performance of all the investments that StepStone recommends and subsequently tracks across asset classes and investment strategies, except as set forth in greater detail, below. The data for these investments is generally presented from the inception date of each strategy and asset class through September 30, 2020 and have not been adjusted to reflect acquisitions or disposals of investments subsequent to that date.</w:t>
      </w:r>
    </w:p>
    <w:p>
      <w:pPr>
        <w:spacing w:after="0" w:line="17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7"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market conditions and investment opportunities may differ from those in the past;</w:t>
      </w:r>
    </w:p>
    <w:p>
      <w:pPr>
        <w:spacing w:after="0" w:line="215"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performance of our funds is largely based on the NAV (as defined below) of the funds’ investments, including unrealized gains, which may never be realized;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newly-established funds may generate lower investment returns during the period that they initially deploy their capital;</w:t>
      </w:r>
    </w:p>
    <w:p>
      <w:pPr>
        <w:spacing w:after="0" w:line="215"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5" w:lineRule="exact"/>
        <w:rPr>
          <w:rFonts w:ascii="Arial" w:cs="Arial" w:eastAsia="Arial" w:hAnsi="Arial"/>
          <w:sz w:val="20"/>
          <w:szCs w:val="20"/>
          <w:color w:val="auto"/>
        </w:rPr>
      </w:pPr>
    </w:p>
    <w:p>
      <w:pPr>
        <w:ind w:left="660" w:right="340" w:hanging="328"/>
        <w:spacing w:after="0" w:line="31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industries and businesses in which particular funds invest will vary.</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Historical and future returns of investments included in our track record are not directly correlated to potential returns on our Class A common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the following table:</w:t>
      </w:r>
    </w:p>
    <w:p>
      <w:pPr>
        <w:spacing w:after="0" w:line="216" w:lineRule="exact"/>
        <w:rPr>
          <w:sz w:val="20"/>
          <w:szCs w:val="20"/>
          <w:color w:val="auto"/>
        </w:rPr>
      </w:pPr>
    </w:p>
    <w:p>
      <w:pPr>
        <w:ind w:left="660" w:right="100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“Invested capital” refers to the total amount of all investments made by a fund, including commitment-reducing and non-commitment-reducing capital calls;</w:t>
      </w:r>
    </w:p>
    <w:p>
      <w:pPr>
        <w:spacing w:after="0" w:line="176"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“NAV” refers to the estimated fair value of unrealized investments plus any net assets or liabilities associated with the investment as of September 30, 2020;</w:t>
      </w:r>
    </w:p>
    <w:p>
      <w:pPr>
        <w:spacing w:after="0" w:line="176" w:lineRule="exact"/>
        <w:rPr>
          <w:rFonts w:ascii="Arial" w:cs="Arial" w:eastAsia="Arial" w:hAnsi="Arial"/>
          <w:sz w:val="20"/>
          <w:szCs w:val="20"/>
          <w:color w:val="auto"/>
        </w:rPr>
      </w:pPr>
    </w:p>
    <w:p>
      <w:pPr>
        <w:jc w:val="both"/>
        <w:ind w:left="660" w:right="220" w:hanging="328"/>
        <w:spacing w:after="0" w:line="385"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“IRR” refers to the annualized internal rate of return for all investments within the relevant investment strategy on an inception-to-date basis as of September 30, 2020 (except as noted otherwise, below), based on contributions, distributions and unrealized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“Net IRR” refers to IRR net of fees and expenses charged by both the underlying fund managers and StepStone; and</w:t>
      </w:r>
    </w:p>
    <w:p>
      <w:pPr>
        <w:spacing w:after="0" w:line="215"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StepStone Performance Summary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PRIVATE EQUITY</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REAL ESTATE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INFRASTRUCTURE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PRIVATE DEBT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940" w:type="dxa"/>
            <w:vAlign w:val="bottom"/>
            <w:shd w:val="clear" w:color="auto" w:fill="CCEEFF"/>
          </w:tcPr>
          <w:p>
            <w:pPr>
              <w:jc w:val="center"/>
              <w:ind w:left="234"/>
              <w:spacing w:after="0" w:line="135" w:lineRule="exact"/>
              <w:rPr>
                <w:sz w:val="20"/>
                <w:szCs w:val="20"/>
                <w:color w:val="auto"/>
              </w:rPr>
            </w:pPr>
            <w:r>
              <w:rPr>
                <w:rFonts w:ascii="Arial" w:cs="Arial" w:eastAsia="Arial" w:hAnsi="Arial"/>
                <w:sz w:val="14"/>
                <w:szCs w:val="14"/>
                <w:b w:val="1"/>
                <w:bCs w:val="1"/>
                <w:color w:val="auto"/>
                <w:w w:val="99"/>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9"/>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520" w:type="dxa"/>
            <w:vAlign w:val="bottom"/>
            <w:shd w:val="clear" w:color="auto" w:fill="CCEEFF"/>
          </w:tcPr>
          <w:p>
            <w:pPr>
              <w:jc w:val="center"/>
              <w:ind w:right="74"/>
              <w:spacing w:after="0" w:line="135" w:lineRule="exact"/>
              <w:rPr>
                <w:sz w:val="20"/>
                <w:szCs w:val="20"/>
                <w:color w:val="auto"/>
              </w:rPr>
            </w:pPr>
            <w:r>
              <w:rPr>
                <w:rFonts w:ascii="Arial" w:cs="Arial" w:eastAsia="Arial" w:hAnsi="Arial"/>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28"/>
                <w:szCs w:val="28"/>
                <w:b w:val="1"/>
                <w:bCs w:val="1"/>
                <w:color w:val="auto"/>
                <w:w w:val="87"/>
                <w:vertAlign w:val="subscript"/>
              </w:rPr>
              <w:t>IRR</w:t>
            </w:r>
            <w:r>
              <w:rPr>
                <w:rFonts w:ascii="Arial" w:cs="Arial" w:eastAsia="Arial" w:hAnsi="Arial"/>
                <w:sz w:val="9"/>
                <w:szCs w:val="9"/>
                <w:b w:val="1"/>
                <w:bCs w:val="1"/>
                <w:color w:val="auto"/>
                <w:w w:val="87"/>
              </w:rPr>
              <w:t>(7)</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(1,3)</w:t>
            </w:r>
          </w:p>
        </w:tc>
        <w:tc>
          <w:tcPr>
            <w:tcW w:w="940" w:type="dxa"/>
            <w:vAlign w:val="bottom"/>
            <w:shd w:val="clear" w:color="auto" w:fill="CCEEFF"/>
          </w:tcPr>
          <w:p>
            <w:pPr>
              <w:jc w:val="center"/>
              <w:ind w:left="234"/>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76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8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(3,4)</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TVM</w:t>
            </w:r>
            <w:r>
              <w:rPr>
                <w:rFonts w:ascii="Arial" w:cs="Arial" w:eastAsia="Arial" w:hAnsi="Arial"/>
                <w:sz w:val="8"/>
                <w:szCs w:val="8"/>
                <w:b w:val="1"/>
                <w:bCs w:val="1"/>
                <w:color w:val="auto"/>
              </w:rPr>
              <w:t>(2)</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(3,5)</w:t>
            </w:r>
          </w:p>
        </w:tc>
        <w:tc>
          <w:tcPr>
            <w:tcW w:w="620" w:type="dxa"/>
            <w:vAlign w:val="bottom"/>
            <w:gridSpan w:val="2"/>
            <w:shd w:val="clear" w:color="auto" w:fill="CCEEFF"/>
          </w:tcPr>
          <w:p>
            <w:pPr>
              <w:jc w:val="center"/>
              <w:ind w:right="240"/>
              <w:spacing w:after="0" w:line="189" w:lineRule="exact"/>
              <w:rPr>
                <w:sz w:val="20"/>
                <w:szCs w:val="20"/>
                <w:color w:val="auto"/>
              </w:rPr>
            </w:pPr>
            <w:r>
              <w:rPr>
                <w:rFonts w:ascii="Arial" w:cs="Arial" w:eastAsia="Arial" w:hAnsi="Arial"/>
                <w:sz w:val="21"/>
                <w:szCs w:val="21"/>
                <w:b w:val="1"/>
                <w:bCs w:val="1"/>
                <w:color w:val="auto"/>
                <w:vertAlign w:val="subscript"/>
              </w:rPr>
              <w:t>IRR</w:t>
            </w:r>
            <w:r>
              <w:rPr>
                <w:rFonts w:ascii="Arial" w:cs="Arial" w:eastAsia="Arial" w:hAnsi="Arial"/>
                <w:sz w:val="8"/>
                <w:szCs w:val="8"/>
                <w:b w:val="1"/>
                <w:bCs w:val="1"/>
                <w:color w:val="auto"/>
              </w:rPr>
              <w:t>(2)</w:t>
            </w:r>
          </w:p>
        </w:tc>
        <w:tc>
          <w:tcPr>
            <w:tcW w:w="18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STRATEGY</w:t>
            </w:r>
            <w:r>
              <w:rPr>
                <w:rFonts w:ascii="Arial" w:cs="Arial" w:eastAsia="Arial" w:hAnsi="Arial"/>
                <w:sz w:val="18"/>
                <w:szCs w:val="18"/>
                <w:b w:val="1"/>
                <w:bCs w:val="1"/>
                <w:color w:val="auto"/>
                <w:vertAlign w:val="superscript"/>
              </w:rPr>
              <w:t>(3,7)</w:t>
            </w: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940" w:type="dxa"/>
            <w:vAlign w:val="bottom"/>
            <w:tcBorders>
              <w:top w:val="single" w:sz="8" w:color="auto"/>
              <w:bottom w:val="single" w:sz="8" w:color="auto"/>
            </w:tcBorders>
          </w:tcPr>
          <w:p>
            <w:pPr>
              <w:jc w:val="center"/>
              <w:ind w:left="234"/>
              <w:spacing w:after="0"/>
              <w:rPr>
                <w:sz w:val="20"/>
                <w:szCs w:val="20"/>
                <w:color w:val="auto"/>
              </w:rPr>
            </w:pPr>
            <w:r>
              <w:rPr>
                <w:rFonts w:ascii="Arial" w:cs="Arial" w:eastAsia="Arial" w:hAnsi="Arial"/>
                <w:sz w:val="14"/>
                <w:szCs w:val="14"/>
                <w:color w:val="auto"/>
                <w:w w:val="90"/>
              </w:rPr>
              <w:t>15.4%</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1.5x</w:t>
            </w:r>
          </w:p>
        </w:tc>
        <w:tc>
          <w:tcPr>
            <w:tcW w:w="8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8"/>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7.8%</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8"/>
              </w:rPr>
              <w:t>1.4x</w:t>
            </w:r>
          </w:p>
        </w:tc>
        <w:tc>
          <w:tcPr>
            <w:tcW w:w="100" w:type="dxa"/>
            <w:vAlign w:val="bottom"/>
            <w:tcBorders>
              <w:bottom w:val="single" w:sz="8" w:color="CCEEFF"/>
            </w:tcBorders>
          </w:tcPr>
          <w:p>
            <w:pPr>
              <w:spacing w:after="0"/>
              <w:rPr>
                <w:sz w:val="15"/>
                <w:szCs w:val="15"/>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Primaries</w:t>
            </w:r>
          </w:p>
        </w:tc>
        <w:tc>
          <w:tcPr>
            <w:tcW w:w="52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7.5%</w:t>
            </w:r>
          </w:p>
        </w:tc>
        <w:tc>
          <w:tcPr>
            <w:tcW w:w="10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Direct lending (Gross)</w:t>
            </w:r>
            <w:r>
              <w:rPr>
                <w:rFonts w:ascii="Arial" w:cs="Arial" w:eastAsia="Arial" w:hAnsi="Arial"/>
                <w:sz w:val="18"/>
                <w:szCs w:val="18"/>
                <w:color w:val="auto"/>
                <w:vertAlign w:val="superscript"/>
              </w:rPr>
              <w:t>(8)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6.1%</w:t>
            </w:r>
          </w:p>
        </w:tc>
        <w:tc>
          <w:tcPr>
            <w:tcW w:w="0" w:type="dxa"/>
            <w:vAlign w:val="bottom"/>
          </w:tcPr>
          <w:p>
            <w:pPr>
              <w:spacing w:after="0"/>
              <w:rPr>
                <w:sz w:val="1"/>
                <w:szCs w:val="1"/>
                <w:color w:val="auto"/>
              </w:rPr>
            </w:pPr>
          </w:p>
        </w:tc>
      </w:tr>
      <w:tr>
        <w:trPr>
          <w:trHeight w:val="129"/>
        </w:trPr>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940" w:type="dxa"/>
            <w:vAlign w:val="bottom"/>
            <w:vMerge w:val="restart"/>
            <w:shd w:val="clear" w:color="auto" w:fill="CCEEFF"/>
          </w:tcPr>
          <w:p>
            <w:pPr>
              <w:jc w:val="center"/>
              <w:ind w:left="234"/>
              <w:spacing w:after="0"/>
              <w:rPr>
                <w:sz w:val="20"/>
                <w:szCs w:val="20"/>
                <w:color w:val="auto"/>
              </w:rPr>
            </w:pPr>
            <w:r>
              <w:rPr>
                <w:rFonts w:ascii="Arial" w:cs="Arial" w:eastAsia="Arial" w:hAnsi="Arial"/>
                <w:sz w:val="14"/>
                <w:szCs w:val="14"/>
                <w:color w:val="auto"/>
                <w:w w:val="90"/>
              </w:rPr>
              <w:t>17.3%</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1.4x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8.8%</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Secondaries</w:t>
            </w:r>
          </w:p>
        </w:tc>
        <w:tc>
          <w:tcPr>
            <w:tcW w:w="520" w:type="dxa"/>
            <w:vAlign w:val="bottom"/>
            <w:vMerge w:val="restart"/>
            <w:shd w:val="clear" w:color="auto" w:fill="CCEEFF"/>
          </w:tcPr>
          <w:p>
            <w:pPr>
              <w:jc w:val="center"/>
              <w:ind w:right="74"/>
              <w:spacing w:after="0"/>
              <w:rPr>
                <w:sz w:val="20"/>
                <w:szCs w:val="20"/>
                <w:color w:val="auto"/>
              </w:rPr>
            </w:pPr>
            <w:r>
              <w:rPr>
                <w:rFonts w:ascii="Arial" w:cs="Arial" w:eastAsia="Arial" w:hAnsi="Arial"/>
                <w:sz w:val="14"/>
                <w:szCs w:val="14"/>
                <w:color w:val="auto"/>
                <w:w w:val="95"/>
              </w:rPr>
              <w:t>13.3%</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Distressed debt (Gross)</w:t>
            </w:r>
            <w:r>
              <w:rPr>
                <w:rFonts w:ascii="Arial" w:cs="Arial" w:eastAsia="Arial" w:hAnsi="Arial"/>
                <w:sz w:val="18"/>
                <w:szCs w:val="18"/>
                <w:color w:val="auto"/>
                <w:vertAlign w:val="superscript"/>
              </w:rPr>
              <w:t>(8)</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7.8%</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42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p>
        </w:tc>
        <w:tc>
          <w:tcPr>
            <w:tcW w:w="940" w:type="dxa"/>
            <w:vAlign w:val="bottom"/>
            <w:vMerge w:val="restart"/>
          </w:tcPr>
          <w:p>
            <w:pPr>
              <w:jc w:val="center"/>
              <w:ind w:left="234"/>
              <w:spacing w:after="0"/>
              <w:rPr>
                <w:sz w:val="20"/>
                <w:szCs w:val="20"/>
                <w:color w:val="auto"/>
              </w:rPr>
            </w:pPr>
            <w:r>
              <w:rPr>
                <w:rFonts w:ascii="Arial" w:cs="Arial" w:eastAsia="Arial" w:hAnsi="Arial"/>
                <w:sz w:val="14"/>
                <w:szCs w:val="14"/>
                <w:color w:val="auto"/>
                <w:w w:val="90"/>
              </w:rPr>
              <w:t>19.8%</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0"/>
              </w:rPr>
              <w:t>1.6x</w:t>
            </w:r>
          </w:p>
        </w:tc>
        <w:tc>
          <w:tcPr>
            <w:tcW w:w="1840" w:type="dxa"/>
            <w:vAlign w:val="bottom"/>
          </w:tcPr>
          <w:p>
            <w:pPr>
              <w:ind w:left="20"/>
              <w:spacing w:after="0" w:line="129" w:lineRule="exact"/>
              <w:rPr>
                <w:sz w:val="20"/>
                <w:szCs w:val="20"/>
                <w:color w:val="auto"/>
              </w:rPr>
            </w:pPr>
            <w:r>
              <w:rPr>
                <w:rFonts w:ascii="Arial" w:cs="Arial" w:eastAsia="Arial" w:hAnsi="Arial"/>
                <w:sz w:val="14"/>
                <w:szCs w:val="14"/>
                <w:color w:val="auto"/>
              </w:rPr>
              <w:t>Real estate debt fund</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4.8%</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1.1x</w:t>
            </w:r>
          </w:p>
        </w:tc>
        <w:tc>
          <w:tcPr>
            <w:tcW w:w="100" w:type="dxa"/>
            <w:vAlign w:val="bottom"/>
          </w:tcPr>
          <w:p>
            <w:pPr>
              <w:spacing w:after="0"/>
              <w:rPr>
                <w:sz w:val="11"/>
                <w:szCs w:val="11"/>
                <w:color w:val="auto"/>
              </w:rPr>
            </w:pPr>
          </w:p>
        </w:tc>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Co-investments</w:t>
            </w:r>
            <w:r>
              <w:rPr>
                <w:rFonts w:ascii="Arial" w:cs="Arial" w:eastAsia="Arial" w:hAnsi="Arial"/>
                <w:sz w:val="18"/>
                <w:szCs w:val="18"/>
                <w:color w:val="auto"/>
                <w:vertAlign w:val="superscript"/>
              </w:rPr>
              <w:t>(6)</w:t>
            </w:r>
          </w:p>
        </w:tc>
        <w:tc>
          <w:tcPr>
            <w:tcW w:w="520" w:type="dxa"/>
            <w:vAlign w:val="bottom"/>
            <w:vMerge w:val="restart"/>
          </w:tcPr>
          <w:p>
            <w:pPr>
              <w:jc w:val="center"/>
              <w:ind w:right="74"/>
              <w:spacing w:after="0"/>
              <w:rPr>
                <w:sz w:val="20"/>
                <w:szCs w:val="20"/>
                <w:color w:val="auto"/>
              </w:rPr>
            </w:pPr>
            <w:r>
              <w:rPr>
                <w:rFonts w:ascii="Arial" w:cs="Arial" w:eastAsia="Arial" w:hAnsi="Arial"/>
                <w:sz w:val="14"/>
                <w:szCs w:val="14"/>
                <w:color w:val="auto"/>
                <w:w w:val="93"/>
              </w:rPr>
              <w:t>7.6%</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color w:val="auto"/>
              </w:rPr>
              <w:t>Other (Gross)</w:t>
            </w:r>
            <w:r>
              <w:rPr>
                <w:rFonts w:ascii="Arial" w:cs="Arial" w:eastAsia="Arial" w:hAnsi="Arial"/>
                <w:sz w:val="18"/>
                <w:szCs w:val="18"/>
                <w:color w:val="auto"/>
                <w:vertAlign w:val="superscript"/>
              </w:rPr>
              <w:t>(8,9)</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8.7%</w:t>
            </w:r>
          </w:p>
        </w:tc>
        <w:tc>
          <w:tcPr>
            <w:tcW w:w="0" w:type="dxa"/>
            <w:vAlign w:val="bottom"/>
          </w:tcPr>
          <w:p>
            <w:pPr>
              <w:spacing w:after="0"/>
              <w:rPr>
                <w:sz w:val="1"/>
                <w:szCs w:val="1"/>
                <w:color w:val="auto"/>
              </w:rPr>
            </w:pPr>
          </w:p>
        </w:tc>
      </w:tr>
      <w:tr>
        <w:trPr>
          <w:trHeight w:val="189"/>
        </w:trPr>
        <w:tc>
          <w:tcPr>
            <w:tcW w:w="1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6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Value-add/opportunistic</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15.8%</w:t>
            </w: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1.3x</w:t>
            </w:r>
          </w:p>
        </w:tc>
        <w:tc>
          <w:tcPr>
            <w:tcW w:w="100" w:type="dxa"/>
            <w:vAlign w:val="bottom"/>
            <w:tcBorders>
              <w:top w:val="single" w:sz="8" w:color="CCEEFF"/>
            </w:tcBorders>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Private debt gross track</w:t>
            </w: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w:t>
            </w: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6"/>
              </w:rPr>
              <w:t>secondaries &amp; co-investments</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record</w:t>
            </w:r>
            <w:r>
              <w:rPr>
                <w:rFonts w:ascii="Arial" w:cs="Arial" w:eastAsia="Arial" w:hAnsi="Arial"/>
                <w:sz w:val="18"/>
                <w:szCs w:val="18"/>
                <w:b w:val="1"/>
                <w:bCs w:val="1"/>
                <w:color w:val="auto"/>
                <w:vertAlign w:val="superscript"/>
              </w:rPr>
              <w:t>(8)</w:t>
            </w: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Private debt net track</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3"/>
              </w:rPr>
              <w:t>6.3%</w:t>
            </w: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record</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7" w:lineRule="exact"/>
        <w:rPr>
          <w:sz w:val="20"/>
          <w:szCs w:val="20"/>
          <w:color w:val="auto"/>
        </w:rPr>
      </w:pPr>
    </w:p>
    <w:p>
      <w:pPr>
        <w:ind w:left="660" w:right="20" w:hanging="652"/>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Private Equity includes 1,043 investments totaling $97.0 billion of capital commitments and excludes (i) two advisory co-investments and 107 client-directed investments, totaling $100.0 million and $9.4 billion, respectively, of capital commitments,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Arial" w:cs="Arial" w:eastAsia="Arial" w:hAnsi="Arial"/>
          <w:sz w:val="18"/>
          <w:szCs w:val="18"/>
          <w:color w:val="auto"/>
        </w:rPr>
      </w:pPr>
    </w:p>
    <w:p>
      <w:pPr>
        <w:ind w:left="660" w:right="180" w:hanging="652"/>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IRR and Net TVM are presented solely for illustrative purposes and do not represent actual returns received by any investor in any of the StepStone Funds represented above. StepStone fees and expenses are based on the following assumptions (management fees represent an annual rate):</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2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Primaries: 25 basis points of net invested capital for management fee, 5 basis points of capital commitments for fund expenses, and 1 basis point of capital commitments drawn down in the first cash flow quarter for organizational costs.</w:t>
      </w:r>
    </w:p>
    <w:p>
      <w:pPr>
        <w:ind w:left="1300" w:right="40" w:hanging="644"/>
        <w:spacing w:after="0" w:line="281" w:lineRule="auto"/>
        <w:tabs>
          <w:tab w:leader="none" w:pos="1296" w:val="left"/>
        </w:tabs>
        <w:numPr>
          <w:ilvl w:val="1"/>
          <w:numId w:val="27"/>
        </w:numPr>
        <w:rPr>
          <w:rFonts w:ascii="Arial" w:cs="Arial" w:eastAsia="Arial" w:hAnsi="Arial"/>
          <w:sz w:val="16"/>
          <w:szCs w:val="16"/>
          <w:color w:val="auto"/>
        </w:rPr>
      </w:pPr>
      <w:r>
        <w:rPr>
          <w:rFonts w:ascii="Arial" w:cs="Arial" w:eastAsia="Arial" w:hAnsi="Arial"/>
          <w:sz w:val="16"/>
          <w:szCs w:val="16"/>
          <w:color w:val="auto"/>
        </w:rPr>
        <w:t>Secondaries: 125 basis points (60 basis points for Infrastructure) on capital commitments in years 1 through 4 for management fee. In year 5, management fees step down to 90% of the previous year’s fee. Secondaries also include 5 basis points of capital commitments for fund expenses and 1 basis point of capital commitments drawn down in the first cash flow quarter for organizational costs. Secondaries also include 12.5% of paid and unrealized carry (15.0% of paid and unrealized carry for Real Estate), with an 8% preferred return hurdle.</w:t>
      </w:r>
    </w:p>
    <w:p>
      <w:pPr>
        <w:spacing w:after="0" w:line="2" w:lineRule="exact"/>
        <w:rPr>
          <w:rFonts w:ascii="Arial" w:cs="Arial" w:eastAsia="Arial" w:hAnsi="Arial"/>
          <w:sz w:val="16"/>
          <w:szCs w:val="16"/>
          <w:color w:val="auto"/>
        </w:rPr>
      </w:pPr>
    </w:p>
    <w:p>
      <w:pPr>
        <w:ind w:left="1300" w:hanging="644"/>
        <w:spacing w:after="0"/>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Co-investments: 100 basis points on net committed capital for management fee, 5 basis points of capital commitments for fund expenses,</w:t>
      </w:r>
    </w:p>
    <w:p>
      <w:pPr>
        <w:spacing w:after="0" w:line="32" w:lineRule="exact"/>
        <w:rPr>
          <w:sz w:val="20"/>
          <w:szCs w:val="20"/>
          <w:color w:val="auto"/>
        </w:rPr>
      </w:pPr>
    </w:p>
    <w:p>
      <w:pPr>
        <w:ind w:left="1300" w:right="100"/>
        <w:spacing w:after="0" w:line="281" w:lineRule="auto"/>
        <w:rPr>
          <w:sz w:val="20"/>
          <w:szCs w:val="20"/>
          <w:color w:val="auto"/>
        </w:rPr>
      </w:pPr>
      <w:r>
        <w:rPr>
          <w:rFonts w:ascii="Arial" w:cs="Arial" w:eastAsia="Arial" w:hAnsi="Arial"/>
          <w:sz w:val="16"/>
          <w:szCs w:val="16"/>
          <w:color w:val="auto"/>
        </w:rPr>
        <w:t>and 1 basis point of capital commitments drawn down in the first cash flow quarter for organizational costs. Co-investments also include 10.0% of paid and unrealized carry (15.0% of paid and unrealized carry for Real Estate), with an 8% preferred return hurdle.</w:t>
      </w:r>
    </w:p>
    <w:p>
      <w:pPr>
        <w:spacing w:after="0" w:line="1" w:lineRule="exact"/>
        <w:rPr>
          <w:sz w:val="20"/>
          <w:szCs w:val="20"/>
          <w:color w:val="auto"/>
        </w:rPr>
      </w:pPr>
    </w:p>
    <w:p>
      <w:pPr>
        <w:ind w:left="660" w:right="420"/>
        <w:spacing w:after="0" w:line="237" w:lineRule="auto"/>
        <w:rPr>
          <w:sz w:val="20"/>
          <w:szCs w:val="20"/>
          <w:color w:val="auto"/>
        </w:rPr>
      </w:pPr>
      <w:r>
        <w:rPr>
          <w:rFonts w:ascii="Arial" w:cs="Arial" w:eastAsia="Arial" w:hAnsi="Arial"/>
          <w:sz w:val="18"/>
          <w:szCs w:val="18"/>
          <w:color w:val="auto"/>
        </w:rPr>
        <w:t>Net IRR and Net TVM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September 30, 2020, as reported by underlying managers up to 100 days following September 30, 2020. For investment returns where NAV data is not available by 100 days following September 30, 2020, such NAVs are adjusted for cash activity following the last available reported NAV.</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ind w:left="660" w:right="40" w:hanging="652"/>
        <w:spacing w:after="0" w:line="254"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2"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includes 389 investments totaling $57.6 billion of capital commitments and excludes (i) 24 client-directed investments, totaling $2.7 billion of capital commitments, (ii) three secondary core/core+ investments, totaling $237.8 million, and (iii)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Includes the discretionary track record of Courtland Partners, Ltd., which StepStone acquired on April 1, 2018 (the “Courtland acquisition”).</w:t>
      </w:r>
    </w:p>
    <w:p>
      <w:pPr>
        <w:spacing w:after="0" w:line="2" w:lineRule="exact"/>
        <w:rPr>
          <w:rFonts w:ascii="Arial" w:cs="Arial" w:eastAsia="Arial" w:hAnsi="Arial"/>
          <w:sz w:val="18"/>
          <w:szCs w:val="18"/>
          <w:color w:val="auto"/>
        </w:rPr>
      </w:pPr>
    </w:p>
    <w:p>
      <w:pPr>
        <w:ind w:left="660" w:right="20" w:hanging="652"/>
        <w:spacing w:after="0" w:line="250"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Infrastructure includes 118 investments totaling $21.8 billion of capital commitments and excludes (i) approximately 11 infrastructure investments made by the Partnership prior to the formation of the Infrastructure subsidiary in 2013 or made prior to the Courtland acquisition, and eight client-directed investments, totaling $501.9 million and $548.7 million, respectively,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w:t>
      </w:r>
    </w:p>
    <w:p>
      <w:pPr>
        <w:spacing w:after="0" w:line="2"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asset management investments.</w:t>
      </w:r>
    </w:p>
    <w:p>
      <w:pPr>
        <w:spacing w:after="0" w:line="9" w:lineRule="exact"/>
        <w:rPr>
          <w:rFonts w:ascii="Arial" w:cs="Arial" w:eastAsia="Arial" w:hAnsi="Arial"/>
          <w:sz w:val="18"/>
          <w:szCs w:val="18"/>
          <w:color w:val="auto"/>
        </w:rPr>
      </w:pPr>
    </w:p>
    <w:p>
      <w:pPr>
        <w:ind w:left="660" w:hanging="652"/>
        <w:spacing w:after="0" w:line="248" w:lineRule="auto"/>
        <w:tabs>
          <w:tab w:leader="none" w:pos="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Private Debt includes 463 investments totaling $21.1 billion of capital commitments and excludes (i) 22 client-directed investments, totaling $1.4 billion of capital commitments, and (ii) investments for which StepStone does not provide monitoring and reporting services to the client that made the investment. Investment returns are calculated on a constant currency adjusted reporting basis converting non-USD investment cash flows and NAVs to USD using the foreign currency exchange rate corresponding to each client’s first cash flow date. IRR is presented solely for illustrative purposes and does not represent actual returns received by any investor in any of the StepStone Funds represented above. StepStone fees and expenses are based on the following assumptions (management fees represent an annual rate): Private Debt fund investments include 65 basis points on the quarterly net asset value for management fee. Net IRR for certain investments may have been impacted by StepStone’s or the underlying fund manager’s use of subscription backed credit facilities by such vehicles. Reinvested/recycled amounts increase contributed capital. Investment returns reflect NAV data for underlying investments as of September 30, 2020, as reported by underlying managers up to 100 days following September 30, 2020. For investment returns where NAV data is not available by 100 days following September 30, 2020, such NAVs are adjusted for cash activity following the last available reported NAV.</w:t>
      </w:r>
    </w:p>
    <w:p>
      <w:pPr>
        <w:spacing w:after="0" w:line="7" w:lineRule="exact"/>
        <w:rPr>
          <w:rFonts w:ascii="Arial" w:cs="Arial" w:eastAsia="Arial" w:hAnsi="Arial"/>
          <w:sz w:val="17"/>
          <w:szCs w:val="17"/>
          <w:color w:val="auto"/>
        </w:rPr>
      </w:pPr>
    </w:p>
    <w:p>
      <w:pPr>
        <w:ind w:left="660" w:right="600" w:hanging="652"/>
        <w:spacing w:after="0" w:line="249"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Subset performance is presented net of fees and expenses charged by the underlying fund manager only (performance results do not reflect StepStone fees and expenses).</w:t>
      </w:r>
    </w:p>
    <w:p>
      <w:pPr>
        <w:ind w:left="660" w:right="300" w:hanging="652"/>
        <w:spacing w:after="0" w:line="260"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includes mezzanine debt, infrastructure debt, collateralized loan obligations, private performing debt, senior debt, fund of funds, leasing, regulatory capital, trade finance and intellectual property/royalty.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Sources and Uses of Liquidity</w:t>
      </w:r>
    </w:p>
    <w:p>
      <w:pPr>
        <w:spacing w:after="0" w:line="22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funding our growth initiatives, including capital expenditures and acquisitions to expand into new businesses.</w:t>
      </w:r>
    </w:p>
    <w:p>
      <w:pPr>
        <w:spacing w:after="0" w:line="16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9"/>
          <w:szCs w:val="19"/>
          <w:color w:val="auto"/>
        </w:rPr>
        <w:t>As of December 31, 2020, we had $189.0 million of cash, cash equivalents and restricted cash and $700.3 million of investments in StepStone Funds, including $636.9 million of accrued carried interest allocations, against $320.9 million in accrued carried interest-related compensation payable. On September 18, 2020, we repaid in full the indebtedness outstanding on the Term Loan B in the amount of $146.6 million. As of December 31, 2020, we had no debt obligations outstanding.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color w:val="auto"/>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capital expenditures, dividends to our stockholders and distributions to holders of Partnership units, and to make investments in the StepStone Funds. We believe we will have sufficient cash to meet our obligations for the next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Cash Flows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cash flows attributable to operating, investing and financing activities: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3"/>
              </w:rPr>
              <w:t>Nine Months Ended December 31,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67,850</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38,041</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Operating Activities</w:t>
      </w:r>
    </w:p>
    <w:p>
      <w:pPr>
        <w:spacing w:after="0" w:line="216" w:lineRule="exact"/>
        <w:rPr>
          <w:sz w:val="20"/>
          <w:szCs w:val="20"/>
          <w:color w:val="auto"/>
        </w:rPr>
      </w:pPr>
    </w:p>
    <w:p>
      <w:pPr>
        <w:jc w:val="both"/>
        <w:ind w:right="440" w:firstLine="648"/>
        <w:spacing w:after="0" w:line="385" w:lineRule="auto"/>
        <w:rPr>
          <w:sz w:val="20"/>
          <w:szCs w:val="20"/>
          <w:color w:val="auto"/>
        </w:rPr>
      </w:pPr>
      <w:r>
        <w:rPr>
          <w:rFonts w:ascii="Arial" w:cs="Arial" w:eastAsia="Arial" w:hAnsi="Arial"/>
          <w:sz w:val="16"/>
          <w:szCs w:val="16"/>
          <w:color w:val="auto"/>
        </w:rPr>
        <w:t>Operating activities provided $120.3 million and $67.9 million of cash for the nine months ended December 31, 2020 and 2019, respectively. For the nine months ended December 31, 2020 and 2019, respectively, these amounts primarily consisted of the following:</w:t>
      </w:r>
    </w:p>
    <w:p>
      <w:pPr>
        <w:spacing w:after="0" w:line="85"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net income, after adjustments for non-cash items, of $6.2 million and $15.6 million; and</w:t>
      </w:r>
    </w:p>
    <w:p>
      <w:pPr>
        <w:spacing w:after="0" w:line="215" w:lineRule="exact"/>
        <w:rPr>
          <w:rFonts w:ascii="Arial" w:cs="Arial" w:eastAsia="Arial" w:hAnsi="Arial"/>
          <w:sz w:val="20"/>
          <w:szCs w:val="20"/>
          <w:color w:val="auto"/>
        </w:rPr>
      </w:pPr>
    </w:p>
    <w:p>
      <w:pPr>
        <w:ind w:left="980" w:right="720" w:hanging="324"/>
        <w:spacing w:after="0" w:line="287" w:lineRule="auto"/>
        <w:tabs>
          <w:tab w:leader="none" w:pos="968" w:val="left"/>
        </w:tabs>
        <w:numPr>
          <w:ilvl w:val="0"/>
          <w:numId w:val="29"/>
        </w:numPr>
        <w:rPr>
          <w:rFonts w:ascii="Arial" w:cs="Arial" w:eastAsia="Arial" w:hAnsi="Arial"/>
          <w:sz w:val="19"/>
          <w:szCs w:val="19"/>
          <w:color w:val="auto"/>
        </w:rPr>
      </w:pPr>
      <w:r>
        <w:rPr>
          <w:rFonts w:ascii="Arial" w:cs="Arial" w:eastAsia="Arial" w:hAnsi="Arial"/>
          <w:sz w:val="19"/>
          <w:szCs w:val="19"/>
          <w:color w:val="auto"/>
        </w:rPr>
        <w:t>net change in operating assets and liabilities of $114.1 million and $52.3 million, primarily reflecting changes in accrued compensation and benefits, accrued carried interest-related compensation, and due from affiliates.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Investing Activities</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Investing activities provided (used) $(8.5) million and $38.0 million of cash for the nine months ended December 31, 2020 and 2019, respectively, and primarily consisted of the following amounts:</w:t>
      </w:r>
    </w:p>
    <w:p>
      <w:pPr>
        <w:spacing w:after="0" w:line="177" w:lineRule="exact"/>
        <w:rPr>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net contributions to investments of $7.5 million and $5.4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purchases of fixed assets of $1.0 million and $0.2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net proceeds from sales and maturities of marketable securities of $0 million and $43.7 million.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Financing Activities</w:t>
      </w:r>
    </w:p>
    <w:p>
      <w:pPr>
        <w:spacing w:after="0" w:line="216" w:lineRule="exact"/>
        <w:rPr>
          <w:sz w:val="20"/>
          <w:szCs w:val="20"/>
          <w:color w:val="auto"/>
        </w:rPr>
      </w:pPr>
    </w:p>
    <w:p>
      <w:pPr>
        <w:ind w:right="880" w:firstLine="648"/>
        <w:spacing w:after="0" w:line="260" w:lineRule="auto"/>
        <w:rPr>
          <w:sz w:val="20"/>
          <w:szCs w:val="20"/>
          <w:color w:val="auto"/>
        </w:rPr>
      </w:pPr>
      <w:r>
        <w:rPr>
          <w:rFonts w:ascii="Arial" w:cs="Arial" w:eastAsia="Arial" w:hAnsi="Arial"/>
          <w:sz w:val="20"/>
          <w:szCs w:val="20"/>
          <w:color w:val="auto"/>
        </w:rPr>
        <w:t>Financing activities used $12.5 million and $30.3 million of cash for the nine months ended December 31, 2020 and 2019, respectively, and primarily consisted of the following:</w:t>
      </w:r>
    </w:p>
    <w:p>
      <w:pPr>
        <w:spacing w:after="0" w:line="177"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sale of non-controlling interests of $3.3 million and $110.8 million;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1"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proceeds from IPO, net of underwriting discounts of $337.8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purchase of non-controlling interests of $131.3 million and $107.2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payment of deferred offering costs of $9.7 million and $0 million;</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payments on term loan of $147.0 million and $1.1 million; and</w:t>
      </w:r>
    </w:p>
    <w:p>
      <w:pPr>
        <w:spacing w:after="0" w:line="215" w:lineRule="exact"/>
        <w:rPr>
          <w:rFonts w:ascii="Arial" w:cs="Arial" w:eastAsia="Arial" w:hAnsi="Arial"/>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distributions to non-controlling interests of $64.9 million and $31.7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Prior Credit Agreement</w:t>
      </w:r>
    </w:p>
    <w:p>
      <w:pPr>
        <w:spacing w:after="0" w:line="222"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In March 2018, we entered into a credit and guaranty agreement (“Credit Agreement”) with various lenders. The Credit Agreement was arranged by JPMorgan Chase Bank, N.A. (“JPMorgan”), as the administrative agent, and provided for the Term Loan B with an aggregate principal of $150.0 million and a senior secured revolving facility (“LOC”) with an aggregate borrowing capacity of $10.0 million. Net proceeds from the Term Loan B were $145.7 million, net of arrangement fees and other expenses. A portion of the proceeds were used to repay the outstanding balances on a prior credit facility.</w:t>
      </w:r>
    </w:p>
    <w:p>
      <w:pPr>
        <w:spacing w:after="0" w:line="194"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On September 18, 2020, we repaid in full the indebtedness outstanding on the Term Loan B in the amount of $146.6 million and terminated the LOC. In connection with the repayment, we wrote-off the unamortized debt issuance costs and discount of $3.5 million, which is included in interest expense in the condensed consolidated statements of income for the nine months ended December 31, 2020. As of December 31, 2020, we had no debt obligations outstanding.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Equity Transactions</w:t>
      </w:r>
    </w:p>
    <w:p>
      <w:pPr>
        <w:spacing w:after="0" w:line="222"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In August 2019, we completed a series of transactions resulting in the unitization of our equity and the combination of certain classes of our equity to facilitate the sale of newly issued equity interests in us to certain institutional investors (the “2019 Transaction”). We received approximately $110.8 million in net proceeds from the sale of equity to institutional investors and used all of the proceeds to repurchase an equal number of equity interests from certain of our existing equity holders. In addition, we repurchased additional Class D partnership interests from a former employee for $2.3 million, which will be paid to the former employee at such time as carried interest allocations are realized by us. In connection with the 2019 Transaction, the previously existing Class A1, Class B, Class C and Class D partnership units were canceled and combined with and into the existing Class A partnership interests of the Company as a single class with equal value (without substantive changes to economic rights associated therewith), with each partner participating ratably in all distributions, including carried interest.</w:t>
      </w:r>
    </w:p>
    <w:p>
      <w:pPr>
        <w:spacing w:after="0" w:line="194"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In June 2020, one of our consolidated subsidiaries completed a transaction to repurchase partnership interests in the subsidiary from a former partner for approximately $3.3 million, and subsequently sold an equal number of partnership interests to certain employees of the subsidiary for approximately $3.3 million, resulting in no net proceeds to the subsidiary.</w:t>
      </w:r>
    </w:p>
    <w:p>
      <w:pPr>
        <w:spacing w:after="0" w:line="186" w:lineRule="exact"/>
        <w:rPr>
          <w:sz w:val="20"/>
          <w:szCs w:val="20"/>
          <w:color w:val="auto"/>
        </w:rPr>
      </w:pPr>
    </w:p>
    <w:p>
      <w:pPr>
        <w:ind w:right="260" w:firstLine="648"/>
        <w:spacing w:after="0" w:line="246" w:lineRule="auto"/>
        <w:rPr>
          <w:sz w:val="20"/>
          <w:szCs w:val="20"/>
          <w:color w:val="auto"/>
        </w:rPr>
      </w:pPr>
      <w:r>
        <w:rPr>
          <w:rFonts w:ascii="Arial" w:cs="Arial" w:eastAsia="Arial" w:hAnsi="Arial"/>
          <w:sz w:val="20"/>
          <w:szCs w:val="20"/>
          <w:color w:val="auto"/>
        </w:rPr>
        <w:t>In connection with the consummation of the IPO, we issued new partnership interests to certain StepStone professionals in the Infrastructure subsidiary in exchange for their partnership interests in the Infrastructure subsidiary, which increased our interest in the Infrastructure subsidiary to approximately 49% and decreased the interest of the StepStone professionals in the Infrastructure subsidiary to approximately 51%.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Future Sources and Uses of Liquidity</w:t>
      </w:r>
    </w:p>
    <w:p>
      <w:pPr>
        <w:spacing w:after="0" w:line="22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Dividend and Distribution Policy</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may pay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Tax Receivable Agreements</w:t>
      </w:r>
    </w:p>
    <w:p>
      <w:pPr>
        <w:spacing w:after="0" w:line="21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8"/>
          <w:szCs w:val="18"/>
          <w:color w:val="auto"/>
        </w:rPr>
        <w:t>We have entered into an Exchanges Tax Receivable Agreement with certain continuing partners of the Partnership and a Reorganization Tax Receivable Agreement with certain pre-IPO institutional investors (collectively, the “Tax Receivable Agreements”). The Tax Receivable Agreements provide for payment by SSG to these continuing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continuing partner’s and institutional investor’s Partnership units in connection with the Reorganization and IPO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Off-Balance Sheet Arrangements</w:t>
      </w:r>
    </w:p>
    <w:p>
      <w:pPr>
        <w:spacing w:after="0" w:line="222" w:lineRule="exact"/>
        <w:rPr>
          <w:sz w:val="20"/>
          <w:szCs w:val="20"/>
          <w:color w:val="auto"/>
        </w:rPr>
      </w:pPr>
    </w:p>
    <w:p>
      <w:pPr>
        <w:ind w:right="360" w:firstLine="648"/>
        <w:spacing w:after="0" w:line="246" w:lineRule="auto"/>
        <w:rPr>
          <w:sz w:val="20"/>
          <w:szCs w:val="20"/>
          <w:color w:val="auto"/>
        </w:rPr>
      </w:pPr>
      <w:r>
        <w:rPr>
          <w:rFonts w:ascii="Arial" w:cs="Arial" w:eastAsia="Arial" w:hAnsi="Arial"/>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Critical Accounting Policies</w:t>
      </w:r>
    </w:p>
    <w:p>
      <w:pPr>
        <w:spacing w:after="0" w:line="222"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1"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See note 2 to our condensed consolidated financial statements included elsewhere in this quarterly report, and note 2 to our audited consolidated financial statements included in our prospectus dated September 15, 2020, filed with the SEC on September 16, 2020, for a summary of our significant accounting policies.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Recent Accounting Developments</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9"/>
          <w:szCs w:val="19"/>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Market Risk</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6"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Our management fee and advisory fee revenue is only marginally affected by changes in investment values because our management fees are generally based on commitments or net invested capital and our advisory fees are fixed. As of December 31, 2020, NAV-based management fees represented approximately 2% of total net management and advisory fees. We estimate that a 10% decline in market values of the investments held in our funds as of December 31, 2020 would result in an approximate $0.5 million decrease to annual management fees.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86" w:lineRule="exact"/>
        <w:rPr>
          <w:sz w:val="20"/>
          <w:szCs w:val="20"/>
          <w:color w:val="auto"/>
        </w:rPr>
      </w:pPr>
    </w:p>
    <w:p>
      <w:pPr>
        <w:ind w:left="660" w:right="80" w:hanging="328"/>
        <w:spacing w:after="0" w:line="263"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2020, we had $12.7 million of deferred incentive fee revenue recorded in accounts payable, accrued expenses and other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41" w:lineRule="exact"/>
        <w:rPr>
          <w:sz w:val="20"/>
          <w:szCs w:val="20"/>
          <w:color w:val="auto"/>
        </w:rPr>
      </w:pPr>
    </w:p>
    <w:p>
      <w:pPr>
        <w:ind w:left="660" w:hanging="328"/>
        <w:spacing w:after="0" w:line="255" w:lineRule="auto"/>
        <w:tabs>
          <w:tab w:leader="none" w:pos="6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December 31, 2020, the maximum amount of carried interest allocation subject to contingent repayment was an estimated $92.8 million, net of tax, assuming the fair value of all investments was zero, a possibility that we view as remote.</w:t>
      </w:r>
    </w:p>
    <w:p>
      <w:pPr>
        <w:spacing w:after="0" w:line="181" w:lineRule="exact"/>
        <w:rPr>
          <w:rFonts w:ascii="Arial" w:cs="Arial" w:eastAsia="Arial" w:hAnsi="Arial"/>
          <w:sz w:val="19"/>
          <w:szCs w:val="19"/>
          <w:color w:val="auto"/>
        </w:rPr>
      </w:pPr>
    </w:p>
    <w:p>
      <w:pPr>
        <w:ind w:left="660" w:right="160" w:hanging="328"/>
        <w:spacing w:after="0" w:line="269" w:lineRule="auto"/>
        <w:tabs>
          <w:tab w:leader="none" w:pos="6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Investment income changes in relation to realized and unrealized gains and losses of the underlying investments in our funds in which we have a general partner commitment. Based on investments held as of December 31, 2020, we estimate that a 10% decline in fair value of the investments would result in a $6.3 million decrease in the amount of income.</w:t>
      </w:r>
    </w:p>
    <w:p>
      <w:pPr>
        <w:spacing w:after="0" w:line="16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b w:val="1"/>
          <w:bCs w:val="1"/>
          <w:color w:val="auto"/>
        </w:rPr>
        <w:t>Exchange Rate Risk</w:t>
      </w:r>
    </w:p>
    <w:p>
      <w:pPr>
        <w:spacing w:after="0" w:line="22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61"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one percent of total capital commitments. Changes in exchange rates are not expected to materially affect our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Interest Rate Risk</w:t>
      </w:r>
    </w:p>
    <w:p>
      <w:pPr>
        <w:spacing w:after="0" w:line="222" w:lineRule="exact"/>
        <w:rPr>
          <w:sz w:val="20"/>
          <w:szCs w:val="20"/>
          <w:color w:val="auto"/>
        </w:rPr>
      </w:pPr>
    </w:p>
    <w:p>
      <w:pPr>
        <w:ind w:right="180" w:firstLine="648"/>
        <w:spacing w:after="0" w:line="328" w:lineRule="auto"/>
        <w:rPr>
          <w:sz w:val="20"/>
          <w:szCs w:val="20"/>
          <w:color w:val="auto"/>
        </w:rPr>
      </w:pPr>
      <w:r>
        <w:rPr>
          <w:rFonts w:ascii="Arial" w:cs="Arial" w:eastAsia="Arial" w:hAnsi="Arial"/>
          <w:sz w:val="16"/>
          <w:szCs w:val="16"/>
          <w:color w:val="auto"/>
        </w:rPr>
        <w:t>During the quarter ended September 30, 2020, we used a portion of the net proceeds from the IPO to repay in full the indebtedness outstanding on the Term Loan B in the amount of $146.6 million and accrued interest of $0.6 million. As of December 31, 2020, there were no debt obligations outstanding. Of the $189.0 million of cash, cash equivalents and restricted cash as of December 31, 2020, we estimate that interest income would increase by $1.9 million on an annualized basis as a result of a 100 basis point increase in interest rates.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Credit Risk</w:t>
      </w:r>
    </w:p>
    <w:p>
      <w:pPr>
        <w:spacing w:after="0" w:line="222" w:lineRule="exact"/>
        <w:rPr>
          <w:sz w:val="20"/>
          <w:szCs w:val="20"/>
          <w:color w:val="auto"/>
        </w:rPr>
      </w:pPr>
    </w:p>
    <w:p>
      <w:pPr>
        <w:jc w:val="both"/>
        <w:ind w:right="140" w:firstLine="648"/>
        <w:spacing w:after="0" w:line="278"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Disclosure Controls and Procedures</w:t>
      </w:r>
    </w:p>
    <w:p>
      <w:pPr>
        <w:spacing w:after="0" w:line="216"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4"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w:t>
      </w:r>
    </w:p>
    <w:p>
      <w:pPr>
        <w:spacing w:after="0" w:line="168"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We have not engaged an independent registered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Changes in Internal Controls over Financial Reporting</w:t>
      </w:r>
    </w:p>
    <w:p>
      <w:pPr>
        <w:spacing w:after="0" w:line="216"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There have been no changes in our internal control over financial reporting (as such term is defined in Rules 13a-15(f) and 15d-15(f) under the Exchange Act) during our most recent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 Legal Proceedings.</w:t>
      </w:r>
    </w:p>
    <w:p>
      <w:pPr>
        <w:spacing w:after="0" w:line="22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0"/>
          <w:szCs w:val="20"/>
          <w:color w:val="auto"/>
        </w:rPr>
        <w:t>The information required with respect to this item can be found under “Litigation” in note 14, Commitments and Contingencies, to our condensed consolidated financial statements included elsewhere in this quarterly report, and such information is incorporated by reference into this Item 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There have been no material changes from the risk factors previously disclosed in “Risk Factors” included in our prospectus dated September 15, 2020, filed with the SEC on September 16, 2020, except for changes to the risk factor titled “The exit of the UK from the EU (Brexit) could adversely affect our business and our operations,” as set out below.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The exit of the UK from the EU (Brexit) could adversely affect our business and our operations.</w:t>
      </w:r>
    </w:p>
    <w:p>
      <w:pPr>
        <w:spacing w:after="0" w:line="21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UK left the EU on January 31, 2020 and entered into a new trade and cooperation agreement with the EU on December 30, 2020 (the “Trade Agreement”). The nature of the future relationship between the UK and the EU remains uncertain. Brexit has caused significant geo-political uncertainty and market volatility in the UK and elsewhere. Depending on the success of the Trade Agreement and the terms of the future relationship between the parties, the UK could lose access to the single EU market and to the global trade deals negotiated by the EU on behalf of its members, which could have a material adverse effect on our operations and the operations of the portfolio companies in which our funds invest. For example, a decline in trade could affect the attractiveness of the UK as a global investment center and, as a result, could make doing business in Europe more difficult.</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Under the EU single market directives, mutual access rights to markets and market infrastructure exist across the EU and the mutual recognition of insolvency, bank recovery and resolution regimes applies. In addition, certain regulated entities licensed or authorized in one EEA jurisdiction may operate on a cross-border basis in other EEA countries in reliance on passporting rights and without the need for a separate license or authorization. With the expiration of the Brexit transition period on December 31, 2020, UK regulated entities lost the right to passport their services to EEA countries, and EEA entities lost the right to reciprocal passporting into the UK. In response to this, as planned, we have engaged our affiliate entity, StepStone Group Europe Alternative Investments Limited (“SGEAIL”), formerly known as Swiss Capital Invest Holding (Dublin) Limited, which is based in the EU, to allow us to continue to engage in regulated activities within the EU. SGEAIL is authorized by the Central Bank of Ireland pursuant to AIFMD and UCITS and authorized to provide certain MiFID II services. We also may establish offices in various EU jurisdictions to employ and supervise operations in such jurisdictions. While we believe that taking these steps will help to ensure that we are able to continue to conduct business in the UK and the EU after Brexit, there remains some uncertainty as to the full extent to which our business could be adversely affected. Further, the UK’s departure from the EU and the potential resulting divergence between the UK and EU regulatory frameworks may result in additional complexity and costs in complying with regulations across both the UK and EU. See “Business—Regulatory Environment—Foreign Regulation” in our prospectus dated September 15, 2020, filed with the SEC on September 16, 2020, for additional information about the potential effects of the loss of passporting privileges and our planned responses. The movement of capital, the right of establishment and the mobility of personnel may also be restricted. In addition, UK entities may no longer have access rights to market infrastructure across the EU and the recognition of insolvency, bank recovery and resolution regimes across the EU may no longer be mutual.</w:t>
      </w:r>
    </w:p>
    <w:p>
      <w:pPr>
        <w:spacing w:after="0" w:line="174"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Brexit has also caused exchange rate fluctuations. In particular the British pound has weakened significantly against both the U.S. dollar and the Euro. Further exchange rate volatility may occur. Unhedged currency fluctuations have the ability to adversely affect our funds and their underlying business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9"/>
          <w:szCs w:val="19"/>
          <w:color w:val="auto"/>
        </w:rPr>
        <w:t>Further, the UK’s determination as to which, if any, EU laws to repeal, retain, replace or replicate upon its exit from the EU could exacerbate the uncertainty and result in divergent national laws and regulations. Changes to the regulatory regimes in the UK or the EU and its member states could materially affect our business prospects and opportunities and increase our costs, or require us to adhere to new regulations that may be burdensome for us. In addition, Brexit could potentially disrupt the tax jurisdictions in which we operate and affect the tax benefits or liabilities in these or other jurisdictions in a manner that is adverse to us and/or our funds. Any of the foregoing could materially and adversely affect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Board of Directors of StepStone Group Inc. (the “Company”) has set the date of the 2021 Annual Meeting of Stockholders (the “2021 Annual Meeting”) for September 24, 2021 at 1:00p.m. Eastern Time to be held entirely virtually by means of remote communication. The deadlines for the receipt of any stockholder proposals and director nominations to be considered at the 2021 Annual Meeting are set forth below.</w:t>
      </w:r>
    </w:p>
    <w:p>
      <w:pPr>
        <w:spacing w:after="0" w:line="19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9"/>
          <w:szCs w:val="19"/>
          <w:color w:val="auto"/>
        </w:rPr>
        <w:t>Any stockholder proposal submitted pursuant to Rule 14a-8 under the Securities Exchange Act of 1934, as amended (the “Rule 14a-8”), for inclusion in the Company’s proxy materials for the 2021 Annual Meeting must be received by our Secretary at our principal executive offices no later than the close of business on March 29, 2021. Such proposals also need to comply with the Securities and Exchange Commission stockholder proposal rules, which (among other things) currently provide that to be eligible to submit a proposal, a stockholder must have continuously held at least $2,000 in market value, or 1%, of the Company’s securities entitled to vote on the proposal at the 2021 Annual Meeting, for at least one year by the date the proposal is submitted.</w:t>
      </w:r>
    </w:p>
    <w:p>
      <w:pPr>
        <w:spacing w:after="0" w:line="178"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In addition, any stockholder seeking to nominate a director or to bring other business before the 2021 Annual Meeting outside of Rule 14a-8 under the advance notice provisions included in the Company’s Amended and Restated Bylaws (the “Bylaws”) must provide timely notice, as set forth in the Bylaws. Specifically, written notice of any such proposed business or nomination must be received by the Company’s Secretary at our principal executive offices no earlier than the close of business on May 27, 2021 and no later than the close of business on June 26, 2021. Any notice of proposed business or nomination also must comply with the notice and other requirements set forth in our Bylaws and with any applicable law.</w:t>
      </w:r>
    </w:p>
    <w:p>
      <w:pPr>
        <w:spacing w:after="0" w:line="196"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For purposes of stockholder proposals, the “close of business” shall mean 6:00 p.m. local time at the principal executive offices of the Corporation on any calendar day, whether or not the day is a business day.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w w:val="92"/>
              </w:rPr>
              <w:t>Incorporated By Reference</w:t>
            </w:r>
          </w:p>
        </w:tc>
        <w:tc>
          <w:tcPr>
            <w:tcW w:w="10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472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ind w:left="20"/>
              <w:spacing w:after="0" w:line="182" w:lineRule="exact"/>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3.1</w:t>
              </w:r>
            </w:hyperlink>
          </w:p>
        </w:tc>
        <w:tc>
          <w:tcPr>
            <w:tcW w:w="4720" w:type="dxa"/>
            <w:vAlign w:val="bottom"/>
            <w:gridSpan w:val="12"/>
          </w:tcPr>
          <w:p>
            <w:pPr>
              <w:spacing w:after="0" w:line="182"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Form of Amended and Restated Certificate of Incorporation of</w:t>
              </w:r>
            </w:hyperlink>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5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StepStone Group Inc.</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20" w:type="dxa"/>
            <w:vAlign w:val="bottom"/>
          </w:tcPr>
          <w:p>
            <w:pPr>
              <w:ind w:left="20"/>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3.2</w:t>
              </w:r>
            </w:hyperlink>
          </w:p>
        </w:tc>
        <w:tc>
          <w:tcPr>
            <w:tcW w:w="4720" w:type="dxa"/>
            <w:vAlign w:val="bottom"/>
            <w:gridSpan w:val="12"/>
          </w:tcPr>
          <w:p>
            <w:pPr>
              <w:spacing w:after="0"/>
              <w:rPr>
                <w:rFonts w:ascii="Arial" w:cs="Arial" w:eastAsia="Arial" w:hAnsi="Arial"/>
                <w:sz w:val="18"/>
                <w:szCs w:val="18"/>
                <w:u w:val="single" w:color="auto"/>
                <w:color w:val="0000FF"/>
                <w:w w:val="91"/>
              </w:rPr>
            </w:pPr>
            <w:hyperlink r:id="rId83">
              <w:r>
                <w:rPr>
                  <w:rFonts w:ascii="Arial" w:cs="Arial" w:eastAsia="Arial" w:hAnsi="Arial"/>
                  <w:sz w:val="18"/>
                  <w:szCs w:val="18"/>
                  <w:u w:val="single" w:color="auto"/>
                  <w:color w:val="0000FF"/>
                  <w:w w:val="91"/>
                </w:rPr>
                <w:t>Form of Amended and Restated Bylaws of StepStone Group Inc.</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001-39510</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20" w:type="dxa"/>
            <w:vAlign w:val="bottom"/>
          </w:tcPr>
          <w:p>
            <w:pPr>
              <w:ind w:left="20"/>
              <w:spacing w:after="0" w:line="190"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31.1</w:t>
              </w:r>
            </w:hyperlink>
          </w:p>
        </w:tc>
        <w:tc>
          <w:tcPr>
            <w:tcW w:w="4720" w:type="dxa"/>
            <w:vAlign w:val="bottom"/>
            <w:gridSpan w:val="12"/>
          </w:tcPr>
          <w:p>
            <w:pPr>
              <w:spacing w:after="0" w:line="190" w:lineRule="exact"/>
              <w:rPr>
                <w:rFonts w:ascii="Arial" w:cs="Arial" w:eastAsia="Arial" w:hAnsi="Arial"/>
                <w:sz w:val="18"/>
                <w:szCs w:val="18"/>
                <w:color w:val="0000FF"/>
              </w:rPr>
            </w:pPr>
            <w:hyperlink w:anchor="page69">
              <w:r>
                <w:rPr>
                  <w:rFonts w:ascii="Arial" w:cs="Arial" w:eastAsia="Arial" w:hAnsi="Arial"/>
                  <w:sz w:val="18"/>
                  <w:szCs w:val="18"/>
                  <w:color w:val="0000FF"/>
                </w:rPr>
                <w:t>Certification of Co-Chief Executive Officer pursuant to</w:t>
              </w:r>
            </w:hyperlink>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39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Exchange Act, as amended</w:t>
              </w:r>
            </w:hyperlink>
          </w:p>
        </w:tc>
        <w:tc>
          <w:tcPr>
            <w:tcW w:w="4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31.2</w:t>
              </w:r>
            </w:hyperlink>
          </w:p>
        </w:tc>
        <w:tc>
          <w:tcPr>
            <w:tcW w:w="4720" w:type="dxa"/>
            <w:vAlign w:val="bottom"/>
            <w:gridSpan w:val="1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Co-Chief Executive Officer pursuant to</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39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Exchange Act, as amended</w:t>
              </w:r>
            </w:hyperlink>
          </w:p>
        </w:tc>
        <w:tc>
          <w:tcPr>
            <w:tcW w:w="4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31.3</w:t>
              </w:r>
            </w:hyperlink>
          </w:p>
        </w:tc>
        <w:tc>
          <w:tcPr>
            <w:tcW w:w="4720" w:type="dxa"/>
            <w:vAlign w:val="bottom"/>
            <w:gridSpan w:val="12"/>
          </w:tcPr>
          <w:p>
            <w:pPr>
              <w:spacing w:after="0"/>
              <w:rPr>
                <w:rFonts w:ascii="Arial" w:cs="Arial" w:eastAsia="Arial" w:hAnsi="Arial"/>
                <w:sz w:val="18"/>
                <w:szCs w:val="18"/>
                <w:color w:val="0000FF"/>
                <w:w w:val="98"/>
              </w:rPr>
            </w:pPr>
            <w:hyperlink w:anchor="page71">
              <w:r>
                <w:rPr>
                  <w:rFonts w:ascii="Arial" w:cs="Arial" w:eastAsia="Arial" w:hAnsi="Arial"/>
                  <w:sz w:val="18"/>
                  <w:szCs w:val="18"/>
                  <w:color w:val="0000FF"/>
                  <w:w w:val="98"/>
                </w:rPr>
                <w:t>Certification of Chief Financial Officer pursuant to Exchange</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42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Act, as amended</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32.1</w:t>
              </w:r>
            </w:hyperlink>
          </w:p>
        </w:tc>
        <w:tc>
          <w:tcPr>
            <w:tcW w:w="4720" w:type="dxa"/>
            <w:vAlign w:val="bottom"/>
            <w:gridSpan w:val="12"/>
          </w:tcPr>
          <w:p>
            <w:pPr>
              <w:spacing w:after="0"/>
              <w:rPr>
                <w:rFonts w:ascii="Arial" w:cs="Arial" w:eastAsia="Arial" w:hAnsi="Arial"/>
                <w:sz w:val="18"/>
                <w:szCs w:val="18"/>
                <w:color w:val="0000FF"/>
                <w:w w:val="95"/>
              </w:rPr>
            </w:pPr>
            <w:hyperlink w:anchor="page72">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906 of the Sarbanes-Oxley Act of 2002</w:t>
              </w:r>
            </w:hyperlink>
          </w:p>
        </w:tc>
        <w:tc>
          <w:tcPr>
            <w:tcW w:w="174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32.2</w:t>
              </w:r>
            </w:hyperlink>
          </w:p>
        </w:tc>
        <w:tc>
          <w:tcPr>
            <w:tcW w:w="4720" w:type="dxa"/>
            <w:vAlign w:val="bottom"/>
            <w:gridSpan w:val="12"/>
          </w:tcPr>
          <w:p>
            <w:pPr>
              <w:spacing w:after="0"/>
              <w:rPr>
                <w:rFonts w:ascii="Arial" w:cs="Arial" w:eastAsia="Arial" w:hAnsi="Arial"/>
                <w:sz w:val="18"/>
                <w:szCs w:val="18"/>
                <w:color w:val="0000FF"/>
                <w:w w:val="95"/>
              </w:rPr>
            </w:pPr>
            <w:hyperlink w:anchor="page73">
              <w:r>
                <w:rPr>
                  <w:rFonts w:ascii="Arial" w:cs="Arial" w:eastAsia="Arial" w:hAnsi="Arial"/>
                  <w:sz w:val="18"/>
                  <w:szCs w:val="18"/>
                  <w:color w:val="0000FF"/>
                  <w:w w:val="95"/>
                </w:rPr>
                <w:t>Certification of Co-Chief Executive Officer pursuant to Section</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5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906 of the Sarbanes-Oxley Act of 2002</w:t>
              </w:r>
            </w:hyperlink>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32.3</w:t>
              </w:r>
            </w:hyperlink>
          </w:p>
        </w:tc>
        <w:tc>
          <w:tcPr>
            <w:tcW w:w="4720" w:type="dxa"/>
            <w:vAlign w:val="bottom"/>
            <w:gridSpan w:val="12"/>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Certification of Chief Financial Officer pursuant to Section 906</w:t>
              </w:r>
            </w:hyperlink>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5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of the Sarbanes-Oxley Act of 2002</w:t>
              </w:r>
            </w:hyperlink>
          </w:p>
        </w:tc>
        <w:tc>
          <w:tcPr>
            <w:tcW w:w="16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220" w:right="5480" w:hanging="1194"/>
        <w:spacing w:after="0" w:line="235" w:lineRule="auto"/>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December 31, 2020 formatted in Inline XBRL (Extensible Business Reporting</w:t>
      </w:r>
    </w:p>
    <w:tbl>
      <w:tblPr>
        <w:tblLayout w:type="fixed"/>
        <w:tblInd w:w="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7480" w:type="dxa"/>
            <w:vAlign w:val="bottom"/>
          </w:tcPr>
          <w:p>
            <w:pPr>
              <w:ind w:left="460"/>
              <w:spacing w:after="0" w:line="163" w:lineRule="exact"/>
              <w:rPr>
                <w:sz w:val="20"/>
                <w:szCs w:val="20"/>
                <w:color w:val="auto"/>
              </w:rPr>
            </w:pPr>
            <w:r>
              <w:rPr>
                <w:rFonts w:ascii="Arial" w:cs="Arial" w:eastAsia="Arial" w:hAnsi="Arial"/>
                <w:sz w:val="18"/>
                <w:szCs w:val="18"/>
                <w:color w:val="auto"/>
              </w:rPr>
              <w:t>Language): (i) the Condensed Consolidated Balance Sheets; (ii)</w:t>
            </w: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the Condensed Consolidated Statements of Income; (iii) the</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Condensed Consolidated Statements of Comprehensive Income;</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(iv) the Condensed Consolidated Statements of Stockholders’</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Equity; (v) the Condensed Consolidated Statements of Cash</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Flows; and (vi) Notes to Condensed Consolidated Financial</w:t>
            </w:r>
          </w:p>
        </w:tc>
        <w:tc>
          <w:tcPr>
            <w:tcW w:w="2540" w:type="dxa"/>
            <w:vAlign w:val="bottom"/>
            <w:vMerge w:val="restart"/>
          </w:tcPr>
          <w:p>
            <w:pPr>
              <w:ind w:left="24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rPr>
              <w:t>Statements.</w:t>
            </w:r>
          </w:p>
        </w:tc>
        <w:tc>
          <w:tcPr>
            <w:tcW w:w="2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0" w:type="dxa"/>
            <w:vAlign w:val="bottom"/>
          </w:tcPr>
          <w:p>
            <w:pPr>
              <w:jc w:val="right"/>
              <w:ind w:right="370"/>
              <w:spacing w:after="0" w:line="176" w:lineRule="exact"/>
              <w:rPr>
                <w:sz w:val="20"/>
                <w:szCs w:val="20"/>
                <w:color w:val="auto"/>
              </w:rPr>
            </w:pPr>
            <w:r>
              <w:rPr>
                <w:rFonts w:ascii="Arial" w:cs="Arial" w:eastAsia="Arial" w:hAnsi="Arial"/>
                <w:sz w:val="18"/>
                <w:szCs w:val="18"/>
                <w:color w:val="auto"/>
                <w:w w:val="86"/>
              </w:rPr>
              <w:t>104</w:t>
            </w:r>
          </w:p>
        </w:tc>
        <w:tc>
          <w:tcPr>
            <w:tcW w:w="7480" w:type="dxa"/>
            <w:vAlign w:val="bottom"/>
          </w:tcPr>
          <w:p>
            <w:pPr>
              <w:ind w:left="460"/>
              <w:spacing w:after="0" w:line="176" w:lineRule="exact"/>
              <w:rPr>
                <w:sz w:val="20"/>
                <w:szCs w:val="20"/>
                <w:color w:val="auto"/>
              </w:rPr>
            </w:pPr>
            <w:r>
              <w:rPr>
                <w:rFonts w:ascii="Arial" w:cs="Arial" w:eastAsia="Arial" w:hAnsi="Arial"/>
                <w:sz w:val="18"/>
                <w:szCs w:val="18"/>
                <w:color w:val="auto"/>
              </w:rPr>
              <w:t>Cover Page Interactive Data File (embedded within</w:t>
            </w:r>
          </w:p>
        </w:tc>
        <w:tc>
          <w:tcPr>
            <w:tcW w:w="2540" w:type="dxa"/>
            <w:vAlign w:val="bottom"/>
            <w:vMerge w:val="restart"/>
          </w:tcPr>
          <w:p>
            <w:pPr>
              <w:ind w:left="24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7480" w:type="dxa"/>
            <w:vAlign w:val="bottom"/>
          </w:tcPr>
          <w:p>
            <w:pPr>
              <w:ind w:left="460"/>
              <w:spacing w:after="0"/>
              <w:rPr>
                <w:sz w:val="20"/>
                <w:szCs w:val="20"/>
                <w:color w:val="auto"/>
              </w:rPr>
            </w:pPr>
            <w:r>
              <w:rPr>
                <w:rFonts w:ascii="Arial" w:cs="Arial" w:eastAsia="Arial" w:hAnsi="Arial"/>
                <w:sz w:val="18"/>
                <w:szCs w:val="18"/>
                <w:color w:val="auto"/>
              </w:rPr>
              <w:t>the Inline XBRL document)</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0"/>
          <w:szCs w:val="20"/>
          <w:color w:val="auto"/>
        </w:rPr>
      </w:pPr>
    </w:p>
    <w:p>
      <w:pPr>
        <w:ind w:left="1220" w:hanging="1194"/>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1"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 on February 11, 2021</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STEPSTONE GROUP INC.</w:t>
      </w:r>
    </w:p>
    <w:p>
      <w:pPr>
        <w:spacing w:after="0" w:line="28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80"/>
          </w:cols>
          <w:pgMar w:left="320" w:top="1440" w:right="69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31.1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Monte Brem, certify that:</w:t>
      </w:r>
    </w:p>
    <w:p>
      <w:pPr>
        <w:spacing w:after="0" w:line="216" w:lineRule="exact"/>
        <w:rPr>
          <w:sz w:val="20"/>
          <w:szCs w:val="20"/>
          <w:color w:val="auto"/>
        </w:rPr>
      </w:pPr>
    </w:p>
    <w:p>
      <w:pPr>
        <w:ind w:left="860" w:hanging="204"/>
        <w:spacing w:after="0"/>
        <w:tabs>
          <w:tab w:leader="none" w:pos="8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3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Arial" w:cs="Arial" w:eastAsia="Arial" w:hAnsi="Arial"/>
                <w:sz w:val="20"/>
                <w:szCs w:val="20"/>
                <w:color w:val="auto"/>
              </w:rPr>
              <w:t>Date: February 11, 2021</w:t>
            </w:r>
          </w:p>
        </w:tc>
        <w:tc>
          <w:tcPr>
            <w:tcW w:w="7680" w:type="dxa"/>
            <w:vAlign w:val="bottom"/>
            <w:gridSpan w:val="2"/>
          </w:tcPr>
          <w:p>
            <w:pPr>
              <w:ind w:left="1620"/>
              <w:spacing w:after="0"/>
              <w:rPr>
                <w:sz w:val="20"/>
                <w:szCs w:val="20"/>
                <w:color w:val="auto"/>
              </w:rPr>
            </w:pPr>
            <w:r>
              <w:rPr>
                <w:rFonts w:ascii="Arial" w:cs="Arial" w:eastAsia="Arial" w:hAnsi="Arial"/>
                <w:sz w:val="20"/>
                <w:szCs w:val="20"/>
                <w:color w:val="auto"/>
              </w:rPr>
              <w:t>By: /s/ Monte Brem</w:t>
            </w:r>
          </w:p>
        </w:tc>
      </w:tr>
      <w:tr>
        <w:trPr>
          <w:trHeight w:val="233"/>
        </w:trPr>
        <w:tc>
          <w:tcPr>
            <w:tcW w:w="3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Monte Brem</w:t>
            </w:r>
          </w:p>
        </w:tc>
      </w:tr>
      <w:tr>
        <w:trPr>
          <w:trHeight w:val="243"/>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31.2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auto"/>
        </w:rPr>
        <w:t>CERTIFICATION BY THE CHIEF EXECUTIVE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 Scott W. Hart, certify that:</w:t>
      </w:r>
    </w:p>
    <w:p>
      <w:pPr>
        <w:spacing w:after="0" w:line="216" w:lineRule="exact"/>
        <w:rPr>
          <w:sz w:val="20"/>
          <w:szCs w:val="20"/>
          <w:color w:val="auto"/>
        </w:rPr>
      </w:pPr>
    </w:p>
    <w:p>
      <w:pPr>
        <w:ind w:left="860" w:hanging="204"/>
        <w:spacing w:after="0"/>
        <w:tabs>
          <w:tab w:leader="none" w:pos="8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3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Arial" w:cs="Arial" w:eastAsia="Arial" w:hAnsi="Arial"/>
                <w:sz w:val="20"/>
                <w:szCs w:val="20"/>
                <w:color w:val="auto"/>
              </w:rPr>
              <w:t>Date: February 11, 2021</w:t>
            </w:r>
          </w:p>
        </w:tc>
        <w:tc>
          <w:tcPr>
            <w:tcW w:w="7680" w:type="dxa"/>
            <w:vAlign w:val="bottom"/>
            <w:gridSpan w:val="2"/>
          </w:tcPr>
          <w:p>
            <w:pPr>
              <w:ind w:left="1620"/>
              <w:spacing w:after="0"/>
              <w:rPr>
                <w:sz w:val="20"/>
                <w:szCs w:val="20"/>
                <w:color w:val="auto"/>
              </w:rPr>
            </w:pPr>
            <w:r>
              <w:rPr>
                <w:rFonts w:ascii="Arial" w:cs="Arial" w:eastAsia="Arial" w:hAnsi="Arial"/>
                <w:sz w:val="20"/>
                <w:szCs w:val="20"/>
                <w:color w:val="auto"/>
              </w:rPr>
              <w:t>By: /s/ Scott W. Hart</w:t>
            </w:r>
          </w:p>
        </w:tc>
      </w:tr>
      <w:tr>
        <w:trPr>
          <w:trHeight w:val="233"/>
        </w:trPr>
        <w:tc>
          <w:tcPr>
            <w:tcW w:w="3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W. Hart</w:t>
            </w:r>
          </w:p>
        </w:tc>
      </w:tr>
      <w:tr>
        <w:trPr>
          <w:trHeight w:val="243"/>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Co-Chief Executive Officer</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70" w:name="page71"/>
    <w:bookmarkEnd w:id="70"/>
    <w:p>
      <w:pPr>
        <w:ind w:left="10000"/>
        <w:spacing w:after="0"/>
        <w:rPr>
          <w:sz w:val="20"/>
          <w:szCs w:val="20"/>
          <w:color w:val="auto"/>
        </w:rPr>
      </w:pPr>
      <w:r>
        <w:rPr>
          <w:rFonts w:ascii="Arial" w:cs="Arial" w:eastAsia="Arial" w:hAnsi="Arial"/>
          <w:sz w:val="20"/>
          <w:szCs w:val="20"/>
          <w:b w:val="1"/>
          <w:bCs w:val="1"/>
          <w:color w:val="auto"/>
        </w:rPr>
        <w:t>EXHIBIT 31.3</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CERTIFICATION BY THE CHIEF FINANCIAL OFFICER PURSUANT TO SECTION 302 OF THE SARBANES-OXLEY ACT</w:t>
      </w:r>
    </w:p>
    <w:p>
      <w:pPr>
        <w:jc w:val="center"/>
        <w:spacing w:after="0"/>
        <w:rPr>
          <w:sz w:val="20"/>
          <w:szCs w:val="20"/>
          <w:color w:val="auto"/>
        </w:rPr>
      </w:pPr>
      <w:r>
        <w:rPr>
          <w:rFonts w:ascii="Arial" w:cs="Arial" w:eastAsia="Arial" w:hAnsi="Arial"/>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 Johnny D. Randel, certify that:</w:t>
      </w:r>
    </w:p>
    <w:p>
      <w:pPr>
        <w:spacing w:after="0" w:line="216" w:lineRule="exact"/>
        <w:rPr>
          <w:sz w:val="20"/>
          <w:szCs w:val="20"/>
          <w:color w:val="auto"/>
        </w:rPr>
      </w:pPr>
    </w:p>
    <w:p>
      <w:pPr>
        <w:ind w:left="860" w:hanging="204"/>
        <w:spacing w:after="0"/>
        <w:tabs>
          <w:tab w:leader="none" w:pos="8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StepStone Group Inc.;</w:t>
      </w:r>
    </w:p>
    <w:p>
      <w:pPr>
        <w:spacing w:after="0" w:line="215" w:lineRule="exact"/>
        <w:rPr>
          <w:rFonts w:ascii="Arial" w:cs="Arial" w:eastAsia="Arial" w:hAnsi="Arial"/>
          <w:sz w:val="20"/>
          <w:szCs w:val="20"/>
          <w:color w:val="auto"/>
        </w:rPr>
      </w:pPr>
    </w:p>
    <w:p>
      <w:pPr>
        <w:ind w:left="660" w:right="220" w:hanging="4"/>
        <w:spacing w:after="0" w:line="250" w:lineRule="auto"/>
        <w:tabs>
          <w:tab w:leader="none" w:pos="8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ind w:left="660" w:right="120" w:hanging="4"/>
        <w:spacing w:after="0" w:line="250" w:lineRule="auto"/>
        <w:tabs>
          <w:tab w:leader="none" w:pos="8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ind w:left="660" w:right="140" w:hanging="4"/>
        <w:spacing w:after="0" w:line="260" w:lineRule="auto"/>
        <w:tabs>
          <w:tab w:leader="none" w:pos="8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176" w:lineRule="exact"/>
        <w:rPr>
          <w:rFonts w:ascii="Arial" w:cs="Arial" w:eastAsia="Arial" w:hAnsi="Arial"/>
          <w:sz w:val="20"/>
          <w:szCs w:val="20"/>
          <w:color w:val="auto"/>
        </w:rPr>
      </w:pPr>
    </w:p>
    <w:p>
      <w:pPr>
        <w:jc w:val="both"/>
        <w:ind w:left="1300" w:right="60" w:firstLine="4"/>
        <w:spacing w:after="0" w:line="291" w:lineRule="auto"/>
        <w:tabs>
          <w:tab w:leader="none" w:pos="14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420" w:firstLine="4"/>
        <w:spacing w:after="0" w:line="250" w:lineRule="auto"/>
        <w:tabs>
          <w:tab w:leader="none" w:pos="1498"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240" w:firstLine="4"/>
        <w:spacing w:after="0" w:line="250" w:lineRule="auto"/>
        <w:tabs>
          <w:tab w:leader="none" w:pos="1487" w:val="left"/>
        </w:tabs>
        <w:numPr>
          <w:ilvl w:val="1"/>
          <w:numId w:val="3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5" w:lineRule="exact"/>
        <w:rPr>
          <w:rFonts w:ascii="Arial" w:cs="Arial" w:eastAsia="Arial" w:hAnsi="Arial"/>
          <w:sz w:val="20"/>
          <w:szCs w:val="20"/>
          <w:color w:val="auto"/>
        </w:rPr>
      </w:pPr>
    </w:p>
    <w:p>
      <w:pPr>
        <w:ind w:left="660" w:right="240" w:hanging="4"/>
        <w:spacing w:after="0" w:line="250" w:lineRule="auto"/>
        <w:tabs>
          <w:tab w:leader="none" w:pos="8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20"/>
          <w:szCs w:val="20"/>
          <w:color w:val="auto"/>
        </w:rPr>
      </w:pPr>
    </w:p>
    <w:p>
      <w:pPr>
        <w:ind w:left="1300" w:right="140" w:firstLine="4"/>
        <w:spacing w:after="0" w:line="250" w:lineRule="auto"/>
        <w:tabs>
          <w:tab w:leader="none" w:pos="1487" w:val="left"/>
        </w:tabs>
        <w:numPr>
          <w:ilvl w:val="1"/>
          <w:numId w:val="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560" w:firstLine="4"/>
        <w:spacing w:after="0" w:line="260" w:lineRule="auto"/>
        <w:tabs>
          <w:tab w:leader="none" w:pos="1498"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Arial" w:cs="Arial" w:eastAsia="Arial" w:hAnsi="Arial"/>
                <w:sz w:val="20"/>
                <w:szCs w:val="20"/>
                <w:color w:val="auto"/>
              </w:rPr>
              <w:t>Date: February 11, 2021</w:t>
            </w:r>
          </w:p>
        </w:tc>
        <w:tc>
          <w:tcPr>
            <w:tcW w:w="7680" w:type="dxa"/>
            <w:vAlign w:val="bottom"/>
            <w:gridSpan w:val="2"/>
          </w:tcPr>
          <w:p>
            <w:pPr>
              <w:ind w:left="1620"/>
              <w:spacing w:after="0"/>
              <w:rPr>
                <w:sz w:val="20"/>
                <w:szCs w:val="20"/>
                <w:color w:val="auto"/>
              </w:rPr>
            </w:pPr>
            <w:r>
              <w:rPr>
                <w:rFonts w:ascii="Arial" w:cs="Arial" w:eastAsia="Arial" w:hAnsi="Arial"/>
                <w:sz w:val="20"/>
                <w:szCs w:val="20"/>
                <w:color w:val="auto"/>
              </w:rPr>
              <w:t>By: /s/ Johnny D. Randel</w:t>
            </w:r>
          </w:p>
        </w:tc>
      </w:tr>
      <w:tr>
        <w:trPr>
          <w:trHeight w:val="233"/>
        </w:trPr>
        <w:tc>
          <w:tcPr>
            <w:tcW w:w="3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Johnny D. Randel</w:t>
            </w:r>
          </w:p>
        </w:tc>
      </w:tr>
      <w:tr>
        <w:trPr>
          <w:trHeight w:val="243"/>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20"/>
                <w:szCs w:val="20"/>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32.1</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December 31, 2020, as filed with the Securities and Exchange Commission (the “SEC”) on or about the date hereof (the “Report”), I, Monte Brem,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February 11,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Monte Brem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Monte Brem</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32.2</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December 31, 2020, as filed with the Securities and Exchange Commission (the “SEC”) on or about the date hereof (the “Report”), I, Scott W. Hart, Co-Chief Executive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February 11,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Scott W. Hart</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Co-Chief Executive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Executive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32.3</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uto"/>
        </w:rPr>
        <w:t>CERTIFICATION PURSUANT TO 18 U.S.C. SECTION 1350 AS ADOPTED PURSUANT TO SECTION 906 OF THE</w:t>
      </w:r>
    </w:p>
    <w:p>
      <w:pPr>
        <w:ind w:left="4100"/>
        <w:spacing w:after="0"/>
        <w:rPr>
          <w:sz w:val="20"/>
          <w:szCs w:val="20"/>
          <w:color w:val="auto"/>
        </w:rPr>
      </w:pPr>
      <w:r>
        <w:rPr>
          <w:rFonts w:ascii="Arial" w:cs="Arial" w:eastAsia="Arial" w:hAnsi="Arial"/>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In connection with the Quarterly Report of StepStone Group Inc. (the “Company”) on Form 10-Q for the three months ended December 31, 2020,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w:t>
      </w:r>
    </w:p>
    <w:p>
      <w:pPr>
        <w:spacing w:after="0" w:line="19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660" w:right="260" w:hanging="328"/>
        <w:spacing w:after="0" w:line="260"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Dated: February 11, 2021</w:t>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By: /s/ Johnny D. Randel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10160</wp:posOffset>
            </wp:positionV>
            <wp:extent cx="36601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Johnny D. Randel</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Chief Financial Officer</w:t>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20"/>
          <w:szCs w:val="20"/>
          <w:i w:val="1"/>
          <w:iCs w:val="1"/>
          <w:color w:val="auto"/>
        </w:rPr>
        <w:t>(Principal Financial Officer)</w:t>
      </w:r>
    </w:p>
    <w:p>
      <w:pPr>
        <w:spacing w:after="0" w:line="303"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endash "/>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14"/>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3"/>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3"/>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lvl w:ilvl="1">
      <w:lvlJc w:val="left"/>
      <w:lvlText w:val="%2."/>
      <w:numFmt w:val="lowerRoman"/>
      <w:start w:val="1"/>
    </w:lvl>
  </w:abstractNum>
  <w:abstractNum w:abstractNumId="27">
    <w:nsid w:val="5577F8E1"/>
    <w:multiLevelType w:val="hybridMultilevel"/>
    <w:lvl w:ilvl="0">
      <w:lvlJc w:val="left"/>
      <w:lvlText w:val="(%1)"/>
      <w:numFmt w:val="decimal"/>
      <w:start w:val="3"/>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0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2" Type="http://schemas.openxmlformats.org/officeDocument/2006/relationships/hyperlink" Target="https://www.sec.gov/Archives/edgar/data/1796022/000119312520248881/d23934dex31.htm" TargetMode="External"/><Relationship Id="rId83" Type="http://schemas.openxmlformats.org/officeDocument/2006/relationships/hyperlink" Target="https://www.sec.gov/Archives/edgar/data/1796022/000119312520248881/d2393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2021-02-11T15:24:26Z</dcterms:created>
  <dcterms:modified xsi:type="dcterms:W3CDTF">2021-02-11T15:24:26Z</dcterms:modified>
</cp:coreProperties>
</file>