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4"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31, 2022</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90" w:lineRule="exact"/>
        <w:rPr>
          <w:sz w:val="24"/>
          <w:szCs w:val="24"/>
          <w:color w:val="auto"/>
        </w:rPr>
      </w:pPr>
    </w:p>
    <w:p>
      <w:pPr>
        <w:ind w:left="2520" w:right="2500" w:hanging="2454"/>
        <w:spacing w:after="0" w:line="388" w:lineRule="auto"/>
        <w:tabs>
          <w:tab w:leader="none" w:pos="38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_______________________ to 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001-39510</w:t>
      </w:r>
    </w:p>
    <w:p>
      <w:pPr>
        <w:spacing w:after="0" w:line="53" w:lineRule="exact"/>
        <w:rPr>
          <w:sz w:val="24"/>
          <w:szCs w:val="24"/>
          <w:color w:val="auto"/>
        </w:rPr>
      </w:pPr>
    </w:p>
    <w:tbl>
      <w:tblPr>
        <w:tblLayout w:type="fixed"/>
        <w:tblInd w:w="1440" w:type="dxa"/>
        <w:tblCellMar>
          <w:top w:w="0" w:type="dxa"/>
          <w:left w:w="0" w:type="dxa"/>
          <w:bottom w:w="0" w:type="dxa"/>
          <w:right w:w="0" w:type="dxa"/>
        </w:tblCellMar>
      </w:tblPr>
      <w:tr>
        <w:trPr>
          <w:trHeight w:val="429"/>
        </w:trPr>
        <w:tc>
          <w:tcPr>
            <w:tcW w:w="100" w:type="dxa"/>
            <w:vAlign w:val="bottom"/>
          </w:tcPr>
          <w:p>
            <w:pPr>
              <w:spacing w:after="0"/>
              <w:rPr>
                <w:sz w:val="24"/>
                <w:szCs w:val="24"/>
                <w:color w:val="auto"/>
              </w:rPr>
            </w:pPr>
          </w:p>
        </w:tc>
        <w:tc>
          <w:tcPr>
            <w:tcW w:w="8200" w:type="dxa"/>
            <w:vAlign w:val="bottom"/>
            <w:gridSpan w:val="5"/>
          </w:tcPr>
          <w:p>
            <w:pPr>
              <w:jc w:val="center"/>
              <w:ind w:left="220"/>
              <w:spacing w:after="0"/>
              <w:rPr>
                <w:sz w:val="20"/>
                <w:szCs w:val="20"/>
                <w:color w:val="auto"/>
              </w:rPr>
            </w:pPr>
            <w:r>
              <w:rPr>
                <w:rFonts w:ascii="Times New Roman" w:cs="Times New Roman" w:eastAsia="Times New Roman" w:hAnsi="Times New Roman"/>
                <w:sz w:val="32"/>
                <w:szCs w:val="32"/>
                <w:b w:val="1"/>
                <w:bCs w:val="1"/>
                <w:color w:val="auto"/>
              </w:rPr>
              <w:t>STEPSTONE GROUP INC.</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16"/>
        </w:trPr>
        <w:tc>
          <w:tcPr>
            <w:tcW w:w="100" w:type="dxa"/>
            <w:vAlign w:val="bottom"/>
          </w:tcPr>
          <w:p>
            <w:pPr>
              <w:spacing w:after="0"/>
              <w:rPr>
                <w:sz w:val="18"/>
                <w:szCs w:val="18"/>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84-3868757</w:t>
            </w:r>
          </w:p>
        </w:tc>
      </w:tr>
      <w:tr>
        <w:trPr>
          <w:trHeight w:val="163"/>
        </w:trPr>
        <w:tc>
          <w:tcPr>
            <w:tcW w:w="100" w:type="dxa"/>
            <w:vAlign w:val="bottom"/>
          </w:tcPr>
          <w:p>
            <w:pPr>
              <w:spacing w:after="0"/>
              <w:rPr>
                <w:sz w:val="14"/>
                <w:szCs w:val="14"/>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100" w:type="dxa"/>
            <w:vAlign w:val="bottom"/>
          </w:tcPr>
          <w:p>
            <w:pPr>
              <w:spacing w:after="0"/>
              <w:rPr>
                <w:sz w:val="16"/>
                <w:szCs w:val="16"/>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38"/>
        </w:trPr>
        <w:tc>
          <w:tcPr>
            <w:tcW w:w="100" w:type="dxa"/>
            <w:vAlign w:val="bottom"/>
          </w:tcPr>
          <w:p>
            <w:pPr>
              <w:spacing w:after="0"/>
              <w:rPr>
                <w:sz w:val="24"/>
                <w:szCs w:val="24"/>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450 Lexington Avenue, 31st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03"/>
        </w:trPr>
        <w:tc>
          <w:tcPr>
            <w:tcW w:w="100" w:type="dxa"/>
            <w:vAlign w:val="bottom"/>
          </w:tcPr>
          <w:p>
            <w:pPr>
              <w:spacing w:after="0"/>
              <w:rPr>
                <w:sz w:val="17"/>
                <w:szCs w:val="17"/>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New York, NY</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10017</w:t>
            </w:r>
          </w:p>
        </w:tc>
      </w:tr>
      <w:tr>
        <w:trPr>
          <w:trHeight w:val="203"/>
        </w:trPr>
        <w:tc>
          <w:tcPr>
            <w:tcW w:w="3440" w:type="dxa"/>
            <w:vAlign w:val="bottom"/>
            <w:gridSpan w:val="3"/>
          </w:tcPr>
          <w:p>
            <w:pPr>
              <w:jc w:val="center"/>
              <w:ind w:right="1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1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(212) 351-6100</w:t>
            </w:r>
          </w:p>
        </w:tc>
        <w:tc>
          <w:tcPr>
            <w:tcW w:w="100" w:type="dxa"/>
            <w:vAlign w:val="bottom"/>
          </w:tcPr>
          <w:p>
            <w:pPr>
              <w:spacing w:after="0"/>
              <w:rPr>
                <w:sz w:val="23"/>
                <w:szCs w:val="23"/>
                <w:color w:val="auto"/>
              </w:rPr>
            </w:pPr>
          </w:p>
        </w:tc>
        <w:tc>
          <w:tcPr>
            <w:tcW w:w="3460" w:type="dxa"/>
            <w:vAlign w:val="bottom"/>
          </w:tcPr>
          <w:p>
            <w:pPr>
              <w:spacing w:after="0"/>
              <w:rPr>
                <w:sz w:val="23"/>
                <w:szCs w:val="23"/>
                <w:color w:val="auto"/>
              </w:rPr>
            </w:pPr>
          </w:p>
        </w:tc>
      </w:tr>
      <w:tr>
        <w:trPr>
          <w:trHeight w:val="188"/>
        </w:trPr>
        <w:tc>
          <w:tcPr>
            <w:tcW w:w="100" w:type="dxa"/>
            <w:vAlign w:val="bottom"/>
          </w:tcPr>
          <w:p>
            <w:pPr>
              <w:spacing w:after="0"/>
              <w:rPr>
                <w:sz w:val="16"/>
                <w:szCs w:val="16"/>
                <w:color w:val="auto"/>
              </w:rPr>
            </w:pPr>
          </w:p>
        </w:tc>
        <w:tc>
          <w:tcPr>
            <w:tcW w:w="82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203"/>
        </w:trPr>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Title of each class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84"/>
        </w:trPr>
        <w:tc>
          <w:tcPr>
            <w:tcW w:w="10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w:t>
            </w:r>
          </w:p>
        </w:tc>
        <w:tc>
          <w:tcPr>
            <w:tcW w:w="1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47"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140" w:type="dxa"/>
            <w:vAlign w:val="bottom"/>
          </w:tcPr>
          <w:p>
            <w:pPr>
              <w:spacing w:after="0"/>
              <w:rPr>
                <w:sz w:val="22"/>
                <w:szCs w:val="22"/>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0"/>
        </w:trPr>
        <w:tc>
          <w:tcPr>
            <w:tcW w:w="1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114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70"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registrant’s classes of common stock, as of the latest practicable date: As of February 7, 2023, there were</w:t>
      </w:r>
    </w:p>
    <w:p>
      <w:pPr>
        <w:spacing w:after="0" w:line="26" w:lineRule="exact"/>
        <w:rPr>
          <w:sz w:val="24"/>
          <w:szCs w:val="24"/>
          <w:color w:val="auto"/>
        </w:rPr>
      </w:pPr>
    </w:p>
    <w:p>
      <w:pPr>
        <w:ind w:right="740"/>
        <w:spacing w:after="0" w:line="270" w:lineRule="auto"/>
        <w:rPr>
          <w:sz w:val="20"/>
          <w:szCs w:val="20"/>
          <w:color w:val="auto"/>
        </w:rPr>
      </w:pPr>
      <w:r>
        <w:rPr>
          <w:rFonts w:ascii="Times New Roman" w:cs="Times New Roman" w:eastAsia="Times New Roman" w:hAnsi="Times New Roman"/>
          <w:sz w:val="16"/>
          <w:szCs w:val="16"/>
          <w:color w:val="auto"/>
        </w:rPr>
        <w:t>62,772,922 shares of the registrant’s Class A common stock, par value $0.001, and 46,420,141 shares of the registrant’s Class B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1" w:name="page2"/>
    <w:bookmarkEnd w:id="1"/>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960" w:type="dxa"/>
            <w:vAlign w:val="bottom"/>
            <w:gridSpan w:val="9"/>
            <w:shd w:val="clear" w:color="auto" w:fill="CCEEFF"/>
          </w:tcPr>
          <w:p>
            <w:pPr>
              <w:jc w:val="center"/>
              <w:ind w:right="150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6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3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December 31, 2022 and March 31, 2022</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3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(Loss) for the Three and Nine Months Ended December 31, 2022 and 2021</w:t>
            </w:r>
          </w:p>
        </w:tc>
        <w:tc>
          <w:tcPr>
            <w:tcW w:w="880" w:type="dxa"/>
            <w:vAlign w:val="bottom"/>
            <w:gridSpan w:val="3"/>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3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for the Three and Nine Months Ended December 31, 2022</w:t>
            </w:r>
          </w:p>
        </w:tc>
        <w:tc>
          <w:tcPr>
            <w:tcW w:w="740" w:type="dxa"/>
            <w:vAlign w:val="bottom"/>
            <w:tcBorders>
              <w:right w:val="single" w:sz="8" w:color="CCEEFF"/>
            </w:tcBorders>
            <w:gridSpan w:val="2"/>
            <w:vMerge w:val="restart"/>
            <w:shd w:val="clear" w:color="auto" w:fill="CCEEFF"/>
          </w:tcPr>
          <w:p>
            <w:pPr>
              <w:spacing w:after="0"/>
              <w:rPr>
                <w:sz w:val="16"/>
                <w:szCs w:val="16"/>
                <w:color w:val="auto"/>
              </w:rPr>
            </w:pPr>
          </w:p>
        </w:tc>
        <w:tc>
          <w:tcPr>
            <w:tcW w:w="1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660" w:type="dxa"/>
            <w:vAlign w:val="bottom"/>
            <w:tcBorders>
              <w:top w:val="single" w:sz="8" w:color="0000FF"/>
              <w:bottom w:val="single" w:sz="8" w:color="0000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6"/>
              </w:rPr>
              <w:t>and 2021</w:t>
            </w:r>
          </w:p>
        </w:tc>
        <w:tc>
          <w:tcPr>
            <w:tcW w:w="850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top w:val="single" w:sz="8" w:color="CCEEFF"/>
              <w:bottom w:val="single" w:sz="8" w:color="0000FF"/>
              <w:right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3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December 31, 2022 and 2021</w:t>
            </w:r>
          </w:p>
        </w:tc>
        <w:tc>
          <w:tcPr>
            <w:tcW w:w="880" w:type="dxa"/>
            <w:vAlign w:val="bottom"/>
            <w:gridSpan w:val="3"/>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3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December 31, 2022 and 2021</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7880" w:type="dxa"/>
            <w:vAlign w:val="bottom"/>
            <w:tcBorders>
              <w:top w:val="single" w:sz="8" w:color="0000FF"/>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60" w:type="dxa"/>
            <w:vAlign w:val="bottom"/>
            <w:tcBorders>
              <w:top w:val="single" w:sz="8" w:color="CCEEFF"/>
            </w:tcBorders>
            <w:gridSpan w:val="3"/>
          </w:tcPr>
          <w:p>
            <w:pPr>
              <w:spacing w:after="0"/>
              <w:rPr>
                <w:sz w:val="16"/>
                <w:szCs w:val="16"/>
                <w:color w:val="auto"/>
              </w:rPr>
            </w:pPr>
          </w:p>
        </w:tc>
        <w:tc>
          <w:tcPr>
            <w:tcW w:w="7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13</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820" w:type="dxa"/>
            <w:vAlign w:val="bottom"/>
            <w:tcBorders>
              <w:bottom w:val="single" w:sz="8" w:color="CCEEFF"/>
            </w:tcBorders>
            <w:gridSpan w:val="4"/>
            <w:shd w:val="clear" w:color="auto" w:fill="CCEEFF"/>
          </w:tcPr>
          <w:p>
            <w:pPr>
              <w:spacing w:after="0"/>
              <w:rPr>
                <w:sz w:val="18"/>
                <w:szCs w:val="18"/>
                <w:color w:val="auto"/>
              </w:rPr>
            </w:pPr>
          </w:p>
        </w:tc>
        <w:tc>
          <w:tcPr>
            <w:tcW w:w="74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47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Item 3. Qualitative and Quantitative Disclosures about Market Risk</w:t>
            </w:r>
          </w:p>
        </w:tc>
        <w:tc>
          <w:tcPr>
            <w:tcW w:w="880" w:type="dxa"/>
            <w:vAlign w:val="bottom"/>
            <w:gridSpan w:val="3"/>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81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6960" w:type="dxa"/>
            <w:vAlign w:val="bottom"/>
            <w:tcBorders>
              <w:top w:val="single" w:sz="8" w:color="CCEEFF"/>
            </w:tcBorders>
            <w:gridSpan w:val="9"/>
          </w:tcPr>
          <w:p>
            <w:pPr>
              <w:jc w:val="center"/>
              <w:ind w:right="152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7940" w:type="dxa"/>
            <w:vAlign w:val="bottom"/>
            <w:tcBorders>
              <w:bottom w:val="single" w:sz="8" w:color="CCEEFF"/>
            </w:tcBorders>
            <w:gridSpan w:val="12"/>
            <w:shd w:val="clear" w:color="auto" w:fill="CCEEFF"/>
          </w:tcPr>
          <w:p>
            <w:pPr>
              <w:spacing w:after="0"/>
              <w:rPr>
                <w:sz w:val="18"/>
                <w:szCs w:val="18"/>
                <w:color w:val="auto"/>
              </w:rPr>
            </w:pPr>
          </w:p>
        </w:tc>
        <w:tc>
          <w:tcPr>
            <w:tcW w:w="74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84</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80" w:type="dxa"/>
            <w:vAlign w:val="bottom"/>
            <w:gridSpan w:val="3"/>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4940" w:type="dxa"/>
            <w:vAlign w:val="bottom"/>
            <w:tcBorders>
              <w:top w:val="single" w:sz="8" w:color="CCEEFF"/>
            </w:tcBorders>
            <w:gridSpan w:val="6"/>
          </w:tcPr>
          <w:p>
            <w:pPr>
              <w:spacing w:after="0"/>
              <w:rPr>
                <w:sz w:val="16"/>
                <w:szCs w:val="16"/>
                <w:color w:val="auto"/>
              </w:rPr>
            </w:pPr>
          </w:p>
        </w:tc>
        <w:tc>
          <w:tcPr>
            <w:tcW w:w="7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84</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7520" w:type="dxa"/>
            <w:vAlign w:val="bottom"/>
            <w:tcBorders>
              <w:top w:val="single" w:sz="8" w:color="CCEEFF"/>
            </w:tcBorders>
            <w:gridSpan w:val="10"/>
          </w:tcPr>
          <w:p>
            <w:pPr>
              <w:spacing w:after="0"/>
              <w:rPr>
                <w:sz w:val="16"/>
                <w:szCs w:val="16"/>
                <w:color w:val="auto"/>
              </w:rPr>
            </w:pPr>
          </w:p>
        </w:tc>
        <w:tc>
          <w:tcPr>
            <w:tcW w:w="7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84</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680" w:type="dxa"/>
            <w:vAlign w:val="bottom"/>
            <w:tcBorders>
              <w:top w:val="single" w:sz="8" w:color="CCEEFF"/>
            </w:tcBorders>
            <w:gridSpan w:val="16"/>
          </w:tcPr>
          <w:p>
            <w:pPr>
              <w:spacing w:after="0"/>
              <w:rPr>
                <w:sz w:val="16"/>
                <w:szCs w:val="16"/>
                <w:color w:val="auto"/>
              </w:rPr>
            </w:pPr>
          </w:p>
        </w:tc>
        <w:tc>
          <w:tcPr>
            <w:tcW w:w="7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87</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3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indicated or the context otherwise requires:</w:t>
      </w:r>
    </w:p>
    <w:p>
      <w:pPr>
        <w:spacing w:after="0" w:line="225" w:lineRule="exact"/>
        <w:rPr>
          <w:sz w:val="20"/>
          <w:szCs w:val="20"/>
          <w:color w:val="auto"/>
        </w:rPr>
      </w:pPr>
    </w:p>
    <w:p>
      <w:pPr>
        <w:ind w:left="660" w:right="104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Group Inc.</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SSG</w:t>
      </w:r>
      <w:r>
        <w:rPr>
          <w:rFonts w:ascii="Times New Roman" w:cs="Times New Roman" w:eastAsia="Times New Roman" w:hAnsi="Times New Roman"/>
          <w:sz w:val="20"/>
          <w:szCs w:val="20"/>
          <w:color w:val="auto"/>
        </w:rPr>
        <w:t>” refers solely to StepStone Group Inc., a Delaware corporation, and not to any of its subsidiaries;</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Partnership</w:t>
      </w:r>
      <w:r>
        <w:rPr>
          <w:rFonts w:ascii="Times New Roman" w:cs="Times New Roman" w:eastAsia="Times New Roman" w:hAnsi="Times New Roman"/>
          <w:sz w:val="20"/>
          <w:szCs w:val="20"/>
          <w:color w:val="auto"/>
        </w:rPr>
        <w:t>” refers solely to StepStone Group LP, a Delaware limited partnership, and not to any of its subsidiaries;</w:t>
      </w:r>
    </w:p>
    <w:p>
      <w:pPr>
        <w:spacing w:after="0" w:line="229" w:lineRule="exact"/>
        <w:rPr>
          <w:rFonts w:ascii="Times New Roman" w:cs="Times New Roman" w:eastAsia="Times New Roman" w:hAnsi="Times New Roman"/>
          <w:sz w:val="20"/>
          <w:szCs w:val="20"/>
          <w:color w:val="auto"/>
        </w:rPr>
      </w:pPr>
    </w:p>
    <w:p>
      <w:pPr>
        <w:ind w:left="660" w:right="60" w:hanging="4"/>
        <w:spacing w:after="0" w:line="273"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Partner</w:t>
      </w:r>
      <w:r>
        <w:rPr>
          <w:rFonts w:ascii="Times New Roman" w:cs="Times New Roman" w:eastAsia="Times New Roman" w:hAnsi="Times New Roman"/>
          <w:sz w:val="20"/>
          <w:szCs w:val="20"/>
          <w:color w:val="auto"/>
        </w:rPr>
        <w:t>” refers to StepStone Group Holdings LLC, a Delaware limited liability company, and the sole general partner of the Partnership;</w:t>
      </w:r>
    </w:p>
    <w:p>
      <w:pPr>
        <w:spacing w:after="0" w:line="165" w:lineRule="exact"/>
        <w:rPr>
          <w:rFonts w:ascii="Times New Roman" w:cs="Times New Roman" w:eastAsia="Times New Roman" w:hAnsi="Times New Roman"/>
          <w:sz w:val="20"/>
          <w:szCs w:val="20"/>
          <w:color w:val="auto"/>
        </w:rPr>
      </w:pPr>
    </w:p>
    <w:p>
      <w:pPr>
        <w:ind w:left="66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 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StepStone</w:t>
      </w:r>
      <w:r>
        <w:rPr>
          <w:rFonts w:ascii="Times New Roman" w:cs="Times New Roman" w:eastAsia="Times New Roman" w:hAnsi="Times New Roman"/>
          <w:sz w:val="20"/>
          <w:szCs w:val="20"/>
          <w:color w:val="auto"/>
        </w:rPr>
        <w:t>” and similar terms refer to SSG and its consolidated subsidiaries, including the Partnership;</w:t>
      </w:r>
    </w:p>
    <w:p>
      <w:pPr>
        <w:spacing w:after="0" w:line="138" w:lineRule="exact"/>
        <w:rPr>
          <w:rFonts w:ascii="Times New Roman" w:cs="Times New Roman" w:eastAsia="Times New Roman" w:hAnsi="Times New Roman"/>
          <w:sz w:val="20"/>
          <w:szCs w:val="20"/>
          <w:color w:val="auto"/>
        </w:rPr>
      </w:pPr>
    </w:p>
    <w:p>
      <w:pPr>
        <w:ind w:left="660" w:right="620" w:hanging="4"/>
        <w:spacing w:after="0" w:line="315" w:lineRule="auto"/>
        <w:tabs>
          <w:tab w:leader="none" w:pos="77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StepStone Funds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our funds</w:t>
      </w:r>
      <w:r>
        <w:rPr>
          <w:rFonts w:ascii="Times New Roman" w:cs="Times New Roman" w:eastAsia="Times New Roman" w:hAnsi="Times New Roman"/>
          <w:sz w:val="19"/>
          <w:szCs w:val="19"/>
          <w:color w:val="auto"/>
        </w:rPr>
        <w:t>” refer to our focused commingled funds and our separately managed accounts, including acquired Greenspring funds, for which we act as both investment adviser and general partner or managing member;</w:t>
      </w:r>
    </w:p>
    <w:p>
      <w:pPr>
        <w:spacing w:after="0" w:line="115" w:lineRule="exact"/>
        <w:rPr>
          <w:rFonts w:ascii="Times New Roman" w:cs="Times New Roman" w:eastAsia="Times New Roman" w:hAnsi="Times New Roman"/>
          <w:sz w:val="19"/>
          <w:szCs w:val="19"/>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Greenspring acquisition</w:t>
      </w:r>
      <w:r>
        <w:rPr>
          <w:rFonts w:ascii="Times New Roman" w:cs="Times New Roman" w:eastAsia="Times New Roman" w:hAnsi="Times New Roman"/>
          <w:sz w:val="20"/>
          <w:szCs w:val="20"/>
          <w:color w:val="auto"/>
        </w:rPr>
        <w:t>” refer to the acquisition of Greenspring Associates, Inc. and certain of its affiliates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Greenspring</w:t>
      </w:r>
      <w:r>
        <w:rPr>
          <w:rFonts w:ascii="Times New Roman" w:cs="Times New Roman" w:eastAsia="Times New Roman" w:hAnsi="Times New Roman"/>
          <w:sz w:val="20"/>
          <w:szCs w:val="20"/>
          <w:color w:val="auto"/>
        </w:rPr>
        <w:t>”) that was completed on September 20, 2021;</w:t>
      </w:r>
    </w:p>
    <w:p>
      <w:pPr>
        <w:spacing w:after="0" w:line="210" w:lineRule="exact"/>
        <w:rPr>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FY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fiscal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are to the fiscal year ended March 31 of the applicable year;</w:t>
      </w:r>
    </w:p>
    <w:p>
      <w:pPr>
        <w:spacing w:after="0" w:line="215" w:lineRule="exact"/>
        <w:rPr>
          <w:rFonts w:ascii="Times New Roman" w:cs="Times New Roman" w:eastAsia="Times New Roman" w:hAnsi="Times New Roman"/>
          <w:sz w:val="20"/>
          <w:szCs w:val="20"/>
          <w:color w:val="auto"/>
        </w:rPr>
      </w:pPr>
    </w:p>
    <w:p>
      <w:pPr>
        <w:ind w:left="660" w:right="44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Reorganization</w:t>
      </w:r>
      <w:r>
        <w:rPr>
          <w:rFonts w:ascii="Times New Roman" w:cs="Times New Roman" w:eastAsia="Times New Roman" w:hAnsi="Times New Roman"/>
          <w:sz w:val="20"/>
          <w:szCs w:val="20"/>
          <w:color w:val="auto"/>
        </w:rPr>
        <w:t>” refer to the series of transactions immediately before the Company’s initial public offering (“</w:t>
      </w:r>
      <w:r>
        <w:rPr>
          <w:rFonts w:ascii="Times New Roman" w:cs="Times New Roman" w:eastAsia="Times New Roman" w:hAnsi="Times New Roman"/>
          <w:sz w:val="20"/>
          <w:szCs w:val="20"/>
          <w:b w:val="1"/>
          <w:bCs w:val="1"/>
          <w:color w:val="auto"/>
        </w:rPr>
        <w:t>IPO</w:t>
      </w:r>
      <w:r>
        <w:rPr>
          <w:rFonts w:ascii="Times New Roman" w:cs="Times New Roman" w:eastAsia="Times New Roman" w:hAnsi="Times New Roman"/>
          <w:sz w:val="20"/>
          <w:szCs w:val="20"/>
          <w:color w:val="auto"/>
        </w:rPr>
        <w:t>”), which was completed on September 18, 2020;</w:t>
      </w:r>
    </w:p>
    <w:p>
      <w:pPr>
        <w:spacing w:after="0" w:line="138" w:lineRule="exact"/>
        <w:rPr>
          <w:rFonts w:ascii="Times New Roman" w:cs="Times New Roman" w:eastAsia="Times New Roman" w:hAnsi="Times New Roman"/>
          <w:sz w:val="20"/>
          <w:szCs w:val="20"/>
          <w:color w:val="auto"/>
        </w:rPr>
      </w:pPr>
    </w:p>
    <w:p>
      <w:pPr>
        <w:ind w:left="660" w:right="38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private markets allocations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total capital responsibility</w:t>
      </w:r>
      <w:r>
        <w:rPr>
          <w:rFonts w:ascii="Times New Roman" w:cs="Times New Roman" w:eastAsia="Times New Roman" w:hAnsi="Times New Roman"/>
          <w:sz w:val="20"/>
          <w:szCs w:val="20"/>
          <w:color w:val="auto"/>
        </w:rPr>
        <w:t>” refer to the aggregate amount of our assets under management (“</w:t>
      </w:r>
      <w:r>
        <w:rPr>
          <w:rFonts w:ascii="Times New Roman" w:cs="Times New Roman" w:eastAsia="Times New Roman" w:hAnsi="Times New Roman"/>
          <w:sz w:val="20"/>
          <w:szCs w:val="20"/>
          <w:b w:val="1"/>
          <w:bCs w:val="1"/>
          <w:color w:val="auto"/>
        </w:rPr>
        <w:t>AUM</w:t>
      </w:r>
      <w:r>
        <w:rPr>
          <w:rFonts w:ascii="Times New Roman" w:cs="Times New Roman" w:eastAsia="Times New Roman" w:hAnsi="Times New Roman"/>
          <w:sz w:val="20"/>
          <w:szCs w:val="20"/>
          <w:color w:val="auto"/>
        </w:rPr>
        <w:t>”) and our assets under advisement (“</w:t>
      </w:r>
      <w:r>
        <w:rPr>
          <w:rFonts w:ascii="Times New Roman" w:cs="Times New Roman" w:eastAsia="Times New Roman" w:hAnsi="Times New Roman"/>
          <w:sz w:val="20"/>
          <w:szCs w:val="20"/>
          <w:b w:val="1"/>
          <w:bCs w:val="1"/>
          <w:color w:val="auto"/>
        </w:rPr>
        <w:t>AUA”</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high-net-worth</w:t>
      </w:r>
      <w:r>
        <w:rPr>
          <w:rFonts w:ascii="Times New Roman" w:cs="Times New Roman" w:eastAsia="Times New Roman" w:hAnsi="Times New Roman"/>
          <w:sz w:val="20"/>
          <w:szCs w:val="20"/>
          <w:color w:val="auto"/>
        </w:rPr>
        <w:t>” individuals refer to individuals with net worth of over $5 million, excluding primary residence;</w:t>
      </w:r>
    </w:p>
    <w:p>
      <w:pPr>
        <w:spacing w:after="0" w:line="215" w:lineRule="exact"/>
        <w:rPr>
          <w:rFonts w:ascii="Times New Roman" w:cs="Times New Roman" w:eastAsia="Times New Roman" w:hAnsi="Times New Roman"/>
          <w:sz w:val="20"/>
          <w:szCs w:val="20"/>
          <w:color w:val="auto"/>
        </w:rPr>
      </w:pPr>
    </w:p>
    <w:p>
      <w:pPr>
        <w:ind w:left="660" w:right="22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mass affluent</w:t>
      </w:r>
      <w:r>
        <w:rPr>
          <w:rFonts w:ascii="Times New Roman" w:cs="Times New Roman" w:eastAsia="Times New Roman" w:hAnsi="Times New Roman"/>
          <w:sz w:val="20"/>
          <w:szCs w:val="20"/>
          <w:color w:val="auto"/>
        </w:rPr>
        <w:t>” individuals refer to individuals with annual income over $200,000 or net worth between $1 million and $5 million, excluding primary residence; and</w:t>
      </w:r>
    </w:p>
    <w:p>
      <w:pPr>
        <w:spacing w:after="0" w:line="138" w:lineRule="exact"/>
        <w:rPr>
          <w:rFonts w:ascii="Times New Roman" w:cs="Times New Roman" w:eastAsia="Times New Roman" w:hAnsi="Times New Roman"/>
          <w:sz w:val="20"/>
          <w:szCs w:val="20"/>
          <w:color w:val="auto"/>
        </w:rPr>
      </w:pPr>
    </w:p>
    <w:p>
      <w:pPr>
        <w:ind w:left="660" w:right="10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Consolidated Funds</w:t>
      </w:r>
      <w:r>
        <w:rPr>
          <w:rFonts w:ascii="Times New Roman" w:cs="Times New Roman" w:eastAsia="Times New Roman" w:hAnsi="Times New Roman"/>
          <w:sz w:val="20"/>
          <w:szCs w:val="20"/>
          <w:color w:val="auto"/>
        </w:rPr>
        <w:t>” refer to the StepStone Funds that we are required to consolidate as of the applicable reporting period.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TRADEMARKS, SERVICE MARKS AND TRADE NAMES</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2022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0" w:type="dxa"/>
            <w:vAlign w:val="bottom"/>
          </w:tcPr>
          <w:p>
            <w:pPr>
              <w:spacing w:after="0"/>
              <w:rPr>
                <w:sz w:val="1"/>
                <w:szCs w:val="1"/>
                <w:color w:val="auto"/>
              </w:rPr>
            </w:pPr>
          </w:p>
        </w:tc>
      </w:tr>
      <w:tr>
        <w:trPr>
          <w:trHeight w:val="16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120,093</w:t>
            </w:r>
          </w:p>
        </w:tc>
        <w:tc>
          <w:tcPr>
            <w:tcW w:w="4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116,386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and accounts receivable</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42,769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34,141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35,749</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19,369</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in funds</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109,102</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107,045</w:t>
            </w:r>
          </w:p>
        </w:tc>
        <w:tc>
          <w:tcPr>
            <w:tcW w:w="0" w:type="dxa"/>
            <w:vAlign w:val="bottom"/>
          </w:tcPr>
          <w:p>
            <w:pPr>
              <w:spacing w:after="0"/>
              <w:rPr>
                <w:sz w:val="1"/>
                <w:szCs w:val="1"/>
                <w:color w:val="auto"/>
              </w:rPr>
            </w:pPr>
          </w:p>
        </w:tc>
      </w:tr>
      <w:tr>
        <w:trPr>
          <w:trHeight w:val="170"/>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carried interest allocations</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1,126,386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1,480,515</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investments in funds and accrued carried interest allocations</w:t>
            </w:r>
            <w:r>
              <w:rPr>
                <w:rFonts w:ascii="Times New Roman" w:cs="Times New Roman" w:eastAsia="Times New Roman" w:hAnsi="Times New Roman"/>
                <w:sz w:val="16"/>
                <w:szCs w:val="16"/>
                <w:color w:val="auto"/>
                <w:vertAlign w:val="superscript"/>
              </w:rPr>
              <w:t>(1)</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888,872</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1,334,581</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49,245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27,866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right-of-use assets, net</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104,767</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61,065</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 and receivables</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44,013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27,426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Intangibles, net</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365,515</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398,126</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Assets of Consolidated Funds:</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14,312</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4"/>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3,503,142</w:t>
            </w:r>
          </w:p>
        </w:tc>
        <w:tc>
          <w:tcPr>
            <w:tcW w:w="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4,188,125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83,659</w:t>
            </w:r>
          </w:p>
        </w:tc>
        <w:tc>
          <w:tcPr>
            <w:tcW w:w="480" w:type="dxa"/>
            <w:vAlign w:val="bottom"/>
            <w:gridSpan w:val="3"/>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80,541</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78,925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39,966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carried interest-related compensation</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597,298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769,988</w:t>
            </w:r>
          </w:p>
        </w:tc>
        <w:tc>
          <w:tcPr>
            <w:tcW w:w="0" w:type="dxa"/>
            <w:vAlign w:val="bottom"/>
          </w:tcPr>
          <w:p>
            <w:pPr>
              <w:spacing w:after="0"/>
              <w:rPr>
                <w:sz w:val="1"/>
                <w:szCs w:val="1"/>
                <w:color w:val="auto"/>
              </w:rPr>
            </w:pPr>
          </w:p>
        </w:tc>
      </w:tr>
      <w:tr>
        <w:trPr>
          <w:trHeight w:val="175"/>
        </w:trPr>
        <w:tc>
          <w:tcPr>
            <w:tcW w:w="81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accrued carried interest-related compensation</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723,527</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1,140,101</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201,352</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199,355</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124,318</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70,965</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obligations</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83,233</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62,879</w:t>
            </w:r>
          </w:p>
        </w:tc>
        <w:tc>
          <w:tcPr>
            <w:tcW w:w="0" w:type="dxa"/>
            <w:vAlign w:val="bottom"/>
          </w:tcPr>
          <w:p>
            <w:pPr>
              <w:spacing w:after="0"/>
              <w:rPr>
                <w:sz w:val="1"/>
                <w:szCs w:val="1"/>
                <w:color w:val="auto"/>
              </w:rPr>
            </w:pPr>
          </w:p>
        </w:tc>
      </w:tr>
      <w:tr>
        <w:trPr>
          <w:trHeight w:val="171"/>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Liabilities of Consolidated Funds:</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liabilities</w:t>
            </w: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814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1,892,959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2,363,795</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15)</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Consolidated Funds</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1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Class A common stock, $0.001 par value, 650,000,000 authorized; 62,772,922 and 61,141,306 issued and outstanding as of December 31, 2022 and March 31,</w:t>
            </w: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2022, respectively</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30"/>
        </w:trPr>
        <w:tc>
          <w:tcPr>
            <w:tcW w:w="81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8"/>
              </w:rPr>
              <w:t>Class B common stock, $0.001 par value, 125,000,000 authorized; 46,420,141 and 47,149,673 issued and outstanding as of December 31, 2022 and March 31,</w:t>
            </w: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2022, respectively</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606,497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587,243</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144,500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229,615</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StepStone Group Inc. stockholders’ equity</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751,716</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817,625</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interests in subsidiaries</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34,311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32,063</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Non-controlling interests in legacy Greenspring entities</w:t>
            </w:r>
            <w:r>
              <w:rPr>
                <w:rFonts w:ascii="Times New Roman" w:cs="Times New Roman" w:eastAsia="Times New Roman" w:hAnsi="Times New Roman"/>
                <w:sz w:val="16"/>
                <w:szCs w:val="16"/>
                <w:color w:val="auto"/>
                <w:vertAlign w:val="superscript"/>
              </w:rPr>
              <w:t>(1)</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165,345</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194,480</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Non-controlling interests in the Partnership</w:t>
            </w: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653,845</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780,162</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1,605,217</w:t>
            </w: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1,824,330</w:t>
            </w:r>
          </w:p>
        </w:tc>
        <w:tc>
          <w:tcPr>
            <w:tcW w:w="0" w:type="dxa"/>
            <w:vAlign w:val="bottom"/>
          </w:tcPr>
          <w:p>
            <w:pPr>
              <w:spacing w:after="0"/>
              <w:rPr>
                <w:sz w:val="1"/>
                <w:szCs w:val="1"/>
                <w:color w:val="auto"/>
              </w:rPr>
            </w:pPr>
          </w:p>
        </w:tc>
      </w:tr>
      <w:tr>
        <w:trPr>
          <w:trHeight w:val="163"/>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3,503,142</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4,188,125</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amounts attributable to consolidated VIEs for which the Company did not acquire any direct economic interests. See notes 5 and 14 for more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ind w:left="504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78" w:lineRule="exact"/>
        <w:rPr>
          <w:sz w:val="20"/>
          <w:szCs w:val="20"/>
          <w:color w:val="auto"/>
        </w:rPr>
      </w:pPr>
    </w:p>
    <w:p>
      <w:pPr>
        <w:ind w:right="460" w:firstLine="648"/>
        <w:spacing w:after="0" w:line="269" w:lineRule="auto"/>
        <w:rPr>
          <w:sz w:val="20"/>
          <w:szCs w:val="20"/>
          <w:color w:val="auto"/>
        </w:rPr>
      </w:pPr>
      <w:r>
        <w:rPr>
          <w:rFonts w:ascii="Times New Roman" w:cs="Times New Roman" w:eastAsia="Times New Roman" w:hAnsi="Times New Roman"/>
          <w:sz w:val="20"/>
          <w:szCs w:val="20"/>
          <w:color w:val="auto"/>
        </w:rPr>
        <w:t>The following presents the portion of the condensed consolidated balances presented above attributable to consolidated variable interest entities.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34,695</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19,386</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22,808</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888,872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1,334,581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1,057,176</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1,435,245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accrued carried interest-related compensation</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723,527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1,140,101</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17,593</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787,378</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1,181,238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 (Loss)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280" w:type="dxa"/>
            <w:vAlign w:val="bottom"/>
          </w:tcPr>
          <w:p>
            <w:pPr>
              <w:spacing w:after="0"/>
              <w:rPr>
                <w:sz w:val="15"/>
                <w:szCs w:val="15"/>
                <w:color w:val="auto"/>
              </w:rPr>
            </w:pPr>
          </w:p>
        </w:tc>
        <w:tc>
          <w:tcPr>
            <w:tcW w:w="2480" w:type="dxa"/>
            <w:vAlign w:val="bottom"/>
            <w:gridSpan w:val="4"/>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r>
      <w:tr>
        <w:trPr>
          <w:trHeight w:val="171"/>
        </w:trPr>
        <w:tc>
          <w:tcPr>
            <w:tcW w:w="54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4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0"/>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128,753</w:t>
            </w:r>
          </w:p>
        </w:tc>
        <w:tc>
          <w:tcPr>
            <w:tcW w:w="24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106,384</w:t>
            </w:r>
          </w:p>
        </w:tc>
        <w:tc>
          <w:tcPr>
            <w:tcW w:w="24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364,606</w:t>
            </w:r>
          </w:p>
        </w:tc>
        <w:tc>
          <w:tcPr>
            <w:tcW w:w="24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268,028</w:t>
            </w:r>
          </w:p>
        </w:tc>
      </w:tr>
      <w:tr>
        <w:trPr>
          <w:trHeight w:val="18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0"/>
        </w:trPr>
        <w:tc>
          <w:tcPr>
            <w:tcW w:w="5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Incentive fees</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6,005</w:t>
            </w:r>
          </w:p>
        </w:tc>
      </w:tr>
      <w:tr>
        <w:trPr>
          <w:trHeight w:val="181"/>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0"/>
        </w:trPr>
        <w:tc>
          <w:tcPr>
            <w:tcW w:w="54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Realized</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66,559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112,396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169,053</w:t>
            </w:r>
          </w:p>
        </w:tc>
      </w:tr>
      <w:tr>
        <w:trPr>
          <w:trHeight w:val="181"/>
        </w:trPr>
        <w:tc>
          <w:tcPr>
            <w:tcW w:w="5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Unrealized</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(63,367)</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132,535</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(354,095)</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452,789</w:t>
            </w:r>
          </w:p>
        </w:tc>
      </w:tr>
      <w:tr>
        <w:trPr>
          <w:trHeight w:val="163"/>
        </w:trPr>
        <w:tc>
          <w:tcPr>
            <w:tcW w:w="5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(47,047)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199,094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(241,699)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621,842</w:t>
            </w:r>
          </w:p>
        </w:tc>
      </w:tr>
      <w:tr>
        <w:trPr>
          <w:trHeight w:val="181"/>
        </w:trPr>
        <w:tc>
          <w:tcPr>
            <w:tcW w:w="540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(88,921)</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104,960</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(371,200)</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104,960</w:t>
            </w:r>
          </w:p>
        </w:tc>
      </w:tr>
      <w:tr>
        <w:trPr>
          <w:trHeight w:val="163"/>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revenues</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(4,235)</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410,465</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(239,948)</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1,000,835</w:t>
            </w:r>
          </w:p>
        </w:tc>
      </w:tr>
      <w:tr>
        <w:trPr>
          <w:trHeight w:val="16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0"/>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1"/>
        </w:trPr>
        <w:tc>
          <w:tcPr>
            <w:tcW w:w="5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62,628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51,665</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182,190</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138,217</w:t>
            </w:r>
          </w:p>
        </w:tc>
      </w:tr>
      <w:tr>
        <w:trPr>
          <w:trHeight w:val="170"/>
        </w:trPr>
        <w:tc>
          <w:tcPr>
            <w:tcW w:w="54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10,363</w:t>
            </w:r>
          </w:p>
        </w:tc>
      </w:tr>
      <w:tr>
        <w:trPr>
          <w:trHeight w:val="181"/>
        </w:trPr>
        <w:tc>
          <w:tcPr>
            <w:tcW w:w="5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0"/>
        </w:trPr>
        <w:tc>
          <w:tcPr>
            <w:tcW w:w="540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34,033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67,091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86,122</w:t>
            </w:r>
          </w:p>
        </w:tc>
      </w:tr>
      <w:tr>
        <w:trPr>
          <w:trHeight w:val="181"/>
        </w:trPr>
        <w:tc>
          <w:tcPr>
            <w:tcW w:w="54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(31,875)</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68,368</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(172,554)</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228,146</w:t>
            </w:r>
          </w:p>
        </w:tc>
      </w:tr>
      <w:tr>
        <w:trPr>
          <w:trHeight w:val="163"/>
        </w:trPr>
        <w:tc>
          <w:tcPr>
            <w:tcW w:w="54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102,401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(105,463)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314,268</w:t>
            </w:r>
          </w:p>
        </w:tc>
      </w:tr>
      <w:tr>
        <w:trPr>
          <w:trHeight w:val="181"/>
        </w:trPr>
        <w:tc>
          <w:tcPr>
            <w:tcW w:w="5400" w:type="dxa"/>
            <w:vAlign w:val="bottom"/>
            <w:shd w:val="clear" w:color="auto" w:fill="CCEEFF"/>
          </w:tcPr>
          <w:p>
            <w:pPr>
              <w:ind w:left="400"/>
              <w:spacing w:after="0" w:line="181" w:lineRule="exact"/>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(88,921)</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104,960</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(371,200)</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104,960</w:t>
            </w:r>
          </w:p>
        </w:tc>
      </w:tr>
      <w:tr>
        <w:trPr>
          <w:trHeight w:val="163"/>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(38,334)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262,433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(278,868)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567,808</w:t>
            </w:r>
          </w:p>
        </w:tc>
      </w:tr>
      <w:tr>
        <w:trPr>
          <w:trHeight w:val="18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43,582</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30,299</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111,547</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72,049</w:t>
            </w:r>
          </w:p>
        </w:tc>
      </w:tr>
      <w:tr>
        <w:trPr>
          <w:trHeight w:val="163"/>
        </w:trPr>
        <w:tc>
          <w:tcPr>
            <w:tcW w:w="5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Total expenses</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5,248</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292,732</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(167,321)</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639,857</w:t>
            </w:r>
          </w:p>
        </w:tc>
      </w:tr>
      <w:tr>
        <w:trPr>
          <w:trHeight w:val="16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0"/>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 (loss)</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20,841</w:t>
            </w:r>
          </w:p>
        </w:tc>
      </w:tr>
      <w:tr>
        <w:trPr>
          <w:trHeight w:val="181"/>
        </w:trPr>
        <w:tc>
          <w:tcPr>
            <w:tcW w:w="5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Legacy Greenspring investment income (loss)</w:t>
            </w:r>
            <w:r>
              <w:rPr>
                <w:rFonts w:ascii="Times New Roman" w:cs="Times New Roman" w:eastAsia="Times New Roman" w:hAnsi="Times New Roman"/>
                <w:sz w:val="16"/>
                <w:szCs w:val="16"/>
                <w:color w:val="auto"/>
                <w:vertAlign w:val="superscript"/>
              </w:rPr>
              <w:t>(1)</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(8,966)</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17,890</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(32,927)</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17,890</w:t>
            </w:r>
          </w:p>
        </w:tc>
      </w:tr>
      <w:tr>
        <w:trPr>
          <w:trHeight w:val="170"/>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r>
      <w:tr>
        <w:trPr>
          <w:trHeight w:val="170"/>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r>
      <w:tr>
        <w:trPr>
          <w:trHeight w:val="18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(loss)</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(2,662)</w:t>
            </w:r>
          </w:p>
        </w:tc>
      </w:tr>
      <w:tr>
        <w:trPr>
          <w:trHeight w:val="163"/>
        </w:trPr>
        <w:tc>
          <w:tcPr>
            <w:tcW w:w="5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Total other income (expense)</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(4,804)</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24,347</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(36,332)</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35,761</w:t>
            </w:r>
          </w:p>
        </w:tc>
      </w:tr>
      <w:tr>
        <w:trPr>
          <w:trHeight w:val="17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(14,287)</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142,080</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(108,959)</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396,739</w:t>
            </w:r>
          </w:p>
        </w:tc>
      </w:tr>
      <w:tr>
        <w:trPr>
          <w:trHeight w:val="17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15,787</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(6,868)</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16,065</w:t>
            </w:r>
          </w:p>
        </w:tc>
      </w:tr>
      <w:tr>
        <w:trPr>
          <w:trHeight w:val="17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(13,555)</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126,293</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(102,091)</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380,674</w:t>
            </w:r>
          </w:p>
        </w:tc>
      </w:tr>
      <w:tr>
        <w:trPr>
          <w:trHeight w:val="170"/>
        </w:trPr>
        <w:tc>
          <w:tcPr>
            <w:tcW w:w="54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18,737</w:t>
            </w:r>
          </w:p>
        </w:tc>
      </w:tr>
      <w:tr>
        <w:trPr>
          <w:trHeight w:val="181"/>
        </w:trPr>
        <w:tc>
          <w:tcPr>
            <w:tcW w:w="5400" w:type="dxa"/>
            <w:vAlign w:val="bottom"/>
            <w:shd w:val="clear" w:color="auto" w:fill="CCEEFF"/>
          </w:tcPr>
          <w:p>
            <w:pPr>
              <w:ind w:left="400"/>
              <w:spacing w:after="0" w:line="181" w:lineRule="exact"/>
              <w:rPr>
                <w:sz w:val="20"/>
                <w:szCs w:val="20"/>
                <w:color w:val="auto"/>
              </w:rPr>
            </w:pPr>
            <w:r>
              <w:rPr>
                <w:rFonts w:ascii="Times New Roman" w:cs="Times New Roman" w:eastAsia="Times New Roman" w:hAnsi="Times New Roman"/>
                <w:sz w:val="13"/>
                <w:szCs w:val="13"/>
                <w:color w:val="auto"/>
                <w:w w:val="99"/>
              </w:rPr>
              <w:t>Less: Net income (loss) attributable to non-controlling interests in legacy Greenspring entities</w:t>
            </w:r>
            <w:r>
              <w:rPr>
                <w:rFonts w:ascii="Times New Roman" w:cs="Times New Roman" w:eastAsia="Times New Roman" w:hAnsi="Times New Roman"/>
                <w:sz w:val="16"/>
                <w:szCs w:val="16"/>
                <w:color w:val="auto"/>
                <w:w w:val="99"/>
                <w:vertAlign w:val="superscript"/>
              </w:rPr>
              <w:t>(1)</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(8,966)</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17,890</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(32,927)</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17,890</w:t>
            </w:r>
          </w:p>
        </w:tc>
      </w:tr>
      <w:tr>
        <w:trPr>
          <w:trHeight w:val="170"/>
        </w:trPr>
        <w:tc>
          <w:tcPr>
            <w:tcW w:w="54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 in the Partnership</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52,966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(48,192)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191,977</w:t>
            </w:r>
          </w:p>
        </w:tc>
      </w:tr>
      <w:tr>
        <w:trPr>
          <w:trHeight w:val="175"/>
        </w:trPr>
        <w:tc>
          <w:tcPr>
            <w:tcW w:w="5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Consolidated Funds</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StepStone Group Inc.</w:t>
            </w: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(6,938)</w:t>
            </w:r>
          </w:p>
        </w:tc>
        <w:tc>
          <w:tcPr>
            <w:tcW w:w="2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48,346</w:t>
            </w:r>
          </w:p>
        </w:tc>
        <w:tc>
          <w:tcPr>
            <w:tcW w:w="24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(47,199)</w:t>
            </w:r>
          </w:p>
        </w:tc>
        <w:tc>
          <w:tcPr>
            <w:tcW w:w="2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152,070</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3"/>
        </w:trPr>
        <w:tc>
          <w:tcPr>
            <w:tcW w:w="54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Net income (loss) per share of Class A common stock:</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70"/>
        </w:trPr>
        <w:tc>
          <w:tcPr>
            <w:tcW w:w="54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24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0.84</w:t>
            </w:r>
          </w:p>
        </w:tc>
        <w:tc>
          <w:tcPr>
            <w:tcW w:w="24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24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r>
      <w:tr>
        <w:trPr>
          <w:trHeight w:val="181"/>
        </w:trPr>
        <w:tc>
          <w:tcPr>
            <w:tcW w:w="5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0.83</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r>
      <w:tr>
        <w:trPr>
          <w:trHeight w:val="170"/>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shares of Class A common stock:</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1"/>
        </w:trPr>
        <w:tc>
          <w:tcPr>
            <w:tcW w:w="5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62,192,899</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57,875,758</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61,583,215</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46,247,353</w:t>
            </w:r>
          </w:p>
        </w:tc>
      </w:tr>
      <w:tr>
        <w:trPr>
          <w:trHeight w:val="164"/>
        </w:trPr>
        <w:tc>
          <w:tcPr>
            <w:tcW w:w="54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62,192,899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61,483,233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61,583,215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50,118,482</w:t>
            </w:r>
          </w:p>
        </w:tc>
      </w:tr>
    </w:tbl>
    <w:p>
      <w:pPr>
        <w:spacing w:after="0" w:line="20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amounts attributable to consolidated VIEs for which the Company did not acquire any direct economic interests. See notes 3, 5 and 14 for more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Comprehensive Income (Loss)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1"/>
        </w:trPr>
        <w:tc>
          <w:tcPr>
            <w:tcW w:w="5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380,674</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before non-controlling interests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380,910</w:t>
            </w:r>
          </w:p>
        </w:tc>
      </w:tr>
    </w:tbl>
    <w:p>
      <w:pPr>
        <w:spacing w:after="0" w:line="1" w:lineRule="exact"/>
        <w:rPr>
          <w:sz w:val="20"/>
          <w:szCs w:val="20"/>
          <w:color w:val="auto"/>
        </w:rPr>
      </w:pPr>
    </w:p>
    <w:p>
      <w:pPr>
        <w:sectPr>
          <w:pgSz w:w="11900" w:h="16838" w:orient="portrait"/>
          <w:cols w:equalWidth="0" w:num="1">
            <w:col w:w="11240"/>
          </w:cols>
          <w:pgMar w:left="320" w:top="114" w:right="339" w:bottom="1440" w:gutter="0" w:footer="0" w:header="0"/>
        </w:sectPr>
      </w:pPr>
    </w:p>
    <w:p>
      <w:pPr>
        <w:ind w:left="560" w:right="120" w:hanging="161"/>
        <w:spacing w:after="0" w:line="234" w:lineRule="auto"/>
        <w:rPr>
          <w:sz w:val="20"/>
          <w:szCs w:val="20"/>
          <w:color w:val="auto"/>
        </w:rPr>
      </w:pPr>
      <w:r>
        <w:rPr>
          <w:rFonts w:ascii="Times New Roman" w:cs="Times New Roman" w:eastAsia="Times New Roman" w:hAnsi="Times New Roman"/>
          <w:sz w:val="18"/>
          <w:szCs w:val="18"/>
          <w:color w:val="auto"/>
        </w:rPr>
        <w:t>Less: Comprehensive income attributable to non-controlling interests in subsidiaries</w:t>
      </w:r>
    </w:p>
    <w:p>
      <w:pPr>
        <w:spacing w:after="0" w:line="10" w:lineRule="exact"/>
        <w:rPr>
          <w:sz w:val="20"/>
          <w:szCs w:val="20"/>
          <w:color w:val="auto"/>
        </w:rPr>
      </w:pPr>
    </w:p>
    <w:p>
      <w:pPr>
        <w:ind w:left="560" w:right="500" w:hanging="161"/>
        <w:spacing w:after="0" w:line="237" w:lineRule="auto"/>
        <w:rPr>
          <w:sz w:val="20"/>
          <w:szCs w:val="20"/>
          <w:color w:val="auto"/>
        </w:rPr>
      </w:pPr>
      <w:r>
        <w:rPr>
          <w:rFonts w:ascii="Times New Roman" w:cs="Times New Roman" w:eastAsia="Times New Roman" w:hAnsi="Times New Roman"/>
          <w:sz w:val="18"/>
          <w:szCs w:val="18"/>
          <w:color w:val="auto"/>
        </w:rPr>
        <w:t>Less: Comprehensive income (loss) attributable to non-controlling interests in legacy Greenspring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560" w:right="500" w:hanging="161"/>
        <w:spacing w:after="0" w:line="237" w:lineRule="auto"/>
        <w:rPr>
          <w:sz w:val="20"/>
          <w:szCs w:val="20"/>
          <w:color w:val="auto"/>
        </w:rPr>
      </w:pPr>
      <w:r>
        <w:rPr>
          <w:rFonts w:ascii="Times New Roman" w:cs="Times New Roman" w:eastAsia="Times New Roman" w:hAnsi="Times New Roman"/>
          <w:sz w:val="18"/>
          <w:szCs w:val="18"/>
          <w:color w:val="auto"/>
        </w:rPr>
        <w:t>Less: Comprehensive income (loss) attributable to non-controlling interests in the Partnership</w:t>
      </w:r>
    </w:p>
    <w:p>
      <w:pPr>
        <w:spacing w:after="0" w:line="10" w:lineRule="exact"/>
        <w:rPr>
          <w:sz w:val="20"/>
          <w:szCs w:val="20"/>
          <w:color w:val="auto"/>
        </w:rPr>
      </w:pPr>
    </w:p>
    <w:p>
      <w:pPr>
        <w:ind w:left="560" w:right="860" w:hanging="161"/>
        <w:spacing w:after="0" w:line="237" w:lineRule="auto"/>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 Consolidated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Comprehensive income (loss) attributable to StepStone Group Inc.</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9,457</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18,856</w:t>
            </w:r>
          </w:p>
        </w:tc>
      </w:tr>
      <w:tr>
        <w:trPr>
          <w:trHeight w:val="418"/>
        </w:trPr>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(8,966)</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(32,927)</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17,890</w:t>
            </w:r>
          </w:p>
        </w:tc>
      </w:tr>
      <w:tr>
        <w:trPr>
          <w:trHeight w:val="418"/>
        </w:trPr>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(7,671)</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52,925</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192,049</w:t>
            </w:r>
          </w:p>
        </w:tc>
      </w:tr>
      <w:tr>
        <w:trPr>
          <w:trHeight w:val="418"/>
        </w:trPr>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391</w:t>
            </w:r>
          </w:p>
        </w:tc>
        <w:tc>
          <w:tcPr>
            <w:tcW w:w="40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(7,006)</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48,309</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(47,250)</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152,115</w:t>
            </w:r>
          </w:p>
        </w:tc>
      </w:tr>
      <w:tr>
        <w:trPr>
          <w:trHeight w:val="20"/>
        </w:trPr>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-33655</wp:posOffset>
            </wp:positionV>
            <wp:extent cx="796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-7620</wp:posOffset>
            </wp:positionV>
            <wp:extent cx="796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-187960</wp:posOffset>
            </wp:positionV>
            <wp:extent cx="7969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600"/>
            <w:col w:w="4940"/>
          </w:cols>
          <w:pgMar w:left="320" w:top="114"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4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4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Legacy</w:t>
            </w: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4"/>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Entities</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Partnership</w:t>
            </w: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September 30, 2022</w:t>
            </w: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596,355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164,044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28,922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173,443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677,565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1,641,109</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9,575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(13,946)</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2,011</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2,259</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1,797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4,308</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(14,352)</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(12,606)</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and Class C units for Class A</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w w:val="99"/>
              </w:rPr>
              <w:t>common stock and redemption of corresponding Class</w:t>
            </w:r>
          </w:p>
        </w:tc>
        <w:tc>
          <w:tcPr>
            <w:tcW w:w="14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B common shares</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8,950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(8,958)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transactions affecting</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ownership in the Partnership, including net amounts</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payable under Tax Receivable Agreements</w:t>
            </w:r>
            <w:r>
              <w:rPr>
                <w:rFonts w:ascii="Times New Roman" w:cs="Times New Roman" w:eastAsia="Times New Roman" w:hAnsi="Times New Roman"/>
                <w:sz w:val="14"/>
                <w:szCs w:val="14"/>
                <w:color w:val="auto"/>
                <w:vertAlign w:val="superscript"/>
              </w:rPr>
              <w:t>(1)</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2022</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606,497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144,500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34,311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165,345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653,845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1,605,217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2022</w:t>
            </w: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587,243</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229,615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32,063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194,480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780,162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1,824,330</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25,836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(102,482)</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10,634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10,813</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6,385</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5,160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11,805</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(93,999)</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(37,916)</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Vesting of RSUs, net of shares withheld for employee</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(1,504)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(1,203)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taxes</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and Class C units for Class A</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w w:val="99"/>
              </w:rPr>
              <w:t>common stock and redemption of corresponding Class</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B common shares</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18,821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(18,825)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transactions affecting</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rPr>
              <w:t>ownership in the Partnership, including net amounts</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(4,447)</w:t>
            </w: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payable under Tax Receivable Agreements</w:t>
            </w:r>
            <w:r>
              <w:rPr>
                <w:rFonts w:ascii="Times New Roman" w:cs="Times New Roman" w:eastAsia="Times New Roman" w:hAnsi="Times New Roman"/>
                <w:sz w:val="14"/>
                <w:szCs w:val="14"/>
                <w:color w:val="auto"/>
                <w:vertAlign w:val="superscript"/>
              </w:rPr>
              <w:t>(1)</w:t>
            </w: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2022</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606,497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144,500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34,311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165,345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653,845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1,605,217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10, 13 and 14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2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Class A Common</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Class B Common</w:t>
            </w: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40" w:type="dxa"/>
            <w:vAlign w:val="bottom"/>
          </w:tcPr>
          <w:p>
            <w:pPr>
              <w:spacing w:after="0"/>
              <w:rPr>
                <w:sz w:val="9"/>
                <w:szCs w:val="9"/>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5"/>
              </w:rPr>
              <w:t>Legacy</w:t>
            </w:r>
          </w:p>
        </w:tc>
        <w:tc>
          <w:tcPr>
            <w:tcW w:w="9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4"/>
              </w:rPr>
              <w:t>Interests in</w:t>
            </w: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in Capital</w:t>
            </w:r>
          </w:p>
        </w:tc>
        <w:tc>
          <w:tcPr>
            <w:tcW w:w="1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Entities</w:t>
            </w:r>
          </w:p>
        </w:tc>
        <w:tc>
          <w:tcPr>
            <w:tcW w:w="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Partnership</w:t>
            </w: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September 30, 2021</w:t>
            </w: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525,118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158,131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24,558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219,086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804,483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1,731,753</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48,346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7,091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52,966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126,293</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9,164</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1,771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1,632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3,407</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(23,278)</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(9,255)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(9,255)</w:t>
            </w:r>
          </w:p>
        </w:tc>
        <w:tc>
          <w:tcPr>
            <w:tcW w:w="0" w:type="dxa"/>
            <w:vAlign w:val="bottom"/>
          </w:tcPr>
          <w:p>
            <w:pPr>
              <w:spacing w:after="0"/>
              <w:rPr>
                <w:sz w:val="1"/>
                <w:szCs w:val="1"/>
                <w:color w:val="auto"/>
              </w:rPr>
            </w:pPr>
          </w:p>
        </w:tc>
      </w:tr>
      <w:tr>
        <w:trPr>
          <w:trHeight w:val="108"/>
        </w:trPr>
        <w:tc>
          <w:tcPr>
            <w:tcW w:w="250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w w:val="99"/>
              </w:rPr>
              <w:t>Exchange of Class B units for Class A common stock</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w w:val="99"/>
              </w:rPr>
              <w:t>and redemption of corresponding Class B common</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0"/>
        </w:trPr>
        <w:tc>
          <w:tcPr>
            <w:tcW w:w="25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shares</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Deferred offering costs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0" w:type="dxa"/>
            <w:vAlign w:val="bottom"/>
          </w:tcPr>
          <w:p>
            <w:pPr>
              <w:spacing w:after="0"/>
              <w:rPr>
                <w:sz w:val="1"/>
                <w:szCs w:val="1"/>
                <w:color w:val="auto"/>
              </w:rPr>
            </w:pPr>
          </w:p>
        </w:tc>
      </w:tr>
      <w:tr>
        <w:trPr>
          <w:trHeight w:val="108"/>
        </w:trPr>
        <w:tc>
          <w:tcPr>
            <w:tcW w:w="250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70,808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(70,827)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5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transactions</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rPr>
              <w:t>affecting ownership in the Partnership, including</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rPr>
              <w:t>net amounts payable under Tax Receivable</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(19,217)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(19,217)</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Agreements</w:t>
            </w:r>
            <w:r>
              <w:rPr>
                <w:rFonts w:ascii="Times New Roman" w:cs="Times New Roman" w:eastAsia="Times New Roman" w:hAnsi="Times New Roman"/>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2021</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578,118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197,222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28,571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241,493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772,291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1,818,054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2021</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188,751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60,407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25,885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384,400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659,693</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152,070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18,737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191,977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380,674</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236</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9,206</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4,702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5,653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10,363</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(58,898)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(79,112)</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Purchase of non-controlling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(3,046)</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(15,255)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(15,255)</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Vesting of RSUs</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50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Class A common stock issued for Greenspring</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267,842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290,744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558,599</w:t>
            </w:r>
          </w:p>
        </w:tc>
        <w:tc>
          <w:tcPr>
            <w:tcW w:w="0" w:type="dxa"/>
            <w:vAlign w:val="bottom"/>
          </w:tcPr>
          <w:p>
            <w:pPr>
              <w:spacing w:after="0"/>
              <w:rPr>
                <w:sz w:val="1"/>
                <w:szCs w:val="1"/>
                <w:color w:val="auto"/>
              </w:rPr>
            </w:pPr>
          </w:p>
        </w:tc>
      </w:tr>
      <w:tr>
        <w:trPr>
          <w:trHeight w:val="140"/>
        </w:trPr>
        <w:tc>
          <w:tcPr>
            <w:tcW w:w="25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acquisition</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Class C Partnership units issued for Greenspring</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64,847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70,392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135,239</w:t>
            </w: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acquisition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w w:val="99"/>
              </w:rPr>
              <w:t>Exchange of Class B units for Class A common stock</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w w:val="99"/>
              </w:rPr>
              <w:t>and redemption of corresponding Class B common</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40"/>
        </w:trPr>
        <w:tc>
          <w:tcPr>
            <w:tcW w:w="25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shares</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Initial consolidation of legacy Greenspring general</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219,086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219,086</w:t>
            </w: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partner entities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Deferred offering costs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109,967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914</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(110,931)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transactions</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affecting ownership in the Partnership, including</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net amounts payable under Tax Receivable</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(56,967)</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(56,967)</w:t>
            </w:r>
          </w:p>
        </w:tc>
        <w:tc>
          <w:tcPr>
            <w:tcW w:w="0" w:type="dxa"/>
            <w:vAlign w:val="bottom"/>
          </w:tcPr>
          <w:p>
            <w:pPr>
              <w:spacing w:after="0"/>
              <w:rPr>
                <w:sz w:val="1"/>
                <w:szCs w:val="1"/>
                <w:color w:val="auto"/>
              </w:rPr>
            </w:pPr>
          </w:p>
        </w:tc>
      </w:tr>
      <w:tr>
        <w:trPr>
          <w:trHeight w:val="162"/>
        </w:trPr>
        <w:tc>
          <w:tcPr>
            <w:tcW w:w="25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Agreements</w:t>
            </w:r>
            <w:r>
              <w:rPr>
                <w:rFonts w:ascii="Times New Roman" w:cs="Times New Roman" w:eastAsia="Times New Roman" w:hAnsi="Times New Roman"/>
                <w:sz w:val="14"/>
                <w:szCs w:val="14"/>
                <w:color w:val="auto"/>
                <w:vertAlign w:val="superscript"/>
              </w:rPr>
              <w:t>(1)</w:t>
            </w: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2021</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578,118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197,222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28,571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241,493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772,291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1,818,054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10, 13 and 14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1"/>
        </w:trPr>
        <w:tc>
          <w:tcPr>
            <w:tcW w:w="7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(102,091)</w:t>
            </w:r>
          </w:p>
        </w:tc>
        <w:tc>
          <w:tcPr>
            <w:tcW w:w="2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380,674</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15,289</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carried interest allocations and investment (income) loss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364,314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(466,962)</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legacy Greenspring carried interest allocations and investment (income) loss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453,582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(94,714)</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performance fee-related compensation</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(172,554)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228,146</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legacy Greenspring performance fee-related compensation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(416,574)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80,376</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10,363</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deferred income taxes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10,216</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 for acquisition-related contingent consideration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remeasurement of lease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non-cash activities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Adjustments to reconcile net income (loss) to net cash provided by operating activities of Consolidated Funds: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investment income of Consolidated Funds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 of Consolidated Funds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Fees and accounts receivable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Due from affiliates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and receivables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6,808</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(6,777)</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26,075</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carried interest-related compensation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(5,636)</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Due to affiliates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 right-of-use assets, net and lease liabilities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 of Consolidated Funds: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assets and receivables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liabilities and payables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151,699</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181,978</w:t>
            </w:r>
          </w:p>
        </w:tc>
      </w:tr>
      <w:tr>
        <w:trPr>
          <w:trHeight w:val="19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to investments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(18,110)</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received from investments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to investments in legacy Greenspring entities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(9,141)</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received from investments in legacy Greenspring entities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Greenspring acquisition, net of cash acquired</w:t>
            </w:r>
          </w:p>
        </w:tc>
        <w:tc>
          <w:tcPr>
            <w:tcW w:w="30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(181,529)</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0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78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(23,412)</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(201,475)</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capital contributions from non-controlling interests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4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non-controlling interests</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24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revolving credit facility</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capital contributions to legacy Greenspring entities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 in legacy Greenspring entities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to common stockholders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employee taxes related to net settlement of RSUs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to related parties under Tax Receivable Agreements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 of Consolidated Funds: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Contributions from redeemable non-controlling interests in Consolidated Funds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(104,652)</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(27,073)</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(46,947)</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117,449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183,863</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141,031</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136,916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dividends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175"/>
        </w:trPr>
        <w:tc>
          <w:tcPr>
            <w:tcW w:w="78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Deferred tax effect resulting from transactions affecting ownership in the Partnership, including net</w:t>
            </w: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(56,967)</w:t>
            </w:r>
          </w:p>
        </w:tc>
        <w:tc>
          <w:tcPr>
            <w:tcW w:w="0" w:type="dxa"/>
            <w:vAlign w:val="bottom"/>
          </w:tcPr>
          <w:p>
            <w:pPr>
              <w:spacing w:after="0"/>
              <w:rPr>
                <w:sz w:val="1"/>
                <w:szCs w:val="1"/>
                <w:color w:val="auto"/>
              </w:rPr>
            </w:pPr>
          </w:p>
        </w:tc>
      </w:tr>
      <w:tr>
        <w:trPr>
          <w:trHeight w:val="149"/>
        </w:trPr>
        <w:tc>
          <w:tcPr>
            <w:tcW w:w="78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amounts payable under Tax Receivable Agreements</w:t>
            </w: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78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deferred offering costs</w:t>
            </w:r>
          </w:p>
        </w:tc>
        <w:tc>
          <w:tcPr>
            <w:tcW w:w="2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Establishment of lease liabilities in exchange for lease right-of-use assets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Remeasurement of lease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issued for Greenspring acquisition</w:t>
            </w:r>
          </w:p>
        </w:tc>
        <w:tc>
          <w:tcPr>
            <w:tcW w:w="24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558,598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C Partnership units issued for Greenspring acquisition</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135,239</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135,885</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of Consolidated Funds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141,031</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136,916</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Organization</w:t>
      </w:r>
    </w:p>
    <w:p>
      <w:pPr>
        <w:spacing w:after="0" w:line="233"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StepStone Group Inc. (“SSG”) was incorporated in the state of Delaware on November 20, 2019. The company was formed for the purpose of completing an initial public offering (“IPO”) in order to conduct the business of StepStone Group LP (the “Partnership”) as a publicly-traded entity.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condensed consolidated financial statements.</w:t>
      </w:r>
    </w:p>
    <w:p>
      <w:pPr>
        <w:spacing w:after="0" w:line="192"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The Company is a global private markets investment firm focused on providing customized investment solutions and advisory, data and administrative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82" w:lineRule="exact"/>
        <w:rPr>
          <w:sz w:val="20"/>
          <w:szCs w:val="20"/>
          <w:color w:val="auto"/>
        </w:rPr>
      </w:pPr>
    </w:p>
    <w:p>
      <w:pPr>
        <w:ind w:right="220" w:firstLine="648"/>
        <w:spacing w:after="0" w:line="310" w:lineRule="auto"/>
        <w:rPr>
          <w:sz w:val="20"/>
          <w:szCs w:val="20"/>
          <w:color w:val="auto"/>
        </w:rPr>
      </w:pPr>
      <w:r>
        <w:rPr>
          <w:rFonts w:ascii="Times New Roman" w:cs="Times New Roman" w:eastAsia="Times New Roman" w:hAnsi="Times New Roman"/>
          <w:sz w:val="19"/>
          <w:szCs w:val="19"/>
          <w:color w:val="auto"/>
        </w:rPr>
        <w:t>The Company, through its subsidiaries, acts as the investment advisor and general partner or managing member to separately managed accounts (“SMAs”) and focused commingled funds, including acquired Greenspring funds (collectively, the “StepStone Funds”).</w:t>
      </w:r>
    </w:p>
    <w:p>
      <w:pPr>
        <w:spacing w:after="0" w:line="138"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0"/>
          <w:szCs w:val="20"/>
          <w:color w:val="auto"/>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and Class C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December 31, 2022, SSG held approximately 56.2% of the economic interest in the Partnership. As the Partnership’s limited partners exchange their Class B and Class C units into SSG’s Class A common stock in the future, SSG’s economic interest in the Partnership will increase relative to that of the Class B and Class C unitholders.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Greenspring Acquisition</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On September 20, 2021, the Company completed the acquisition of 100% of the equity of Greenspring Associates, Inc. and certain of its affiliates (collectively, “Greenspring”). The results of Greenspring’s operations have been included in the condensed consolidated financial statements effective September 20, 2021. In connection with the Greenspring acquisition, the Company issued 12,686,756 shares of its Class A common stock and the Partnership issued 3,071,519 newly created Class C units of the Partnership, with each such unit exchangeable into one share of Class A common stock, subject to certain adjustments and restrictions. See notes 13 and 14 for more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2022 filed with the Securities and Exchange Commission (“SEC”).</w:t>
      </w:r>
    </w:p>
    <w:p>
      <w:pPr>
        <w:spacing w:after="0" w:line="17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Reclassifications</w:t>
      </w:r>
    </w:p>
    <w:p>
      <w:pPr>
        <w:spacing w:after="0" w:line="23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0"/>
          <w:szCs w:val="20"/>
          <w:color w:val="auto"/>
        </w:rPr>
        <w:t>Certain prior year amounts have been reclassified to conform to the current period presentation. Payments to related parties under Tax Receivable Agreements has been presented separately within cash flows from financing activities in the condensed consolidated statements of cash flows, and was previously included within due to affiliates within cash flows from operating activities.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182"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spacing w:after="0" w:line="195"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The Company has determined that certain of its operating subsidiaries, StepStone Group Real Assets LP (“SRA”), StepStone Group Real Estate LP (“SRE”), Swiss Capital Alternative Investments AG (“Swiss Capital”),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90"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In connection with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20"/>
          <w:szCs w:val="20"/>
          <w:color w:val="auto"/>
        </w:rPr>
        <w:t>The Company and its subsidiaries manages or controls certain entities that constitute client investment funds that have been consolidated in the accompanying condensed consolidated financial statements (“Consolidated Funds”). Including the results of the Consolidated Funds increases the reported amounts of the assets, liabilities, expenses and cash flows in the accompanying condensed consolidated financial statements, and amounts related to economic interests held by third-party investors are reflected as redeemable non-controlling interests in Consolidated Funds. The revenues earned by the Company as investment manager of the Consolidated Funds are eliminated in consolidation and generally have no direct effect on the net income attributable to SSG or to Stockholders' Equity.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13 for more information on ownership interests in the Company.</w:t>
      </w:r>
    </w:p>
    <w:p>
      <w:pPr>
        <w:spacing w:after="0" w:line="188" w:lineRule="exact"/>
        <w:rPr>
          <w:sz w:val="20"/>
          <w:szCs w:val="20"/>
          <w:color w:val="auto"/>
        </w:rPr>
      </w:pPr>
    </w:p>
    <w:p>
      <w:pPr>
        <w:ind w:right="20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SRA, SRE, and Swiss Capital (the variable interest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included in the Company’s condensed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4" w:lineRule="exact"/>
        <w:rPr>
          <w:sz w:val="20"/>
          <w:szCs w:val="20"/>
          <w:color w:val="auto"/>
        </w:rPr>
      </w:pPr>
    </w:p>
    <w:p>
      <w:pPr>
        <w:ind w:right="14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legacy Greenspring entities </w:t>
      </w:r>
      <w:r>
        <w:rPr>
          <w:rFonts w:ascii="Times New Roman" w:cs="Times New Roman" w:eastAsia="Times New Roman" w:hAnsi="Times New Roman"/>
          <w:sz w:val="20"/>
          <w:szCs w:val="20"/>
          <w:color w:val="auto"/>
        </w:rPr>
        <w:t>represent the economic interests in the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The Company did not acquire any direct economic interests in the legacy Greenspring general partner entities. As a result, all of the net income or loss related to the legacy Greenspring general partner entities is allocated to non-controlling interests in legacy Greenspring entities.</w:t>
      </w:r>
    </w:p>
    <w:p>
      <w:pPr>
        <w:spacing w:after="0" w:line="164" w:lineRule="exact"/>
        <w:rPr>
          <w:sz w:val="20"/>
          <w:szCs w:val="20"/>
          <w:color w:val="auto"/>
        </w:rPr>
      </w:pPr>
    </w:p>
    <w:p>
      <w:pPr>
        <w:ind w:right="50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the Partnership </w:t>
      </w:r>
      <w:r>
        <w:rPr>
          <w:rFonts w:ascii="Times New Roman" w:cs="Times New Roman" w:eastAsia="Times New Roman" w:hAnsi="Times New Roman"/>
          <w:sz w:val="20"/>
          <w:szCs w:val="20"/>
          <w:color w:val="auto"/>
        </w:rPr>
        <w:t>represent the economic interests related to the Class B and Class C units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SSG, but are held by the client investors in the funds. These interests are presented as redeemable non-controlling interests in Consolidated Funds within the condensed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Accounting for Differing Fiscal Periods</w:t>
      </w:r>
    </w:p>
    <w:p>
      <w:pPr>
        <w:spacing w:after="0" w:line="23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0"/>
          <w:szCs w:val="20"/>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ending December 31, 2022, the Company used the September 30, 2022 unaudited financial statements of the StepStone Funds, which reflect the underlying private market funds as of September 30, 2022, to record its investments (including any carried interest allocated by those investments), as adjusted for capital contributions and distributions during the three-month lag period ended December 31, 2022.</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does not account for management and advisory fees or incentive fees on a three-month lag.</w:t>
      </w:r>
    </w:p>
    <w:p>
      <w:pPr>
        <w:spacing w:after="0" w:line="229"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320" w:firstLine="648"/>
        <w:spacing w:after="0" w:line="251" w:lineRule="auto"/>
        <w:rPr>
          <w:sz w:val="20"/>
          <w:szCs w:val="20"/>
          <w:color w:val="auto"/>
        </w:rPr>
      </w:pPr>
      <w:r>
        <w:rPr>
          <w:rFonts w:ascii="Times New Roman" w:cs="Times New Roman" w:eastAsia="Times New Roman" w:hAnsi="Times New Roman"/>
          <w:sz w:val="20"/>
          <w:szCs w:val="20"/>
          <w:color w:val="auto"/>
        </w:rPr>
        <w:t>The Company is continuing to closely monitor developments related to COVID-19, inflation, rising interest rates and the ongoing Russia-Ukraine conflict, and assess the impact on financial markets and the Company’s business. The Company’s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 revenues. It is currently not possible to predict the ultimate effects of these events on the financial markets, overall economy and the Company’s condensed consolidated financial statements.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3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75"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173"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 – Pricing inputs are unadjusted, quoted prices in active markets for identical assets or liabilities as of the measurement date.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left="5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right="60" w:hanging="328"/>
        <w:spacing w:after="0" w:line="258"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72" w:lineRule="exact"/>
        <w:rPr>
          <w:rFonts w:ascii="Times New Roman" w:cs="Times New Roman" w:eastAsia="Times New Roman" w:hAnsi="Times New Roman"/>
          <w:sz w:val="20"/>
          <w:szCs w:val="20"/>
          <w:color w:val="auto"/>
        </w:rPr>
      </w:pPr>
    </w:p>
    <w:p>
      <w:pPr>
        <w:ind w:left="660" w:right="320" w:hanging="328"/>
        <w:spacing w:after="0" w:line="268"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6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 considers its cash, cash equivalents, restricted cash, fees and accounts receivable, accounts payable, investments, revolving credit facility, contingent consideration and liability classified award balances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and liability classified award balances and note 8 for additional details regarding the fair value of the Company’s revolving credit facility balance.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Restricted Cash</w:t>
      </w:r>
    </w:p>
    <w:p>
      <w:pPr>
        <w:spacing w:after="0" w:line="220"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Restricted cash consists of cash that the Company is contractually obligated to maintain to secure its letters of credit used primarily related to its office facilities and other obligations.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233"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Investments of Consolidated Funds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condensed consolidated statements of income. In addition, the Consolidated Funds do not consolidate their majority-owned and controlled investments in underlying portfolio companies.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Operating lease expense associated with minimum lease payments is recognized on a straight-line basis over the lease term in general, administrative and other expenses in the condensed consolidated statements of income. Minimum lease payments for leases with an initial term of twelve months or less are not recorded in the condensed consolidated balance sheets. See note 15 for more information.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 accounts for business combinations using the acquisition method of accounting, under which the purchase price of an acquisition is allocated to the assets acquired and liabilities assumed based on their fair values, as determined by management at the acquisition date. Contingent consideration obligations that are elements of consideration transferred are recognized at the acquisition date as part of the fair value transferred in exchange for the acquired business. Contingent consideration arrangements are revalued to fair value each reporting period. Examples of critical estimates in valuing certain of the intangible assets acquired include, but are not limited to, future expected cash inflows and outflows, future fundraising assumptions, expected useful life, discount rates and income tax rates. Acquisition-related costs incurred in connection with a business combination are expensed as incurred and are included in general, administrative and other expenses in the condensed consolidated statements of income.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Intangibles and Goodwill</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December 31, 2022.</w:t>
      </w:r>
    </w:p>
    <w:p>
      <w:pPr>
        <w:spacing w:after="0" w:line="18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and nine months ended December 31, 2022 and 2021.</w:t>
      </w:r>
    </w:p>
    <w:p>
      <w:pPr>
        <w:spacing w:after="0" w:line="16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Accounting Standards Codification Topic 606 (“ASC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 Revenue is recognized in a manner that depicts the transfer of promised goods or services to customers and for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9"/>
          <w:szCs w:val="19"/>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spacing w:after="0" w:line="17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while the investment fund is generally considered to be the customer for arrangements with focused commingled funds.</w:t>
      </w:r>
    </w:p>
    <w:p>
      <w:pPr>
        <w:spacing w:after="0" w:line="19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9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may incur certain costs in connection with satisfying its performance obligations for investment management services</w:t>
      </w:r>
    </w:p>
    <w:p>
      <w:pPr>
        <w:spacing w:after="0" w:line="3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 primarily employee travel costs and certain professional fees – for which it receives reimbursements from its customers. For reimbursable employee travel costs and certain professional fees, the Company concluded it controls the services provided by its employees and other parties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Performance Fees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earns two types of performance fee revenues: incentive fees and carried interest allocations, as described below.</w:t>
      </w:r>
    </w:p>
    <w:p>
      <w:pPr>
        <w:spacing w:after="0" w:line="21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are generally calculated as a percentage of the profits (up to 15%) earned in respect of certain accounts,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9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88"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i w:val="1"/>
          <w:iCs w:val="1"/>
          <w:color w:val="231F20"/>
        </w:rPr>
        <w:t xml:space="preserve">Legacy Greenspring carried interest allocations </w:t>
      </w:r>
      <w:r>
        <w:rPr>
          <w:rFonts w:ascii="Times New Roman" w:cs="Times New Roman" w:eastAsia="Times New Roman" w:hAnsi="Times New Roman"/>
          <w:sz w:val="20"/>
          <w:szCs w:val="20"/>
          <w:color w:val="231F20"/>
        </w:rPr>
        <w:t>reflect the allocation of carried interest to legacy Greenspring general partner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Times New Roman" w:cs="Times New Roman" w:eastAsia="Times New Roman" w:hAnsi="Times New Roman"/>
          <w:sz w:val="20"/>
          <w:szCs w:val="20"/>
          <w:color w:val="000000"/>
        </w:rPr>
        <w:t>because it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is presumed to have significant influence as the general partner or managing member</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000000"/>
        </w:rPr>
        <w:t xml:space="preserve"> Accordingly, legacy Greenspring carried interest allocations are not deemed to be within the scope of ASC 606. </w:t>
      </w:r>
      <w:r>
        <w:rPr>
          <w:rFonts w:ascii="Times New Roman" w:cs="Times New Roman" w:eastAsia="Times New Roman" w:hAnsi="Times New Roman"/>
          <w:sz w:val="20"/>
          <w:szCs w:val="20"/>
          <w:color w:val="231F20"/>
        </w:rPr>
        <w:t>The Company does not hold any direct economic interests in the legacy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w:t>
      </w:r>
    </w:p>
    <w:p>
      <w:pPr>
        <w:spacing w:after="0" w:line="19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9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December 31, 2022 and March 31, 2022, no material amounts for potential clawback obligations had been accrued.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Equity-Based Compensation</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condensed consolidated statements of income. The fair value of RSUs is determined by the closing stock price on the grant date. Forfeitures of equity-based awards are recognized as they occur. Awards classified as liabilities are remeasured at the end of each reporting period until settlement. See note 9 for additional information regarding the Company’s accounting for equity-based awards.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As a result, the Partnership does not record U.S. federal and state income taxes on income in the Partnership or its subsidiaries, except for certain local and foreign income taxes discussed above.</w:t>
      </w:r>
    </w:p>
    <w:p>
      <w:pPr>
        <w:spacing w:after="0" w:line="180"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spacing w:after="0" w:line="178"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88"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9"/>
          <w:szCs w:val="19"/>
          <w:color w:val="auto"/>
        </w:rPr>
        <w:t xml:space="preserve">The Company is subject to the provisions of ASC Subtopic 740-10, </w:t>
      </w:r>
      <w:r>
        <w:rPr>
          <w:rFonts w:ascii="Times New Roman" w:cs="Times New Roman" w:eastAsia="Times New Roman" w:hAnsi="Times New Roman"/>
          <w:sz w:val="19"/>
          <w:szCs w:val="19"/>
          <w:i w:val="1"/>
          <w:iCs w:val="1"/>
          <w:color w:val="auto"/>
        </w:rPr>
        <w:t>Accounting for Uncertainty in Income Taxes</w:t>
      </w:r>
      <w:r>
        <w:rPr>
          <w:rFonts w:ascii="Times New Roman" w:cs="Times New Roman" w:eastAsia="Times New Roman" w:hAnsi="Times New Roman"/>
          <w:sz w:val="19"/>
          <w:szCs w:val="19"/>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See note 10 for more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Tax Receivable Agreements</w:t>
      </w:r>
    </w:p>
    <w:p>
      <w:pPr>
        <w:spacing w:after="0" w:line="23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SSG has entered into an Exchanges Tax Receivable Agreement (the “Exchanges Tax Receivable Agreement”) with the partners of the Partnership as of the date of the IPO and a Reorganization Tax Receivable Agreement with certain pre-IPO institutional investors (together, with the Exchanges Tax Receivable Agreement, the “Tax Receivable Agreements”). 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In connection with the Greenspring acquisition, the sellers receiving Class C units of the Partnership became parties to the Exchanges Tax Receivable Agreement. See notes 13 and 14 for more information.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w:t>
      </w:r>
    </w:p>
    <w:p>
      <w:pPr>
        <w:spacing w:after="0" w:line="22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6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defined benefit plan, net</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2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The Company operates as one business, a fully-integrated private markets solution provider. The Company’s chief operating decision maker,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2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0"/>
          <w:szCs w:val="20"/>
          <w:color w:val="auto"/>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March 2020, the FASB issued ASU 2020-04, </w:t>
      </w:r>
      <w:r>
        <w:rPr>
          <w:rFonts w:ascii="Times New Roman" w:cs="Times New Roman" w:eastAsia="Times New Roman" w:hAnsi="Times New Roman"/>
          <w:sz w:val="20"/>
          <w:szCs w:val="20"/>
          <w:i w:val="1"/>
          <w:iCs w:val="1"/>
          <w:color w:val="auto"/>
        </w:rPr>
        <w:t>Reference Rate Reform (Topic 848): Facilitation of the Effects of Reference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Reform on Financial Reporting</w:t>
      </w:r>
      <w:r>
        <w:rPr>
          <w:rFonts w:ascii="Times New Roman" w:cs="Times New Roman" w:eastAsia="Times New Roman" w:hAnsi="Times New Roman"/>
          <w:sz w:val="20"/>
          <w:szCs w:val="20"/>
          <w:color w:val="auto"/>
        </w:rPr>
        <w:t>, which amends current guidance to provide optional practical expedients and exceptions, if certain criteria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met, for applying GAAP to contracts, hedging relationships and other transactions that are affected by the reference rate reform. The expedients and exceptions in this update apply only to contracts, hedging relationships and other transactions that reference the London Interbank Offered Rate (“LIBOR”). Initially the update did not apply to contract modifications or hedging relationships entered into after December 31, 2022, but in December 2022, the FASB issued ASU 2022-06, which defers the sunset date for applying reference rate reform relief in ASC 848 to December 31, 2024. This guidance is effective for adoption anytime after March 12, 2020, but must be adopted prior to December 31, 2024. The Company is currently evaluating the impact on the condensed consolidated financial statements.</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August 2020, the FASB issued ASU 2020-06, </w:t>
      </w:r>
      <w:r>
        <w:rPr>
          <w:rFonts w:ascii="Times New Roman" w:cs="Times New Roman" w:eastAsia="Times New Roman" w:hAnsi="Times New Roman"/>
          <w:sz w:val="20"/>
          <w:szCs w:val="20"/>
          <w:i w:val="1"/>
          <w:iCs w:val="1"/>
          <w:color w:val="auto"/>
        </w:rPr>
        <w:t>Debt—Debt with Conversion and Other Options (Subtopic 470-20) and Derivatives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Hedging—Contracts in Entity’s Own Equity (Subtopic 815-40): Accounting for Convertible Instruments and Contracts in an Entity’s Own Equity</w:t>
      </w:r>
      <w:r>
        <w:rPr>
          <w:rFonts w:ascii="Times New Roman" w:cs="Times New Roman" w:eastAsia="Times New Roman" w:hAnsi="Times New Roman"/>
          <w:sz w:val="20"/>
          <w:szCs w:val="20"/>
          <w:color w:val="auto"/>
        </w:rPr>
        <w:t>, which simplifies the accounting for certain financial instruments with characteristics of liabilities and equity,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convertible instruments and contracts on an entity’s own equity. The Company adopted this guidance on April 1, 2022 under the modified retrospective approach. The Company has changed its accounting policy to reflect the updated equity classification of contracts in an entity’s own equity, and has accounted for freestanding instruments that are indexed to and settled in the Company’s own equity at fair value with changes in fair value recognized in earnings. Adoption of this guidance did not have a material effect on the condensed consolidated financial statements.</w:t>
      </w:r>
    </w:p>
    <w:p>
      <w:pPr>
        <w:spacing w:after="0" w:line="188" w:lineRule="exact"/>
        <w:rPr>
          <w:sz w:val="20"/>
          <w:szCs w:val="20"/>
          <w:color w:val="auto"/>
        </w:rPr>
      </w:pPr>
    </w:p>
    <w:p>
      <w:pPr>
        <w:ind w:right="280"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July 2021, the FASB issued ASU 2021-05, </w:t>
      </w:r>
      <w:r>
        <w:rPr>
          <w:rFonts w:ascii="Times New Roman" w:cs="Times New Roman" w:eastAsia="Times New Roman" w:hAnsi="Times New Roman"/>
          <w:sz w:val="20"/>
          <w:szCs w:val="20"/>
          <w:i w:val="1"/>
          <w:iCs w:val="1"/>
          <w:color w:val="auto"/>
        </w:rPr>
        <w:t>Leases (Topic 842): Lessors—Certain Leases with Variable Lease Payments</w:t>
      </w:r>
      <w:r>
        <w:rPr>
          <w:rFonts w:ascii="Times New Roman" w:cs="Times New Roman" w:eastAsia="Times New Roman" w:hAnsi="Times New Roman"/>
          <w:sz w:val="20"/>
          <w:szCs w:val="20"/>
          <w:color w:val="auto"/>
        </w:rPr>
        <w:t>, which modifies ASC 842 to amend the lease classification requirements for lessors to align with practice under ASC Topic 840. Lessors should classify and account for a lease with variable lease payments that do not depend on a reference index or a rate as an operating lease if the lease would have been classified as a sales-type lease or a direct financing lease under ASC 842, and the lessor would have otherwise recognized a day-one loss on the investment in the lease. This guidance is effective for annual periods beginning after December 15, 2021 and interim periods within those annual periods. The Company adopted this guidance on April 1, 2022. Adoption of this guidance did not have a material effect on the condensed consolidated financial statements.</w:t>
      </w:r>
    </w:p>
    <w:p>
      <w:pPr>
        <w:spacing w:after="0" w:line="186" w:lineRule="exact"/>
        <w:rPr>
          <w:sz w:val="20"/>
          <w:szCs w:val="20"/>
          <w:color w:val="auto"/>
        </w:rPr>
      </w:pPr>
    </w:p>
    <w:p>
      <w:pPr>
        <w:ind w:right="220"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November 2021, the FASB issued ASU 2021-08, </w:t>
      </w:r>
      <w:r>
        <w:rPr>
          <w:rFonts w:ascii="Times New Roman" w:cs="Times New Roman" w:eastAsia="Times New Roman" w:hAnsi="Times New Roman"/>
          <w:sz w:val="20"/>
          <w:szCs w:val="20"/>
          <w:i w:val="1"/>
          <w:iCs w:val="1"/>
          <w:color w:val="auto"/>
        </w:rPr>
        <w:t>Business Combinations (Topic 805): Accounting for Contract Assets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 Liabilities from Contracts with Customers</w:t>
      </w:r>
      <w:r>
        <w:rPr>
          <w:rFonts w:ascii="Times New Roman" w:cs="Times New Roman" w:eastAsia="Times New Roman" w:hAnsi="Times New Roman"/>
          <w:sz w:val="20"/>
          <w:szCs w:val="20"/>
          <w:color w:val="auto"/>
        </w:rPr>
        <w:t>, which modifies ASC 805 to require an acquiring entity in a business combination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recognize and measure contract assets and contract liabilities acquired in a business combination in accordance with Topic 606. At the acquisition date, an acquirer should account for the related revenue contracts in accordance with Topic 606 as if it had originated the contracts. Under current GAAP, an acquirer generally recognizes such items at fair value on the acquisition date. This guidance is effective for annual and interim periods beginning after December 15, 2022, with early adoption permitted. The Company adopted this guidance on April 1, 2022, and will apply the guidance prospectively to business combinations that occur after this date. The guidance had no effect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Revenues</w:t>
      </w:r>
    </w:p>
    <w:p>
      <w:pPr>
        <w:spacing w:after="0" w:line="233"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The following presents revenues disaggregated by product offering, which aligns with the Company’s performance obligations and the basis for calculating each amount: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and Advisory Fees,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CCEEFF"/>
            </w:tcBorders>
            <w:vMerge w:val="continue"/>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164,975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99,173</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156,154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127,137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and other services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40,663</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 reimbursement revenues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management and advisory fees, net</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128,753</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364,606</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268,028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 Fees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24"/>
                <w:szCs w:val="24"/>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incentive fees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Carried Interest Allocations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24"/>
                <w:szCs w:val="24"/>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CCEEFF"/>
            </w:tcBorders>
            <w:vMerge w:val="continue"/>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436,283</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65,433</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(36,680)</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185,559</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carried interest allocations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199,094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(241,699)</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621,842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gridSpan w:val="3"/>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Legacy Greenspring Carried Interest Allocations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24"/>
                <w:szCs w:val="24"/>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vMerge w:val="continue"/>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Focused commingled funds</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(88,921)</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104,960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(371,200)</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104,960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legacy Greenspring carried interest allocations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(88,921)</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320" w:hanging="652"/>
        <w:spacing w:after="0" w:line="253"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December 31, 2022 and 2021 reflect the net effect of gross realized carried interest allocations of $5.2 million and $24.6 million, respectively, and the nine months ended December 31, 2022 and 2021 reflect the net effect of gross realized carried interest allocations of $45.4 million and $27.6 million, respectively, and the reversal of such amounts in unrealized carried interest allocations for such periods.</w:t>
      </w:r>
    </w:p>
    <w:p>
      <w:pPr>
        <w:spacing w:after="0" w:line="184"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0"/>
          <w:szCs w:val="20"/>
          <w:color w:val="auto"/>
        </w:rPr>
        <w:t>The decrease in carried interest allocations and legacy Greenspring carried interest allocations for the three and nine months ended December 31, 2022 was primarily attributable to net unrealized depreciation in the fair value of certain underlying fund investments. The increase in carried interest allocations and legacy Greenspring carried interest allocations for the three and nine months ended December 31, 2021 was primarily attributable to net unrealized appreciation in the fair value of certain underlying fund investments. See note 2 for a discussion of the Company’s accounting policy for investments on a three-month lag.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derives revenues from clients located in both the United States and other countries. The table below presents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revenues by geographic location: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170,726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(223,480)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282,366</w:t>
            </w:r>
          </w:p>
        </w:tc>
        <w:tc>
          <w:tcPr>
            <w:tcW w:w="0" w:type="dxa"/>
            <w:vAlign w:val="bottom"/>
          </w:tcPr>
          <w:p>
            <w:pPr>
              <w:spacing w:after="0"/>
              <w:rPr>
                <w:sz w:val="1"/>
                <w:szCs w:val="1"/>
                <w:color w:val="auto"/>
              </w:rPr>
            </w:pP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 countries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239,739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718,469</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460" w:hanging="652"/>
        <w:spacing w:after="0" w:line="260"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attributed to countries based on client location for SMAs and advisory and other services, or location of investment vehicle for focused commingled funds.</w:t>
      </w:r>
    </w:p>
    <w:p>
      <w:pPr>
        <w:spacing w:after="0" w:line="177"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For the three and nine months ended December 31, 2022 and 2021, no individual client represented 10% or more of the Company’s net management and advisory fees.</w:t>
      </w:r>
    </w:p>
    <w:p>
      <w:pPr>
        <w:spacing w:after="0" w:line="17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0"/>
          <w:szCs w:val="20"/>
          <w:color w:val="auto"/>
        </w:rPr>
        <w:t>As of December 31, 2022 and March 31, 2022, the Company had $19.0 million of deferred revenues in each period, which is included in accounts payable, accrued expenses and other liabilities in the condensed consolidated balance sheets. During the nine months ended December 31, 2022, the Company had recognized $4.9 million as revenue from amounts included in the deferred revenue balance as of March 31, 2022.</w:t>
      </w:r>
    </w:p>
    <w:p>
      <w:pPr>
        <w:spacing w:after="0" w:line="168" w:lineRule="exact"/>
        <w:rPr>
          <w:sz w:val="20"/>
          <w:szCs w:val="20"/>
          <w:color w:val="auto"/>
        </w:rPr>
      </w:pPr>
    </w:p>
    <w:p>
      <w:pPr>
        <w:ind w:left="660" w:right="8760" w:hanging="652"/>
        <w:spacing w:after="0" w:line="506" w:lineRule="auto"/>
        <w:tabs>
          <w:tab w:leader="none" w:pos="355" w:val="left"/>
        </w:tabs>
        <w:numPr>
          <w:ilvl w:val="0"/>
          <w:numId w:val="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Variable Interest Entities Consolidated VIEs</w:t>
      </w:r>
    </w:p>
    <w:p>
      <w:pPr>
        <w:spacing w:after="0" w:line="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The Company consolidates certain VIEs for which it is the primary beneficiary. Such VIEs consist of certain operating entities not wholly-owned by the Company (e.g., Swiss Capital, SRA and SRE), SPW, legacy Greenspring general partner entities and certain StepStone Funds. See note 2 for more information on the Company’s accounting policies related to the consolidation of VIEs. The assets of the consolidated VIEs totaled $1,057.2 million and $1,435.2 million as of December 31, 2022 and March 31, 2022, respectively. The liabilities of the consolidated VIEs totaled $787.4 million and $1,181.2 million as of December 31, 2022 and March 31, 2022,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December 31, 2022 and March 31, 2022, no material amounts previously distributed have been accrued for clawback liabilities.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Unconsolidated VIEs</w:t>
      </w:r>
    </w:p>
    <w:p>
      <w:pPr>
        <w:spacing w:after="0" w:line="233"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20"/>
          <w:szCs w:val="20"/>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107,045</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194,480</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 net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subsidiaries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legacy Greenspring entities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165,345</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194,480</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exposure to loss</w:t>
            </w: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112,096</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112,043</w:t>
            </w:r>
          </w:p>
        </w:tc>
      </w:tr>
      <w:tr>
        <w:trPr>
          <w:trHeight w:val="21"/>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Investments</w:t>
      </w:r>
    </w:p>
    <w:p>
      <w:pPr>
        <w:spacing w:after="0" w:line="220"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9"/>
          <w:szCs w:val="19"/>
          <w:color w:val="auto"/>
        </w:rPr>
        <w:t>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in the condensed consolidated statements of income. Investment income attributable to the Consolidated Funds is recorded in investment income of Consolidated Funds. Investment income attributable to investments in certain legacy Greenspring funds for which the Company has no direct economic interests are recorded in legacy Greenspring investment income in the condensed consolidated statements of income.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investments consist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of Consolidated Funds</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Investments in funds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107,045</w:t>
            </w:r>
          </w:p>
        </w:tc>
      </w:tr>
      <w:tr>
        <w:trPr>
          <w:trHeight w:val="230"/>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1,126,386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1,480,515</w:t>
            </w:r>
          </w:p>
        </w:tc>
      </w:tr>
      <w:tr>
        <w:trPr>
          <w:trHeight w:val="230"/>
        </w:trPr>
        <w:tc>
          <w:tcPr>
            <w:tcW w:w="81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888,872</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1,334,581</w:t>
            </w:r>
          </w:p>
        </w:tc>
      </w:tr>
      <w:tr>
        <w:trPr>
          <w:trHeight w:val="22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2,124,360</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2,922,141</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2,138,672</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2,922,141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340" w:hanging="652"/>
        <w:spacing w:after="0" w:line="250"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investments in funds was $138.6 million as of December 31, 2022. The consolidation of the Consolidated Funds results in the elimination of the Company’s investments in such funds. No funds were consolidated as of March 31, 2022.</w:t>
      </w:r>
    </w:p>
    <w:p>
      <w:pPr>
        <w:ind w:left="660" w:right="280" w:hanging="652"/>
        <w:spacing w:after="0" w:line="260"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investments in funds of $165.3 million and $194.5 million and carried interest allocations of $723.5 million and $1,140.1 million as of December 31, 2022 and March 31, 2022, respectively.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Method Investments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equity method income (loss)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1"/>
        </w:trPr>
        <w:tc>
          <w:tcPr>
            <w:tcW w:w="5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Carried interest allocations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199,094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(241,699)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621,842</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104,960</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 income (loss)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(32,927)</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17,890</w:t>
            </w: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equity method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(145,615)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329,174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(651,299)</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765,533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9"/>
          <w:szCs w:val="19"/>
          <w:color w:val="auto"/>
        </w:rPr>
        <w:t>The decrease in carried interest allocations for the three and nine months ended December 31, 2022 as compared to the three and nine months ended December 31, 2021 was primarily attributable to unrealized depreciation in the fair value of the underlying investments in the Company’s private equity funds. See note 2 for a discussion of the Company’s accounting policy for investments on a three-month lag.</w:t>
      </w:r>
    </w:p>
    <w:p>
      <w:pPr>
        <w:spacing w:after="0" w:line="16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As of December 31, 2022 and March 31, 2022, the Company’s investments in two SMAs each individually represented 10% or more of the total accrued carried interest allocations balance, and in the aggregate represented approximately 22% and 25%, respectively, of the total accrued carried interest allocations balance as of those dates. As of December 31, 2022 and March 31, 2022, the Company’s investments in three commingled funds each individually represented 10% or more of the total legacy Greenspring accrued carried interest allocations balance, and in the aggregate represented approximately 37% and 39%, respectively, of the total legacy Greenspring accrued carried interest allocations balances as of those dates.</w:t>
      </w:r>
    </w:p>
    <w:p>
      <w:pPr>
        <w:spacing w:after="0" w:line="179"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9"/>
          <w:szCs w:val="19"/>
          <w:color w:val="auto"/>
        </w:rPr>
        <w:t>Of the total accrued carried interest allocations balance as of December 31, 2022 and March 31, 2022, $597.3 million and $770.0 million, respectively, were payable to affiliates and is included in accrued carried interest-related compensation in the condensed consolidated balance sheets. Of the total legacy Greenspring investments in funds and accrued carried interest allocations balance as of December 31,</w:t>
      </w:r>
    </w:p>
    <w:p>
      <w:pPr>
        <w:spacing w:after="0" w:line="2"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20"/>
          <w:szCs w:val="20"/>
          <w:color w:val="auto"/>
        </w:rPr>
        <w:t>2022 and March 31, 2022, $723.5 million and $1,140.1 million, respectively, were payable to employees who are considered affiliates of the Company and is included in legacy Greenspring accrued carried interest-related compensation in the condensed consolidated balance sheets and $165.3 million and $194.5 million, respectively, are reflected as non-controlling interests in legacy Greenspring entities in the condensed consolidated balance sheets.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The Company evaluates each of its equity method investments to determine if any are considered significant as defined by the SEC. As of December 31, 2022 and March 31, 2022 and for the three and nine months ended December 31, 2022 and 2021, no individual equity method investment held by the Company met the significance criteria. As a result, the Company is not required to provide separate financial statements for any of its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 of Consolidated Funds</w:t>
      </w:r>
    </w:p>
    <w:p>
      <w:pPr>
        <w:spacing w:after="0" w:line="2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 Company consolidates funds and entities when it is deemed to hold a controlling financial interest. Beginning in the quarter ended December 31, 2022, the Company consolidated one investment fund for which it is deemed to have a controlling financial interest. The activity of the Consolidated Funds is reflected within the condensed consolidated financial statements.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Investments held by the Consolidated Funds are summarized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Percentage of Total Investments as of</w:t>
            </w:r>
          </w:p>
        </w:tc>
        <w:tc>
          <w:tcPr>
            <w:tcW w:w="0" w:type="dxa"/>
            <w:vAlign w:val="bottom"/>
          </w:tcPr>
          <w:p>
            <w:pPr>
              <w:spacing w:after="0"/>
              <w:rPr>
                <w:sz w:val="1"/>
                <w:szCs w:val="1"/>
                <w:color w:val="auto"/>
              </w:rPr>
            </w:pPr>
          </w:p>
        </w:tc>
      </w:tr>
      <w:tr>
        <w:trPr>
          <w:trHeight w:val="158"/>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40" w:type="dxa"/>
            <w:vAlign w:val="bottom"/>
          </w:tcPr>
          <w:p>
            <w:pPr>
              <w:spacing w:after="0"/>
              <w:rPr>
                <w:sz w:val="13"/>
                <w:szCs w:val="13"/>
                <w:color w:val="auto"/>
              </w:rPr>
            </w:pPr>
          </w:p>
        </w:tc>
        <w:tc>
          <w:tcPr>
            <w:tcW w:w="1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0" w:type="dxa"/>
            <w:vAlign w:val="bottom"/>
          </w:tcPr>
          <w:p>
            <w:pPr>
              <w:spacing w:after="0"/>
              <w:rPr>
                <w:sz w:val="1"/>
                <w:szCs w:val="1"/>
                <w:color w:val="auto"/>
              </w:rPr>
            </w:pPr>
          </w:p>
        </w:tc>
      </w:tr>
      <w:tr>
        <w:trPr>
          <w:trHeight w:val="214"/>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of Consolidated Funds:</w:t>
            </w: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Partnership and LLC interests (Cost of $9.4 million and $—</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8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million as of December 31, 2022 and March 31, 2022,</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2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investments of Consolidated Funds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2022 and March 31, 2022, no individual investment had a fair value greater than 5% of the Company’s total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net gains (losses) from investment activities of the Consolidated Funds: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December 31, 2022</w:t>
            </w:r>
          </w:p>
        </w:tc>
        <w:tc>
          <w:tcPr>
            <w:tcW w:w="160" w:type="dxa"/>
            <w:vAlign w:val="bottom"/>
          </w:tcPr>
          <w:p>
            <w:pPr>
              <w:spacing w:after="0"/>
              <w:rPr>
                <w:sz w:val="18"/>
                <w:szCs w:val="18"/>
                <w:color w:val="auto"/>
              </w:rPr>
            </w:pPr>
          </w:p>
        </w:tc>
        <w:tc>
          <w:tcPr>
            <w:tcW w:w="3580" w:type="dxa"/>
            <w:vAlign w:val="bottom"/>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Nine Months Ended December 31, 2022</w:t>
            </w:r>
          </w:p>
        </w:tc>
      </w:tr>
      <w:tr>
        <w:trPr>
          <w:trHeight w:val="159"/>
        </w:trPr>
        <w:tc>
          <w:tcPr>
            <w:tcW w:w="35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820" w:type="dxa"/>
            <w:vAlign w:val="bottom"/>
            <w:tcBorders>
              <w:top w:val="single" w:sz="8" w:color="auto"/>
            </w:tcBorders>
            <w:gridSpan w:val="2"/>
            <w:shd w:val="clear" w:color="auto" w:fill="CCEEFF"/>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rPr>
              <w:t>Net Realized Gains</w:t>
            </w:r>
          </w:p>
        </w:tc>
        <w:tc>
          <w:tcPr>
            <w:tcW w:w="12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jc w:val="right"/>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 Unrealized Gains</w:t>
            </w: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820" w:type="dxa"/>
            <w:vAlign w:val="bottom"/>
            <w:tcBorders>
              <w:top w:val="single" w:sz="8" w:color="auto"/>
            </w:tcBorders>
            <w:gridSpan w:val="2"/>
            <w:shd w:val="clear" w:color="auto" w:fill="CCEEFF"/>
          </w:tcPr>
          <w:p>
            <w:pPr>
              <w:jc w:val="center"/>
              <w:ind w:right="400"/>
              <w:spacing w:after="0" w:line="158" w:lineRule="exact"/>
              <w:rPr>
                <w:sz w:val="20"/>
                <w:szCs w:val="20"/>
                <w:color w:val="auto"/>
              </w:rPr>
            </w:pPr>
            <w:r>
              <w:rPr>
                <w:rFonts w:ascii="Times New Roman" w:cs="Times New Roman" w:eastAsia="Times New Roman" w:hAnsi="Times New Roman"/>
                <w:sz w:val="16"/>
                <w:szCs w:val="16"/>
                <w:b w:val="1"/>
                <w:bCs w:val="1"/>
                <w:color w:val="auto"/>
              </w:rPr>
              <w:t>Net Realized Gains</w:t>
            </w:r>
          </w:p>
        </w:tc>
        <w:tc>
          <w:tcPr>
            <w:tcW w:w="12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right"/>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Net Unrealized Gains</w:t>
            </w:r>
          </w:p>
        </w:tc>
      </w:tr>
      <w:tr>
        <w:trPr>
          <w:trHeight w:val="216"/>
        </w:trPr>
        <w:tc>
          <w:tcPr>
            <w:tcW w:w="35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 on Investments</w:t>
            </w:r>
          </w:p>
        </w:tc>
        <w:tc>
          <w:tcPr>
            <w:tcW w:w="19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(Losses) on Investments</w:t>
            </w:r>
          </w:p>
        </w:tc>
        <w:tc>
          <w:tcPr>
            <w:tcW w:w="198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 on Investments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(Losses) on Investments</w:t>
            </w: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29"/>
        </w:trPr>
        <w:tc>
          <w:tcPr>
            <w:tcW w:w="3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r>
      <w:tr>
        <w:trPr>
          <w:trHeight w:val="223"/>
        </w:trPr>
        <w:tc>
          <w:tcPr>
            <w:tcW w:w="3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investments of Consolidated Funds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233"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The Company measures certain assets and liabilities at fair value on a recurring basis. The following tables provide details regarding the classification of these assets and liabilities within the fair value hierarchy as of the dates presented: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the Company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57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5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37,473</w:t>
            </w:r>
          </w:p>
        </w:tc>
      </w:tr>
      <w:tr>
        <w:trPr>
          <w:trHeight w:val="229"/>
        </w:trPr>
        <w:tc>
          <w:tcPr>
            <w:tcW w:w="5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Liability classified awards</w:t>
            </w: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41,273</w:t>
            </w:r>
          </w:p>
        </w:tc>
      </w:tr>
      <w:tr>
        <w:trPr>
          <w:trHeight w:val="20"/>
        </w:trPr>
        <w:tc>
          <w:tcPr>
            <w:tcW w:w="5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44"/>
        </w:trPr>
        <w:tc>
          <w:tcPr>
            <w:tcW w:w="57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1"/>
        </w:trPr>
        <w:tc>
          <w:tcPr>
            <w:tcW w:w="57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5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28,025</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60" w:firstLine="648"/>
        <w:spacing w:after="0" w:line="269" w:lineRule="auto"/>
        <w:rPr>
          <w:sz w:val="20"/>
          <w:szCs w:val="20"/>
          <w:color w:val="auto"/>
        </w:rPr>
      </w:pPr>
      <w:r>
        <w:rPr>
          <w:rFonts w:ascii="Times New Roman" w:cs="Times New Roman" w:eastAsia="Times New Roman" w:hAnsi="Times New Roman"/>
          <w:sz w:val="20"/>
          <w:szCs w:val="20"/>
          <w:color w:val="auto"/>
        </w:rPr>
        <w:t>For the liabilities presented in the tables above, there were no changes in fair value hierarchy levels during the three and nine months ended December 31, 2022 and 2021.</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changes in the fair value of Level III financial instruments of the Company are set forth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4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44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42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440" w:type="dxa"/>
            <w:vAlign w:val="bottom"/>
            <w:gridSpan w:val="3"/>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35,656</w:t>
            </w:r>
          </w:p>
        </w:tc>
        <w:tc>
          <w:tcPr>
            <w:tcW w:w="240" w:type="dxa"/>
            <w:vAlign w:val="bottom"/>
          </w:tcPr>
          <w:p>
            <w:pPr>
              <w:spacing w:after="0"/>
              <w:rPr>
                <w:sz w:val="16"/>
                <w:szCs w:val="16"/>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35,656</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18,851</w:t>
            </w:r>
          </w:p>
        </w:tc>
        <w:tc>
          <w:tcPr>
            <w:tcW w:w="240" w:type="dxa"/>
            <w:vAlign w:val="bottom"/>
          </w:tcPr>
          <w:p>
            <w:pPr>
              <w:spacing w:after="0"/>
              <w:rPr>
                <w:sz w:val="16"/>
                <w:szCs w:val="16"/>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18,851</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Additions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Change in fair value</w:t>
            </w: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Settlements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37,473</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41,273</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20,253</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20,253</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2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Changes in unrealized losses included in</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earnings related to financial liabilities still</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1,989</w:t>
            </w:r>
          </w:p>
        </w:tc>
        <w:tc>
          <w:tcPr>
            <w:tcW w:w="24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24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2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24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0" w:type="dxa"/>
            <w:vAlign w:val="bottom"/>
          </w:tcPr>
          <w:p>
            <w:pPr>
              <w:spacing w:after="0"/>
              <w:rPr>
                <w:sz w:val="1"/>
                <w:szCs w:val="1"/>
                <w:color w:val="auto"/>
              </w:rPr>
            </w:pPr>
          </w:p>
        </w:tc>
      </w:tr>
      <w:tr>
        <w:trPr>
          <w:trHeight w:val="171"/>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held at the reporting date</w:t>
            </w:r>
          </w:p>
        </w:tc>
        <w:tc>
          <w:tcPr>
            <w:tcW w:w="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4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500"/>
              <w:spacing w:after="0" w:line="137"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44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420" w:type="dxa"/>
            <w:vAlign w:val="bottom"/>
            <w:gridSpan w:val="3"/>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440" w:type="dxa"/>
            <w:vAlign w:val="bottom"/>
            <w:gridSpan w:val="3"/>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28,025</w:t>
            </w:r>
          </w:p>
        </w:tc>
        <w:tc>
          <w:tcPr>
            <w:tcW w:w="240" w:type="dxa"/>
            <w:vAlign w:val="bottom"/>
          </w:tcPr>
          <w:p>
            <w:pPr>
              <w:spacing w:after="0"/>
              <w:rPr>
                <w:sz w:val="16"/>
                <w:szCs w:val="16"/>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28,025</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240" w:type="dxa"/>
            <w:vAlign w:val="bottom"/>
          </w:tcPr>
          <w:p>
            <w:pPr>
              <w:spacing w:after="0"/>
              <w:rPr>
                <w:sz w:val="16"/>
                <w:szCs w:val="16"/>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Additions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17,769</w:t>
            </w:r>
          </w:p>
        </w:tc>
        <w:tc>
          <w:tcPr>
            <w:tcW w:w="0" w:type="dxa"/>
            <w:vAlign w:val="bottom"/>
          </w:tcPr>
          <w:p>
            <w:pPr>
              <w:spacing w:after="0"/>
              <w:rPr>
                <w:sz w:val="1"/>
                <w:szCs w:val="1"/>
                <w:color w:val="auto"/>
              </w:rPr>
            </w:pPr>
          </w:p>
        </w:tc>
      </w:tr>
      <w:tr>
        <w:trPr>
          <w:trHeight w:val="195"/>
        </w:trPr>
        <w:tc>
          <w:tcPr>
            <w:tcW w:w="2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Change in fair value</w:t>
            </w: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9,949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Settlements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37,473</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41,273</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20,253</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20,253</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2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Changes in unrealized losses included in</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earnings related to financial liabilities still</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9,949</w:t>
            </w:r>
          </w:p>
        </w:tc>
        <w:tc>
          <w:tcPr>
            <w:tcW w:w="24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24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13,749</w:t>
            </w:r>
          </w:p>
        </w:tc>
        <w:tc>
          <w:tcPr>
            <w:tcW w:w="2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24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0" w:type="dxa"/>
            <w:vAlign w:val="bottom"/>
          </w:tcPr>
          <w:p>
            <w:pPr>
              <w:spacing w:after="0"/>
              <w:rPr>
                <w:sz w:val="1"/>
                <w:szCs w:val="1"/>
                <w:color w:val="auto"/>
              </w:rPr>
            </w:pPr>
          </w:p>
        </w:tc>
      </w:tr>
      <w:tr>
        <w:trPr>
          <w:trHeight w:val="17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held at the reporting date</w:t>
            </w:r>
          </w:p>
        </w:tc>
        <w:tc>
          <w:tcPr>
            <w:tcW w:w="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Contingent Consideration</w:t>
      </w:r>
    </w:p>
    <w:p>
      <w:pPr>
        <w:spacing w:after="0" w:line="220" w:lineRule="exact"/>
        <w:rPr>
          <w:sz w:val="20"/>
          <w:szCs w:val="20"/>
          <w:color w:val="auto"/>
        </w:rPr>
      </w:pPr>
    </w:p>
    <w:p>
      <w:pPr>
        <w:ind w:right="260" w:firstLine="648"/>
        <w:spacing w:after="0" w:line="283" w:lineRule="auto"/>
        <w:rPr>
          <w:sz w:val="20"/>
          <w:szCs w:val="20"/>
          <w:color w:val="auto"/>
        </w:rPr>
      </w:pPr>
      <w:r>
        <w:rPr>
          <w:rFonts w:ascii="Times New Roman" w:cs="Times New Roman" w:eastAsia="Times New Roman" w:hAnsi="Times New Roman"/>
          <w:sz w:val="20"/>
          <w:szCs w:val="20"/>
          <w:color w:val="auto"/>
        </w:rPr>
        <w:t>In connection with the Greenspring acquisition, the Company recorded a contingent consideration liability of $17.8 million during the three months ended September 30, 2021. See note 14 for more information.</w:t>
      </w:r>
    </w:p>
    <w:p>
      <w:pPr>
        <w:spacing w:after="0" w:line="14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The fair value of the contingent consideration liabilities are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liabilities primarily relate to the future expected revenues and the discount rates applied to the expected future revenues and payments of obligations, which ranged from 8% to 10% as of December 31, 2022. The contingent consideration liabilities are included in accounts payable, accrued expenses and other liabilities in the condensed consolidated balance sheets. Changes in the fair value of the liabilities are included in general, administrative and other expenses in the condensed consolidated statements of income. In February 2022, the Company amended the contingent consideration arrangement in respect of the Greenspring acquisition whereby a portion of the contingent consideration liability otherwise payable to the sellers will be used to fund compensation arrangements with certain employees of the Company, which will be payable following the end of the earn-out period. As a result, the contingent consideration liability is recorded net of the fair value of amounts payable to certain employees.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Liability Classified Awards</w:t>
      </w:r>
    </w:p>
    <w:p>
      <w:pPr>
        <w:spacing w:after="0" w:line="233" w:lineRule="exact"/>
        <w:rPr>
          <w:sz w:val="20"/>
          <w:szCs w:val="20"/>
          <w:color w:val="auto"/>
        </w:rPr>
      </w:pPr>
    </w:p>
    <w:p>
      <w:pPr>
        <w:ind w:right="40" w:firstLine="648"/>
        <w:spacing w:after="0" w:line="295" w:lineRule="auto"/>
        <w:rPr>
          <w:sz w:val="20"/>
          <w:szCs w:val="20"/>
          <w:color w:val="auto"/>
        </w:rPr>
      </w:pPr>
      <w:r>
        <w:rPr>
          <w:rFonts w:ascii="Times New Roman" w:cs="Times New Roman" w:eastAsia="Times New Roman" w:hAnsi="Times New Roman"/>
          <w:sz w:val="19"/>
          <w:szCs w:val="19"/>
          <w:color w:val="auto"/>
        </w:rPr>
        <w:t>During the three months ended December 31, 2022, the Company granted limited liability company profits interests in one of its consolidated subsidiaries to certain employees. The interests are accounted for as liability classified awards. See note 9 for more information.</w:t>
      </w:r>
    </w:p>
    <w:p>
      <w:pPr>
        <w:spacing w:after="0" w:line="15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9"/>
          <w:szCs w:val="19"/>
          <w:color w:val="auto"/>
        </w:rPr>
        <w:t>The fair value of the liability classified awards is based on an option pricing model. The assumptions used in the analysis are inherently subjective; therefore, the ultimate settlement amount of the liability classified awards may differ materially from the current estimate. The option price assumption in the option pricing model is based on a discounted cash flow analysis. The significant unobservable inputs required to value the liability classified awards primarily relate to the future expected volatility for the option pricing model and future expected earnings and related discount rate applied for the discounted cash flow analysis. As of December 31, 2022, the volatility input used in the option pricing model was 40% and the discount applied to the future expected earnings in the discounted cash flow analysis was 24%. The liability classified awards are included in accrued compensation and benefits in the condensed consolidated balance sheets. Changes in the fair value of the liabilities are included in equity-based compensation expense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Consolidated Funds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 Funds</w:t>
      </w:r>
    </w:p>
    <w:p>
      <w:pPr>
        <w:spacing w:after="0" w:line="22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0"/>
          <w:szCs w:val="20"/>
          <w:color w:val="auto"/>
        </w:rPr>
        <w:t>The Company generally values its investment funds, which are organized as partnership and LLC interests, using the NAV per share equivalent calculated by the investment manager as a practical expedient in determining an independent fair value. The Company does not categorize within the fair value hierarchy investments where fair value is measured using the net asset value per share practical expedient. As of December 31, 2022, investments with a combined fair value of $14.3 million are excluded from presentation in the fair value hierarchy as the fair value of these investments were measured at net asset value.</w:t>
      </w:r>
    </w:p>
    <w:p>
      <w:pPr>
        <w:spacing w:after="0" w:line="16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Intangibles and Goodwill</w:t>
      </w:r>
    </w:p>
    <w:p>
      <w:pPr>
        <w:spacing w:after="0" w:line="233" w:lineRule="exact"/>
        <w:rPr>
          <w:sz w:val="20"/>
          <w:szCs w:val="20"/>
          <w:color w:val="auto"/>
        </w:rPr>
      </w:pPr>
    </w:p>
    <w:p>
      <w:pPr>
        <w:ind w:right="980" w:firstLine="648"/>
        <w:spacing w:after="0" w:line="269" w:lineRule="auto"/>
        <w:rPr>
          <w:sz w:val="20"/>
          <w:szCs w:val="20"/>
          <w:color w:val="auto"/>
        </w:rPr>
      </w:pPr>
      <w:r>
        <w:rPr>
          <w:rFonts w:ascii="Times New Roman" w:cs="Times New Roman" w:eastAsia="Times New Roman" w:hAnsi="Times New Roman"/>
          <w:sz w:val="20"/>
          <w:szCs w:val="20"/>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net consists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contracts</w:t>
            </w: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agreements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(92,674)</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(60,063)</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Intangible assets, net</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365,515</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Amortization expense related to intangible assets was $10.9 million and $11.0 million for the three months ended December 31, 2022 and 2021, respectively, and $32.6 million and $13.4 million for the nine months ended December 31, 2022 and 2021, respectively. These amounts are included in general, administrative and other expenses in the condensed consolidated statements of income.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 December 31, 2022, the expected future amortization of finite-lived intangible assets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FY2023</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42,645</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FY2025</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41,955</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41,764</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41,730</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186,550</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260" w:firstLine="648"/>
        <w:spacing w:after="0" w:line="283" w:lineRule="auto"/>
        <w:rPr>
          <w:sz w:val="20"/>
          <w:szCs w:val="20"/>
          <w:color w:val="auto"/>
        </w:rPr>
      </w:pPr>
      <w:r>
        <w:rPr>
          <w:rFonts w:ascii="Times New Roman" w:cs="Times New Roman" w:eastAsia="Times New Roman" w:hAnsi="Times New Roman"/>
          <w:sz w:val="20"/>
          <w:szCs w:val="20"/>
          <w:color w:val="auto"/>
        </w:rPr>
        <w:t>The carrying value of goodwill was $580.5 million as of December 31, 2022 and March 31, 2022. The Company determined there was no indication of goodwill impairment as of December 31, 2022 and March 31, 2022.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Debt Obligations</w:t>
      </w:r>
    </w:p>
    <w:p>
      <w:pPr>
        <w:spacing w:after="0" w:line="23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0"/>
          <w:szCs w:val="20"/>
          <w:color w:val="auto"/>
        </w:rPr>
        <w:t>In September 2021, the Company entered into a credit agreement with various lenders (the “Credit Agreement”) in connection with the Greenspring acquisition. The Credit Agreement was arranged by JPMorgan Chase Bank, N.A., as the administrative agent, and provides for a $225.0 million multicurrency revolving credit facility (the “Revolver”) with a five-year maturity. As of December 31, 2022, the Company had $83.2 million outstanding on the Revolver, net of debt issuance costs.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debt obligations consist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20" w:type="dxa"/>
            <w:vAlign w:val="bottom"/>
          </w:tcPr>
          <w:p>
            <w:pPr>
              <w:spacing w:after="0"/>
              <w:rPr>
                <w:sz w:val="19"/>
                <w:szCs w:val="19"/>
                <w:color w:val="auto"/>
              </w:rPr>
            </w:pPr>
          </w:p>
        </w:tc>
        <w:tc>
          <w:tcPr>
            <w:tcW w:w="1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85,000</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65,000</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(1,767)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(2,121)</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83,233</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62,879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The Company may designate each borrowing as (i) in the case of any borrowing in U.S. dollars, a base rate loan or a LIBOR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weighted-average interest rate in effect for the Revolver as of December 31, 2022 was 6.42%.</w:t>
      </w:r>
    </w:p>
    <w:p>
      <w:pPr>
        <w:spacing w:after="0" w:line="178"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61"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46"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the Company to maintain a total net leverage ratio and a minimum total of fee-earning assets under management. As of December 31, 2022, the Company was in compliance with the total net leverage ratio and minimum fee-earning assets under management covenants.</w:t>
      </w:r>
    </w:p>
    <w:p>
      <w:pPr>
        <w:spacing w:after="0" w:line="19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The Company can use available funding capacity under the Revolver to satisfy letters of credit in amounts up to $10.0 million. Amounts used to satisfy the letters of credit reduce the available capacity under the Revolver. As of December 31, 2022, the Company had outstanding letters of credit totaling $7.8 million.</w:t>
      </w:r>
    </w:p>
    <w:p>
      <w:pPr>
        <w:spacing w:after="0" w:line="16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Equity-Based Compensation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 in unvested RSUs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Weighted-Average Grant-</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Date Fair Value Per RSU</w:t>
            </w:r>
          </w:p>
        </w:tc>
        <w:tc>
          <w:tcPr>
            <w:tcW w:w="0" w:type="dxa"/>
            <w:vAlign w:val="bottom"/>
          </w:tcPr>
          <w:p>
            <w:pPr>
              <w:spacing w:after="0"/>
              <w:rPr>
                <w:sz w:val="1"/>
                <w:szCs w:val="1"/>
                <w:color w:val="auto"/>
              </w:rPr>
            </w:pPr>
          </w:p>
        </w:tc>
      </w:tr>
      <w:tr>
        <w:trPr>
          <w:trHeight w:val="22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20.40</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center"/>
              <w:ind w:left="1313"/>
              <w:spacing w:after="0"/>
              <w:rPr>
                <w:sz w:val="20"/>
                <w:szCs w:val="20"/>
                <w:color w:val="auto"/>
              </w:rPr>
            </w:pPr>
            <w:r>
              <w:rPr>
                <w:rFonts w:ascii="Times New Roman" w:cs="Times New Roman" w:eastAsia="Times New Roman" w:hAnsi="Times New Roman"/>
                <w:sz w:val="18"/>
                <w:szCs w:val="18"/>
                <w:color w:val="auto"/>
                <w:w w:val="98"/>
              </w:rPr>
              <w:t>28.91</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21.36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In November 2022, one the Company’s non-wholly owned subsidiaries issued new partnership interests to certain employees with a grant date fair value of $6.1 million, vesting over six years. The issuance did not impact the Company’s fully diluted interest in the subsidiary.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Unvested Partnership Units</w:t>
      </w:r>
    </w:p>
    <w:p>
      <w:pPr>
        <w:spacing w:after="0" w:line="23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All Class B2 units will automatically convert into Class B units upon final vesting in 2024 and unitholders will be entitled to purchase from the Company one share of Class B common stock for each Class B unit at its par value. Prior to vesting, holders of Class B2 units do not have the right to receive any distributions from the Partnership, other than tax-related distributions.</w:t>
      </w:r>
    </w:p>
    <w:p>
      <w:pPr>
        <w:spacing w:after="0" w:line="168"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0"/>
          <w:szCs w:val="20"/>
          <w:color w:val="auto"/>
        </w:rPr>
        <w:t>As of December 31, 2022, there were 2,566,566 Class B2 units outstanding. During the nine months ended December 31, 2022, none of the outstanding Class B2 units were forfeited. As of December 31, 2022, 898,298 Class B2 units were unvested and 1,668,268 Class B2 units were vested.</w:t>
      </w:r>
    </w:p>
    <w:p>
      <w:pPr>
        <w:spacing w:after="0" w:line="161" w:lineRule="exact"/>
        <w:rPr>
          <w:sz w:val="20"/>
          <w:szCs w:val="20"/>
          <w:color w:val="auto"/>
        </w:rPr>
      </w:pPr>
    </w:p>
    <w:p>
      <w:pPr>
        <w:ind w:right="760" w:firstLine="648"/>
        <w:spacing w:after="0" w:line="283" w:lineRule="auto"/>
        <w:rPr>
          <w:sz w:val="20"/>
          <w:szCs w:val="20"/>
          <w:color w:val="auto"/>
        </w:rPr>
      </w:pPr>
      <w:r>
        <w:rPr>
          <w:rFonts w:ascii="Times New Roman" w:cs="Times New Roman" w:eastAsia="Times New Roman" w:hAnsi="Times New Roman"/>
          <w:sz w:val="20"/>
          <w:szCs w:val="20"/>
          <w:color w:val="auto"/>
        </w:rPr>
        <w:t>As of December 31, 2022, $35.0 million of unrecognized non-cash compensation expense in respect of equity-based awards remained to be recognized over a weighted-average period of approximately 3.3 years.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Liability Classified Awards</w:t>
      </w:r>
    </w:p>
    <w:p>
      <w:pPr>
        <w:spacing w:after="0" w:line="233"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In November 2022, the Company issued a profits interest in SPW to certain employees of the SPW team and concurrently entered into an option agreement which provides that, (i) StepStone has the right to acquire the profits interest at the end of any fiscal quarter after June 30, 2027, in exchange for payment of a call price and (ii) the SPW management team, through an entity named CH Equity Partners, LLC (formerly known as Conversus Holdings LLC), has the right to put the profits interest to StepStone on June 30, 2026 or at the end of any fiscal quarter thereafter, in exchange for payment of a put price. The applicable call or put price is, in certain circumstances, subject to an earn-out or earn-down. The call or put price will be payable in cash unless the Company elects to pay a portion of the consideration in units of the Partnership, each to be exchangeable into shares of the Company’s Class A common stock, and, in either case, rights under one or more tax receivable agreements.</w:t>
      </w:r>
    </w:p>
    <w:p>
      <w:pPr>
        <w:spacing w:after="0" w:line="182"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0"/>
          <w:szCs w:val="20"/>
          <w:color w:val="auto"/>
        </w:rPr>
        <w:t>The Company accounted for the profits interest and option agreement as a single unit of account as a liability classified equity-based award. There are no vesting provisions or service requirements related to the award. For the three and nine months ended December 31, 2022, the Company recognized $3.8 million of expense related to the fair value of the liability classified awards within equity-based compensation expense in the condensed consolidated statements of income. For the three and nine months ended December 31, 2022 and 2021, no amounts were paid related to settlement for liability classified awards.</w:t>
      </w:r>
    </w:p>
    <w:p>
      <w:pPr>
        <w:spacing w:after="0" w:line="16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connection with the exchanges of Class B and C units of the Partnership for Class A common stock by certain limited partners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Partnership, the Company recorded an increase to deferred tax assets of $4.8 million, and a net increase in the valuation allowance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$0.3 million. Additionally, in connection with the exchange transactions, the Company recorded a corresponding Tax Receivable Agreements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liability of $6.1 million, representing 85% of the incremental net cash tax savings for the Company due to the exchanging limited partners.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made payments of $1.1 million and $0.1 million during the three months ended December 31, 2022 and 2021, respectively,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$6.0 million and $0.7 million during the nine months ended December 31, 2022 and 2021, respectively, under the Tax Receivable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Agreements. As of December 31, 2022, the Company’s total Tax Receivable Agreements liability was $199.7 million. See note 12 for more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w:t>
      </w:r>
    </w:p>
    <w:p>
      <w:pPr>
        <w:spacing w:after="0" w:line="21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Company’s effective tax rate was 5.1% and 11.1% for the three months ended December 31, 2022 and 2021, respectively, and 6.3% and 4.0% for the nine months ended December 31, 2022 and 2021, respectively. The Company’s overall effective tax rate in each of the periods described above is less than the statutory rate. The primary rate difference for the three and nine months ended December 31, 2022 and 2021 relates to a portion of income that was allocated to non-controlling interests, as the tax liability on such income is borne by the holders of such non-controlling interests. Additionally, during the nine months ended December 31, 2021, the Company recorded a benefit of $25.3 million, related to the full release of the valuation allowance as a result of the deferred tax liability recorded in connection with the Greenspring acquisition.</w:t>
      </w:r>
    </w:p>
    <w:p>
      <w:pPr>
        <w:spacing w:after="0" w:line="193"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The Company evaluates the realizability of its deferred tax assets on a quarterly basis and adjusts the valuation allowance when it is more-likely-than-not that all or a portion of the deferred tax assets may not be realized.</w:t>
      </w:r>
    </w:p>
    <w:p>
      <w:pPr>
        <w:spacing w:after="0" w:line="173"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As of December 31, 2022, the Company has not recorded any unrecognized tax benefits and does not expect there to be any material changes to uncertain tax positions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Basic and diluted earnings per share of Class A common stock are presented for the three and nine months ended December 31, 2022 and 2021. The following table sets forth reconciliations of the numerators and denominators used to compute basic and diluted earnings per share of Class A common stock:</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40" w:type="dxa"/>
            <w:vAlign w:val="bottom"/>
          </w:tcPr>
          <w:p>
            <w:pPr>
              <w:spacing w:after="0"/>
              <w:rPr>
                <w:sz w:val="20"/>
                <w:szCs w:val="20"/>
                <w:color w:val="auto"/>
              </w:rPr>
            </w:pPr>
          </w:p>
        </w:tc>
        <w:tc>
          <w:tcPr>
            <w:tcW w:w="31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StepStone Group Inc.</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152,070</w:t>
            </w:r>
          </w:p>
        </w:tc>
        <w:tc>
          <w:tcPr>
            <w:tcW w:w="0" w:type="dxa"/>
            <w:vAlign w:val="bottom"/>
          </w:tcPr>
          <w:p>
            <w:pPr>
              <w:spacing w:after="0"/>
              <w:rPr>
                <w:sz w:val="1"/>
                <w:szCs w:val="1"/>
                <w:color w:val="auto"/>
              </w:rPr>
            </w:pPr>
          </w:p>
        </w:tc>
      </w:tr>
      <w:tr>
        <w:trPr>
          <w:trHeight w:val="230"/>
        </w:trPr>
        <w:tc>
          <w:tcPr>
            <w:tcW w:w="4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Incremental income from assumed vesting of RSUs</w:t>
            </w:r>
          </w:p>
        </w:tc>
        <w:tc>
          <w:tcPr>
            <w:tcW w:w="2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184"/>
        </w:trPr>
        <w:tc>
          <w:tcPr>
            <w:tcW w:w="4320" w:type="dxa"/>
            <w:vAlign w:val="bottom"/>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rPr>
              <w:t>Incremental income from assumed vesting and</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exchange of Class B2 units</w:t>
            </w:r>
          </w:p>
        </w:tc>
        <w:tc>
          <w:tcPr>
            <w:tcW w:w="2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0" w:type="dxa"/>
            <w:vAlign w:val="bottom"/>
          </w:tcPr>
          <w:p>
            <w:pPr>
              <w:spacing w:after="0"/>
              <w:rPr>
                <w:sz w:val="1"/>
                <w:szCs w:val="1"/>
                <w:color w:val="auto"/>
              </w:rPr>
            </w:pPr>
          </w:p>
        </w:tc>
      </w:tr>
      <w:tr>
        <w:trPr>
          <w:trHeight w:val="205"/>
        </w:trPr>
        <w:tc>
          <w:tcPr>
            <w:tcW w:w="43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StepStone Group Inc.</w:t>
            </w: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Pr>
          <w:p>
            <w:pPr>
              <w:spacing w:after="0"/>
              <w:rPr>
                <w:sz w:val="17"/>
                <w:szCs w:val="17"/>
                <w:color w:val="auto"/>
              </w:rPr>
            </w:pPr>
          </w:p>
        </w:tc>
        <w:tc>
          <w:tcPr>
            <w:tcW w:w="38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51,163</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(47,199)</w:t>
            </w:r>
          </w:p>
        </w:tc>
        <w:tc>
          <w:tcPr>
            <w:tcW w:w="80" w:type="dxa"/>
            <w:vAlign w:val="bottom"/>
          </w:tcPr>
          <w:p>
            <w:pPr>
              <w:spacing w:after="0"/>
              <w:rPr>
                <w:sz w:val="17"/>
                <w:szCs w:val="17"/>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161,580</w:t>
            </w:r>
          </w:p>
        </w:tc>
        <w:tc>
          <w:tcPr>
            <w:tcW w:w="0" w:type="dxa"/>
            <w:vAlign w:val="bottom"/>
          </w:tcPr>
          <w:p>
            <w:pPr>
              <w:spacing w:after="0"/>
              <w:rPr>
                <w:sz w:val="1"/>
                <w:szCs w:val="1"/>
                <w:color w:val="auto"/>
              </w:rPr>
            </w:pPr>
          </w:p>
        </w:tc>
      </w:tr>
      <w:tr>
        <w:trPr>
          <w:trHeight w:val="226"/>
        </w:trPr>
        <w:tc>
          <w:tcPr>
            <w:tcW w:w="4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Diluted</w:t>
            </w:r>
          </w:p>
        </w:tc>
        <w:tc>
          <w:tcPr>
            <w:tcW w:w="24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outstanding – Basic</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62,192,899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57,875,758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61,583,215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46,247,353</w:t>
            </w:r>
          </w:p>
        </w:tc>
        <w:tc>
          <w:tcPr>
            <w:tcW w:w="0" w:type="dxa"/>
            <w:vAlign w:val="bottom"/>
          </w:tcPr>
          <w:p>
            <w:pPr>
              <w:spacing w:after="0"/>
              <w:rPr>
                <w:sz w:val="1"/>
                <w:szCs w:val="1"/>
                <w:color w:val="auto"/>
              </w:rPr>
            </w:pPr>
          </w:p>
        </w:tc>
      </w:tr>
      <w:tr>
        <w:trPr>
          <w:trHeight w:val="230"/>
        </w:trPr>
        <w:tc>
          <w:tcPr>
            <w:tcW w:w="4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2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1,390,538</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and exchange of Class B2 units</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2,481,677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2,480,591</w:t>
            </w:r>
          </w:p>
        </w:tc>
        <w:tc>
          <w:tcPr>
            <w:tcW w:w="0" w:type="dxa"/>
            <w:vAlign w:val="bottom"/>
          </w:tcPr>
          <w:p>
            <w:pPr>
              <w:spacing w:after="0"/>
              <w:rPr>
                <w:sz w:val="1"/>
                <w:szCs w:val="1"/>
                <w:color w:val="auto"/>
              </w:rPr>
            </w:pPr>
          </w:p>
        </w:tc>
      </w:tr>
      <w:tr>
        <w:trPr>
          <w:trHeight w:val="205"/>
        </w:trPr>
        <w:tc>
          <w:tcPr>
            <w:tcW w:w="43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62,192,899</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61,483,233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61,583,215</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50,118,482</w:t>
            </w:r>
          </w:p>
        </w:tc>
        <w:tc>
          <w:tcPr>
            <w:tcW w:w="0" w:type="dxa"/>
            <w:vAlign w:val="bottom"/>
          </w:tcPr>
          <w:p>
            <w:pPr>
              <w:spacing w:after="0"/>
              <w:rPr>
                <w:sz w:val="1"/>
                <w:szCs w:val="1"/>
                <w:color w:val="auto"/>
              </w:rPr>
            </w:pPr>
          </w:p>
        </w:tc>
      </w:tr>
      <w:tr>
        <w:trPr>
          <w:trHeight w:val="221"/>
        </w:trPr>
        <w:tc>
          <w:tcPr>
            <w:tcW w:w="4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outstanding – Diluted</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34"/>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9"/>
          <w:szCs w:val="19"/>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6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81" w:lineRule="exact"/>
        <w:rPr>
          <w:sz w:val="20"/>
          <w:szCs w:val="20"/>
          <w:color w:val="auto"/>
        </w:rPr>
      </w:pPr>
    </w:p>
    <w:p>
      <w:pPr>
        <w:ind w:right="500" w:firstLine="648"/>
        <w:spacing w:after="0" w:line="254" w:lineRule="auto"/>
        <w:rPr>
          <w:sz w:val="20"/>
          <w:szCs w:val="20"/>
          <w:color w:val="auto"/>
        </w:rPr>
      </w:pPr>
      <w:r>
        <w:rPr>
          <w:rFonts w:ascii="Times New Roman" w:cs="Times New Roman" w:eastAsia="Times New Roman" w:hAnsi="Times New Roman"/>
          <w:sz w:val="20"/>
          <w:szCs w:val="20"/>
          <w:color w:val="auto"/>
        </w:rPr>
        <w:t>The calculation of diluted earnings per share excludes 46,420,141 Class B units and 2,514,085 Class C units of the Partnership outstanding as of December 31, 2022, and 47,499,673 Class B units and 2,928,824 Class C units of the Partnership outstanding as of December 31, 2021, which are exchangeable into Class A common stock under the if-converted method, as the inclusion of such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0"/>
          <w:szCs w:val="20"/>
          <w:color w:val="auto"/>
        </w:rPr>
        <w:t>The calculation of diluted earnings per share for the three and nine months ended December 31, 2022 excludes 1,471,982 shares of Class A common stock, 2,566,566 Class B2 units and 23,418 Class B units issuable pursuant to anti-dilution rights in connection with the vesting of Class B2 units that are convertible into Class A common stock under the if-converted method, as the inclusion of such shares would be anti-dilutive.</w:t>
      </w:r>
    </w:p>
    <w:p>
      <w:pPr>
        <w:spacing w:after="0" w:line="16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Related Party Transactions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considers its senior executives, employees and equity method investments to be related parties. A substantial portion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the Company’s management and advisory fees and carried interest allocations is earned from various StepStone Funds that are considered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method investments. The Company earned net management and advisory fees from the StepStone Funds of $88.4 million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$69.2 million for the three months ended December 31, 2022 and 2021, respectively, and $245.9 million and $165.7 million for the nine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months ended December 31, 2022 and 2021, respectively. Carried interest allocation revenues earned from the StepStone Funds totaled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$(47.0) million and $199.1 million for the three months ended December 31, 2022 and 2021, respectively, and $(241.7) million and $621.8</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million for the nine months ended December 31, 2022 and 2021, respectively. Legacy Greenspring carried interest allocation revenues earned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from certain legacy Greenspring funds for which the Company has no direct economic interests totaled $(88.9) million and $105.0 million for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three months ended December 31, 2022 and 2021, respectively, and $(371.2) million and $105.0 million for the nine months 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and 2021, respectively.</w:t>
      </w: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Due from affiliates in the condensed consolidated balance sheets consists primarily of fees and accounts receivable from the</w:t>
      </w:r>
    </w:p>
    <w:p>
      <w:pPr>
        <w:spacing w:after="0" w:line="28"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9"/>
          <w:szCs w:val="19"/>
          <w:color w:val="auto"/>
        </w:rPr>
        <w:t>StepStone Funds, advances made on behalf of the StepStone Funds for the payment of certain organization and operating costs and expenses for which the Company is subsequently reimbursed, amounts due from employees and loans due from affiliated entities, as set forth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StepStone Funds</w:t>
            </w: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receivable from employees</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loans</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from affiliates</w:t>
            </w: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35,749</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19,369</w:t>
            </w:r>
          </w:p>
        </w:tc>
      </w:tr>
      <w:tr>
        <w:trPr>
          <w:trHeight w:val="20"/>
        </w:trPr>
        <w:tc>
          <w:tcPr>
            <w:tcW w:w="8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380" w:firstLine="648"/>
        <w:spacing w:after="0" w:line="268" w:lineRule="auto"/>
        <w:rPr>
          <w:sz w:val="20"/>
          <w:szCs w:val="20"/>
          <w:color w:val="auto"/>
        </w:rPr>
      </w:pPr>
      <w:r>
        <w:rPr>
          <w:rFonts w:ascii="Times New Roman" w:cs="Times New Roman" w:eastAsia="Times New Roman" w:hAnsi="Times New Roman"/>
          <w:sz w:val="20"/>
          <w:szCs w:val="20"/>
          <w:color w:val="auto"/>
        </w:rPr>
        <w:t>Due to affiliates in the condensed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payable to non-controlling interest holders in connection with Tax Receivable Agreements</w:t>
            </w: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199,740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197,204</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payable to StepStone Funds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payable to certain employee equity holders of consolidated subsidiaries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23"/>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to affiliates</w:t>
            </w: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201,352</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199,355</w:t>
            </w:r>
          </w:p>
        </w:tc>
      </w:tr>
      <w:tr>
        <w:trPr>
          <w:trHeight w:val="20"/>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700" w:firstLine="648"/>
        <w:spacing w:after="0" w:line="261" w:lineRule="auto"/>
        <w:rPr>
          <w:sz w:val="20"/>
          <w:szCs w:val="20"/>
          <w:color w:val="auto"/>
        </w:rPr>
      </w:pPr>
      <w:r>
        <w:rPr>
          <w:rFonts w:ascii="Times New Roman" w:cs="Times New Roman" w:eastAsia="Times New Roman" w:hAnsi="Times New Roman"/>
          <w:sz w:val="20"/>
          <w:szCs w:val="20"/>
          <w:color w:val="auto"/>
        </w:rPr>
        <w:t>The Company made payments of $1.1 million and $0.1 million during the three months ended December 31, 2022 and 2021, respectively, and $6.0 million and $0.7 million for the nine months ended December 31, 2022 and 2021, respectively, under the Tax Receivable Agreements.</w:t>
      </w:r>
    </w:p>
    <w:p>
      <w:pPr>
        <w:spacing w:after="0" w:line="177" w:lineRule="exact"/>
        <w:rPr>
          <w:sz w:val="20"/>
          <w:szCs w:val="20"/>
          <w:color w:val="auto"/>
        </w:rPr>
      </w:pPr>
    </w:p>
    <w:p>
      <w:pPr>
        <w:ind w:left="660" w:right="6760" w:hanging="652"/>
        <w:spacing w:after="0" w:line="474" w:lineRule="auto"/>
        <w:tabs>
          <w:tab w:leader="none" w:pos="457"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and Redeemable Interests Stockholders’ Equity</w:t>
      </w: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7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 connection with the Greenspring acquisition, the limited partnership agreement of the Partnership was amended to create new Class C limited partnership interests and to admit the new limited partners that received Class C units as consideration for the Greenspring acquisition. The Class C limited partnership interests of the Partnership have substantially the same rights and obligations as are applicable to the existing holders of Class B units of the Partnership. The Company has no ownership interest in the Class C units, which are held by certain employees of the Company. The Company has also entered into an agreement with the Class C limited partners of the Partnership to allow for the exchange of Class C units to shares of Class A common stock of the Company on a one-for-one basis, subject to certain restrictions.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shows a rollforward of the Company’s shares of common stock outstanding since March 31,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61,141,306</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47,149,673</w:t>
            </w: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B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729,532</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(729,532)</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C partnership units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414,739</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2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issued for vesting of RSUs, net of shares withheld for</w:t>
            </w: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43"/>
        </w:trPr>
        <w:tc>
          <w:tcPr>
            <w:tcW w:w="6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employee taxes</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487,345</w:t>
            </w:r>
          </w:p>
        </w:tc>
        <w:tc>
          <w:tcPr>
            <w:tcW w:w="140" w:type="dxa"/>
            <w:vAlign w:val="bottom"/>
            <w:tcBorders>
              <w:bottom w:val="single" w:sz="8" w:color="CCEEFF"/>
            </w:tcBorders>
          </w:tcPr>
          <w:p>
            <w:pPr>
              <w:spacing w:after="0"/>
              <w:rPr>
                <w:sz w:val="21"/>
                <w:szCs w:val="21"/>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62,772,922</w:t>
            </w: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46,420,141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The Company has 25,000,000 authorized shares of preferred stock, par value of $0.001 per share, and as of December 31, 2022, no shares of preferred stock were issued or outstanding.</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In December 2022, the Company issued 296,756 shares of Class A common stock to certain limited partners of the Partnership in exchange for 296,756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 The Company also issued 414,739 shares of Class A common stock to certain limited partners of the Partnership in exchange for 414,739 Class C units in accordance with the elective exchange notices submitted pursuant to an agreement with the Class C limited partners (the “Class C Exchange Agreement”) to allow for exchange of Class C units of the Partnership to shares of Class A common stock of the Company on a one-for-one basis, subject to certain restrictions.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9"/>
          <w:szCs w:val="19"/>
          <w:color w:val="auto"/>
        </w:rPr>
        <w:t>In September 2022, the Company issued 175,000 shares of Class A common stock to certain limited partners of the Partnership in exchange for 175,000 Class B units in accordance with the elective exchange notices submitted pursuant to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w:t>
      </w:r>
    </w:p>
    <w:p>
      <w:pPr>
        <w:spacing w:after="0" w:line="175" w:lineRule="exact"/>
        <w:rPr>
          <w:sz w:val="20"/>
          <w:szCs w:val="20"/>
          <w:color w:val="auto"/>
        </w:rPr>
      </w:pPr>
    </w:p>
    <w:p>
      <w:pPr>
        <w:ind w:right="780" w:firstLine="648"/>
        <w:spacing w:after="0" w:line="276" w:lineRule="auto"/>
        <w:rPr>
          <w:sz w:val="20"/>
          <w:szCs w:val="20"/>
          <w:color w:val="auto"/>
        </w:rPr>
      </w:pPr>
      <w:r>
        <w:rPr>
          <w:rFonts w:ascii="Times New Roman" w:cs="Times New Roman" w:eastAsia="Times New Roman" w:hAnsi="Times New Roman"/>
          <w:sz w:val="19"/>
          <w:szCs w:val="19"/>
          <w:color w:val="auto"/>
        </w:rPr>
        <w:t>In June 2022, the Company issued 257,776 shares of Class A common stock to certain limited partners of the Partnership in exchange for 257,776 Class B units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w:t>
      </w:r>
    </w:p>
    <w:p>
      <w:pPr>
        <w:spacing w:after="0" w:line="156" w:lineRule="exact"/>
        <w:rPr>
          <w:sz w:val="20"/>
          <w:szCs w:val="20"/>
          <w:color w:val="auto"/>
        </w:rPr>
      </w:pPr>
    </w:p>
    <w:p>
      <w:pPr>
        <w:jc w:val="both"/>
        <w:ind w:right="500" w:firstLine="648"/>
        <w:spacing w:after="0" w:line="268" w:lineRule="auto"/>
        <w:rPr>
          <w:sz w:val="20"/>
          <w:szCs w:val="20"/>
          <w:color w:val="auto"/>
        </w:rPr>
      </w:pPr>
      <w:r>
        <w:rPr>
          <w:rFonts w:ascii="Times New Roman" w:cs="Times New Roman" w:eastAsia="Times New Roman" w:hAnsi="Times New Roman"/>
          <w:sz w:val="20"/>
          <w:szCs w:val="20"/>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6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81"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On November 3, 2022, the Company announced a quarterly cash dividend of $0.20 per share of Class A common stock, which was paid on December 15, 2022 to holders of record at the close of business on November 30, 2022.</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Redeemable Interests</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Consolidated Funds: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0"/>
                <w:szCs w:val="20"/>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68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Business Combinations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Greenspring Acquisition</w:t>
      </w:r>
    </w:p>
    <w:p>
      <w:pPr>
        <w:spacing w:after="0" w:line="22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On September 20, 2021, the Company completed the acquisition of 100% of the equity of Greenspring Associates, Inc. and certain of its affiliates (collectively, “Greenspring”) in exchange for (i) cash consideration of approximately $185 million, net of an agreed upon adjustment based upon Greenspring’s net working capital balance at the closing date, (ii) 12,686,756 shares of Class A common stock and</w:t>
      </w:r>
    </w:p>
    <w:p>
      <w:pPr>
        <w:spacing w:after="0" w:line="1" w:lineRule="exact"/>
        <w:rPr>
          <w:sz w:val="20"/>
          <w:szCs w:val="20"/>
          <w:color w:val="auto"/>
        </w:rPr>
      </w:pPr>
    </w:p>
    <w:p>
      <w:pPr>
        <w:ind w:right="300" w:firstLine="8"/>
        <w:spacing w:after="0" w:line="251" w:lineRule="auto"/>
        <w:tabs>
          <w:tab w:leader="none" w:pos="34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3,071,519 newly issued Class C units of the Partnership (the “Greenspring acquisition”), in each case subject to certain adjustments (including customary adjustments for cash, debt, debt-like items, transaction expenses and net working capital at closing). The transaction agreement also provides for the payment of an earn-out of up to $75 million that is payable in 2025 subject to the achievement of certain management fee revenue targets for calendar year 2024. The results of Greenspring’s operations have been included in the condensed consolidated financial statements effective September 20, 2021. The acquisition of Greenspring expanded the Company’s leadership in private markets solutions, providing added scale in venture capital and growth equity, and offering clients expanded access to the global innovation economy.</w:t>
      </w:r>
    </w:p>
    <w:p>
      <w:pPr>
        <w:spacing w:after="0" w:line="17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The aggregate purchase price for the acquisition of Greenspring and the estimated fair values of the assets acquired and liabilities assumed at the acquisition date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date fair value of consideration transferred:</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consideration</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186,577</w:t>
            </w:r>
          </w:p>
        </w:tc>
      </w:tr>
      <w:tr>
        <w:trPr>
          <w:trHeight w:val="229"/>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common stock</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558,598</w:t>
            </w:r>
          </w:p>
        </w:tc>
      </w:tr>
      <w:tr>
        <w:trPr>
          <w:trHeight w:val="230"/>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C units of the Partnership</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135,239</w:t>
            </w:r>
          </w:p>
        </w:tc>
      </w:tr>
      <w:tr>
        <w:trPr>
          <w:trHeight w:val="230"/>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w:t>
            </w:r>
          </w:p>
        </w:tc>
      </w:tr>
      <w:tr>
        <w:trPr>
          <w:trHeight w:val="223"/>
        </w:trPr>
        <w:tc>
          <w:tcPr>
            <w:tcW w:w="9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purchase price</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898,183</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90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 value of assets acquired and liabilities assumed:</w:t>
            </w: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short-term receivables</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r>
      <w:tr>
        <w:trPr>
          <w:trHeight w:val="230"/>
        </w:trPr>
        <w:tc>
          <w:tcPr>
            <w:tcW w:w="90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r>
              <w:rPr>
                <w:rFonts w:ascii="Times New Roman" w:cs="Times New Roman" w:eastAsia="Times New Roman" w:hAnsi="Times New Roman"/>
                <w:sz w:val="23"/>
                <w:szCs w:val="23"/>
                <w:color w:val="auto"/>
                <w:vertAlign w:val="superscript"/>
              </w:rPr>
              <w:t>(1)</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1,203,299</w:t>
            </w:r>
          </w:p>
        </w:tc>
      </w:tr>
      <w:tr>
        <w:trPr>
          <w:trHeight w:val="230"/>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30"/>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29"/>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Finite-lived intangible assets—contractual rights: management contracts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310,944</w:t>
            </w:r>
          </w:p>
        </w:tc>
      </w:tr>
      <w:tr>
        <w:trPr>
          <w:trHeight w:val="230"/>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Finite-lived intangible assets—client relationships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r>
      <w:tr>
        <w:trPr>
          <w:trHeight w:val="230"/>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Finite-lived intangible assets—contractual rights: service agreements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r>
      <w:tr>
        <w:trPr>
          <w:trHeight w:val="230"/>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573,750</w:t>
            </w:r>
          </w:p>
        </w:tc>
      </w:tr>
      <w:tr>
        <w:trPr>
          <w:trHeight w:val="229"/>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(95,884)</w:t>
            </w:r>
          </w:p>
        </w:tc>
      </w:tr>
      <w:tr>
        <w:trPr>
          <w:trHeight w:val="230"/>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r>
      <w:tr>
        <w:trPr>
          <w:trHeight w:val="230"/>
        </w:trPr>
        <w:tc>
          <w:tcPr>
            <w:tcW w:w="90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Legacy Greenspring accrued carried interest-related compensation</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(1,045,157)</w:t>
            </w:r>
          </w:p>
        </w:tc>
      </w:tr>
      <w:tr>
        <w:trPr>
          <w:trHeight w:val="230"/>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29"/>
        </w:trPr>
        <w:tc>
          <w:tcPr>
            <w:tcW w:w="90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Non-controlling interests in legacy Greenspring entities</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(158,142)</w:t>
            </w:r>
          </w:p>
        </w:tc>
      </w:tr>
      <w:tr>
        <w:trPr>
          <w:trHeight w:val="223"/>
        </w:trPr>
        <w:tc>
          <w:tcPr>
            <w:tcW w:w="9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898,183</w:t>
            </w:r>
          </w:p>
        </w:tc>
      </w:tr>
      <w:tr>
        <w:trPr>
          <w:trHeight w:val="20"/>
        </w:trPr>
        <w:tc>
          <w:tcPr>
            <w:tcW w:w="9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8" w:lineRule="exact"/>
        <w:rPr>
          <w:sz w:val="20"/>
          <w:szCs w:val="20"/>
          <w:color w:val="auto"/>
        </w:rPr>
      </w:pPr>
    </w:p>
    <w:p>
      <w:pPr>
        <w:jc w:val="both"/>
        <w:ind w:left="660" w:right="400" w:hanging="652"/>
        <w:spacing w:after="0" w:line="266"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investments in funds and carried interest allocations attributable to consolidated VIEs for which the Company did not acquire any direct economic interests. Such amounts are attributable to employees and therefore have been reflected as non-controlling interests in legacy Greenspring entities and legacy Greenspring accrued carried interest-related compensation, respectively.</w:t>
      </w:r>
    </w:p>
    <w:p>
      <w:pPr>
        <w:spacing w:after="0" w:line="171"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For the nine months ended December 31, 2021, the Company incurred $13.8 million of acquisition-related costs that were expensed as incurred and included in general, administrative and other expenses in the condensed consolidated statements of income.</w:t>
      </w:r>
    </w:p>
    <w:p>
      <w:pPr>
        <w:spacing w:after="0" w:line="14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0"/>
          <w:szCs w:val="20"/>
          <w:color w:val="auto"/>
        </w:rPr>
        <w:t>The Company allocated $320.5 million and $96.7 million of the purchase price to the fair value of contractual rights and client relationships, respectively, which is being amortized over a weighted-average amortization period of 10.0 years. The $573.8 million of goodwill primarily related to Greenspring’s assembled workforce and business synergies expected to be realized from the transaction. This goodwill is not deductible for tax purposes.</w:t>
      </w:r>
    </w:p>
    <w:p>
      <w:pPr>
        <w:spacing w:after="0" w:line="186"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The amount of revenues and net income of Greenspring (including amounts attributable to legacy Greenspring entities) from the acquisition date of September 20, 2021 to December 31, 2021 were approximately $127 million and $28 million, respectively.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supplemental unaudited pro forma information assumes the Greenspring acquisition, as well as the Reorganization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IPO, had been consummated as of April 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Pr>
          <w:p>
            <w:pPr>
              <w:spacing w:after="0"/>
              <w:rPr>
                <w:sz w:val="20"/>
                <w:szCs w:val="20"/>
                <w:color w:val="auto"/>
              </w:rPr>
            </w:pPr>
          </w:p>
        </w:tc>
        <w:tc>
          <w:tcPr>
            <w:tcW w:w="1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5"/>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410,465</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1,505,300</w:t>
            </w: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StepStone Group Inc.</w:t>
            </w: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134,181</w:t>
            </w:r>
          </w:p>
        </w:tc>
      </w:tr>
    </w:tbl>
    <w:p>
      <w:pPr>
        <w:spacing w:after="0" w:line="283"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20"/>
          <w:szCs w:val="20"/>
          <w:color w:val="auto"/>
        </w:rPr>
        <w:t>The Company’s fiscal year ends on March 31, and prior to the transaction, Greenspring’s fiscal year ended on December 31. To comply with SEC rules and regulations for companies with different fiscal year ends, the pro forma condensed combined financial information has been prepared utilizing periods that differ by less than 93 days. The unaudited pro forma information for the three and nine months ended December 31, 2021 combines the Company’s historical unaudited condensed consolidated statements of income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Greenspring’s historical unaudited condensed combined statements of income for the three and nine months ended December 31, 2021</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auto"/>
        </w:rPr>
        <w:t>The supplemental unaudited pro forma information is based on estimates and assumptions believed reasonable and are not necessarily indicative of the Company’s consolidated results in future periods or the results that actually would have been realized had the Greenspring acquisition been completed to create a combined entity during the periods presented. The pro forma amounts have been calculated after reflecting the following adjustments that were directly attributable to the Reorganization, IPO, Greenspring acquisition and the related debt issuance used to fund a portion of the cash consideration, as if the transactions were consummated on April 1, 2020:</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Reorganization and IPO</w:t>
      </w:r>
    </w:p>
    <w:p>
      <w:pPr>
        <w:spacing w:after="0" w:line="220"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compensation expense associated with the 2.5 million RSUs issued in connection with the IPO;</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on interest expense to reflect the repayment of outstanding debt using a portion of the IPO proceeds;</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federal and state income taxes for the Company’s share of taxable income generated by the Partnership;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right="3920" w:hanging="328"/>
        <w:spacing w:after="0" w:line="471" w:lineRule="auto"/>
        <w:tabs>
          <w:tab w:leader="none" w:pos="648"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adjustments to reflect the pro-rata economic ownership attributable to the Company. </w:t>
      </w:r>
      <w:r>
        <w:rPr>
          <w:rFonts w:ascii="Times New Roman" w:cs="Times New Roman" w:eastAsia="Times New Roman" w:hAnsi="Times New Roman"/>
          <w:sz w:val="20"/>
          <w:szCs w:val="20"/>
          <w:i w:val="1"/>
          <w:iCs w:val="1"/>
          <w:color w:val="auto"/>
        </w:rPr>
        <w:t>Debt Financing</w:t>
      </w:r>
    </w:p>
    <w:p>
      <w:pPr>
        <w:spacing w:after="0" w:line="1" w:lineRule="exact"/>
        <w:rPr>
          <w:rFonts w:ascii="Times New Roman" w:cs="Times New Roman" w:eastAsia="Times New Roman" w:hAnsi="Times New Roman"/>
          <w:sz w:val="20"/>
          <w:szCs w:val="20"/>
          <w:color w:val="auto"/>
        </w:rPr>
      </w:pPr>
    </w:p>
    <w:p>
      <w:pPr>
        <w:ind w:left="660" w:right="1760" w:hanging="328"/>
        <w:spacing w:after="0" w:line="471" w:lineRule="auto"/>
        <w:tabs>
          <w:tab w:leader="none" w:pos="648"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adjustments to include interest expense related to the Revolver used to fund a portion of the cash consideration. </w:t>
      </w:r>
      <w:r>
        <w:rPr>
          <w:rFonts w:ascii="Times New Roman" w:cs="Times New Roman" w:eastAsia="Times New Roman" w:hAnsi="Times New Roman"/>
          <w:sz w:val="20"/>
          <w:szCs w:val="20"/>
          <w:i w:val="1"/>
          <w:iCs w:val="1"/>
          <w:color w:val="auto"/>
        </w:rPr>
        <w:t>Greenspring Acquisition</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the impact of additional amortization of acquired intangible assets that would have been charged;</w:t>
      </w:r>
    </w:p>
    <w:p>
      <w:pPr>
        <w:spacing w:after="0" w:line="229" w:lineRule="exact"/>
        <w:rPr>
          <w:rFonts w:ascii="Times New Roman" w:cs="Times New Roman" w:eastAsia="Times New Roman" w:hAnsi="Times New Roman"/>
          <w:sz w:val="20"/>
          <w:szCs w:val="20"/>
          <w:color w:val="auto"/>
        </w:rPr>
      </w:pPr>
    </w:p>
    <w:p>
      <w:pPr>
        <w:ind w:left="660" w:right="160" w:hanging="328"/>
        <w:spacing w:after="0" w:line="283" w:lineRule="auto"/>
        <w:tabs>
          <w:tab w:leader="none" w:pos="648"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the issuance of Class A common stock of the Company and Class C units of the Partnership as consideration for the transaction;</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reflect the pro-rata economic ownership attributable to the Company;</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reflect the tax effects of the Greenspring acquisition and including Greenspring in the Company’s results; and</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acquisition-related transaction costs in earnings for the nine months ended December 31, 2020.</w:t>
      </w:r>
    </w:p>
    <w:p>
      <w:pPr>
        <w:spacing w:after="0" w:line="225"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December 31, 2022.</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 Commitments</w:t>
      </w:r>
    </w:p>
    <w:p>
      <w:pPr>
        <w:spacing w:after="0" w:line="22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0"/>
          <w:szCs w:val="20"/>
          <w:color w:val="auto"/>
        </w:rPr>
        <w:t>The Company leases offices in 25 cities in the North America, South America, Europe, Asia and Australia, and certain equipment subject to operating lease agreements expiring through 2039, some of which may include options to extend or terminate the lease. As of December 31, 2022, there were no finance leases outstanding.</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The components of lease expense included in general, administrative and other expenses in the condensed consolidated statements of income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7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60" w:type="dxa"/>
            <w:vAlign w:val="bottom"/>
          </w:tcPr>
          <w:p>
            <w:pPr>
              <w:spacing w:after="0"/>
              <w:rPr>
                <w:sz w:val="20"/>
                <w:szCs w:val="20"/>
                <w:color w:val="auto"/>
              </w:rPr>
            </w:pPr>
          </w:p>
        </w:tc>
        <w:tc>
          <w:tcPr>
            <w:tcW w:w="3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404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0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(1)(2)</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23"/>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r>
      <w:tr>
        <w:trPr>
          <w:trHeight w:val="21"/>
        </w:trPr>
        <w:tc>
          <w:tcPr>
            <w:tcW w:w="4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an immaterial amount of short-term leases.</w:t>
      </w:r>
    </w:p>
    <w:p>
      <w:pPr>
        <w:spacing w:after="0" w:line="9" w:lineRule="exact"/>
        <w:rPr>
          <w:rFonts w:ascii="Times New Roman" w:cs="Times New Roman" w:eastAsia="Times New Roman" w:hAnsi="Times New Roman"/>
          <w:sz w:val="18"/>
          <w:szCs w:val="18"/>
          <w:color w:val="auto"/>
        </w:rPr>
      </w:pPr>
    </w:p>
    <w:p>
      <w:pPr>
        <w:ind w:left="660" w:right="180" w:hanging="652"/>
        <w:spacing w:after="0" w:line="260"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nine months ended December 31, 2022 include a gain of $2.7 million related to lease remeasurement adjustments due to a reduction in lease terms.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Supplemental cash flow information related to leases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64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76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7,448</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7,343</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for operating leases (in years)</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operating leases</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2022, maturities of operating lease liabilities were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FY2023</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FY2024</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12,894</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108,586</w:t>
            </w:r>
          </w:p>
        </w:tc>
      </w:tr>
      <w:tr>
        <w:trPr>
          <w:trHeight w:val="223"/>
        </w:trPr>
        <w:tc>
          <w:tcPr>
            <w:tcW w:w="9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168,381</w:t>
            </w:r>
          </w:p>
        </w:tc>
      </w:tr>
      <w:tr>
        <w:trPr>
          <w:trHeight w:val="230"/>
        </w:trPr>
        <w:tc>
          <w:tcPr>
            <w:tcW w:w="9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(44,063)</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124,318</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Unfunded Capital Commitments</w:t>
      </w:r>
    </w:p>
    <w:p>
      <w:pPr>
        <w:spacing w:after="0" w:line="23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As of December 31, 2022 and March 31, 2022, the Company, generally in its capacity as general partner or managing member of the StepStone Funds, had unfunded commitments totaling $87.0 million and $68.2 million, respectively. The $87.0 million and $68.2 million of unfunded commitments as of December 31, 2022 and March 31, 2022, respectively, exclude $51.7 million and $40.5 million, respectively, related to commitments held by the legacy Greenspring general partner entities in legacy Greenspring funds for which the Company does not hold any direct economic interests.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Carried Interest Allocations</w:t>
      </w:r>
    </w:p>
    <w:p>
      <w:pPr>
        <w:spacing w:after="0" w:line="23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December 31, 2022 and March 31, 2022, no material amounts for potential clawback obligations had been accrued. This contingent obligation is normally reduced by income taxes that the Company has paid related to the carried interest allocations. As of December 31, 2022, the maximum amount of carried interest allocations (excluding legacy Greenspring carried interest allocations) attributable to the Company subject to contingent repayment was an estimated $260.7 million, net of tax, assuming the fair value of all investments was zero, a possibility that the Company views as remote.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Indemnification Arrangements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December 31, 2022 and March 31, 2022. Based on past experience, management believes that the risk of loss related to these indemnities is remote.</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Subsequent Events</w:t>
      </w:r>
    </w:p>
    <w:p>
      <w:pPr>
        <w:spacing w:after="0" w:line="233"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0"/>
          <w:szCs w:val="20"/>
          <w:color w:val="auto"/>
        </w:rPr>
        <w:t>On February 9, 2023, the Company announced a quarterly cash dividend of $0.20 per share of Class A common stock, payable on March 15, 2023 to holders of record as of the close of business on February 28, 2023.</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46" w:name="page47"/>
    <w:bookmarkEnd w:id="46"/>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2022 filed with the SEC. In this quarterly report, references to “we,” “us,” “our,” “StepStone” and similar terms refer to SSG and its consolidated subsidiaries, including the Partnership.</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2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We are a global private markets investment firm focused on providing customized investment solutions and advisory, data and administrative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December 31, 2022, we were responsible for approximately $602 billion of total capital, including $134 billion of AUM and $468 billion of AUA.</w:t>
      </w:r>
    </w:p>
    <w:p>
      <w:pPr>
        <w:spacing w:after="0" w:line="18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25 cities across 15 countries on five continents. Our offices are staffed by investment professionals who bring valuable regional insights and language proficiency to enhance existing client relationships and build new client relationships. Since our inception in 2007, we have invested heavily in our platforms to drive growth and expand our investment solutions capabilities and service offerings, including through opportunistic transactions that have helped accelerate the growth of our team and capabilities. As of December 31, 2022, we had 920 total employees, including 312 investment professionals and 608 employees across our operating team and implementation teams dedicated to sourcing, executing, analyzing and monitoring private markets opportunities.</w:t>
      </w:r>
    </w:p>
    <w:p>
      <w:pPr>
        <w:spacing w:after="0" w:line="195"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69" w:lineRule="exact"/>
        <w:rPr>
          <w:sz w:val="20"/>
          <w:szCs w:val="20"/>
          <w:color w:val="auto"/>
        </w:rPr>
      </w:pPr>
    </w:p>
    <w:p>
      <w:pPr>
        <w:ind w:left="660" w:right="80" w:hanging="328"/>
        <w:spacing w:after="0" w:line="260"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Separately managed accounts (“SMAs”)</w:t>
      </w:r>
      <w:r>
        <w:rPr>
          <w:rFonts w:ascii="Times New Roman" w:cs="Times New Roman" w:eastAsia="Times New Roman" w:hAnsi="Times New Roman"/>
          <w:sz w:val="20"/>
          <w:szCs w:val="20"/>
          <w:color w:val="000000"/>
        </w:rPr>
        <w:t>. Owned by one client and managed according to their specific preferences, SMAs integrate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$78 billion of our AUM as of December 31, 2022</w:t>
      </w:r>
      <w:r>
        <w:rPr>
          <w:rFonts w:ascii="Times New Roman" w:cs="Times New Roman" w:eastAsia="Times New Roman" w:hAnsi="Times New Roman"/>
          <w:sz w:val="20"/>
          <w:szCs w:val="20"/>
          <w:color w:val="231F20"/>
        </w:rPr>
        <w:t>.</w:t>
      </w:r>
    </w:p>
    <w:p>
      <w:pPr>
        <w:spacing w:after="0" w:line="164" w:lineRule="exact"/>
        <w:rPr>
          <w:rFonts w:ascii="Times New Roman" w:cs="Times New Roman" w:eastAsia="Times New Roman" w:hAnsi="Times New Roman"/>
          <w:sz w:val="20"/>
          <w:szCs w:val="20"/>
          <w:color w:val="auto"/>
        </w:rPr>
      </w:pPr>
    </w:p>
    <w:p>
      <w:pPr>
        <w:ind w:left="660" w:right="200" w:hanging="328"/>
        <w:spacing w:after="0" w:line="287"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Focused commingled funds. </w:t>
      </w:r>
      <w:r>
        <w:rPr>
          <w:rFonts w:ascii="Times New Roman" w:cs="Times New Roman" w:eastAsia="Times New Roman" w:hAnsi="Times New Roman"/>
          <w:sz w:val="20"/>
          <w:szCs w:val="20"/>
          <w:color w:val="231F20"/>
        </w:rPr>
        <w:t>Owned by multiple clients, our focused commingled funds deploy capital in specific asset classes with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defined investment strategies. Focused commingled funds comprised $43 billion of our AUM as of </w:t>
      </w:r>
      <w:r>
        <w:rPr>
          <w:rFonts w:ascii="Times New Roman" w:cs="Times New Roman" w:eastAsia="Times New Roman" w:hAnsi="Times New Roman"/>
          <w:sz w:val="20"/>
          <w:szCs w:val="20"/>
          <w:color w:val="000000"/>
        </w:rPr>
        <w:t>December 31, 2022</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31" w:lineRule="exact"/>
        <w:rPr>
          <w:sz w:val="20"/>
          <w:szCs w:val="20"/>
          <w:color w:val="auto"/>
        </w:rPr>
      </w:pPr>
    </w:p>
    <w:p>
      <w:pPr>
        <w:ind w:left="660" w:right="40" w:hanging="328"/>
        <w:spacing w:after="0" w:line="254"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Advisory, data and administrative services. </w:t>
      </w:r>
      <w:r>
        <w:rPr>
          <w:rFonts w:ascii="Times New Roman" w:cs="Times New Roman" w:eastAsia="Times New Roman" w:hAnsi="Times New Roman"/>
          <w:sz w:val="20"/>
          <w:szCs w:val="20"/>
          <w:color w:val="231F20"/>
        </w:rPr>
        <w:t>These services include one or more of the following for our clients: (i) recurring support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(v) licensed access to our proprietary data and technology platforms, including StepStone Private Markets Intelligence (“SPI”) and our other proprietary tools, and (vi) administrative services to unaffiliated investment advisors. Advisory relationships comprised </w:t>
      </w:r>
      <w:r>
        <w:rPr>
          <w:rFonts w:ascii="Times New Roman" w:cs="Times New Roman" w:eastAsia="Times New Roman" w:hAnsi="Times New Roman"/>
          <w:sz w:val="20"/>
          <w:szCs w:val="20"/>
          <w:color w:val="000000"/>
        </w:rPr>
        <w:t>$468 billion</w:t>
      </w:r>
      <w:r>
        <w:rPr>
          <w:rFonts w:ascii="Times New Roman" w:cs="Times New Roman" w:eastAsia="Times New Roman" w:hAnsi="Times New Roman"/>
          <w:sz w:val="20"/>
          <w:szCs w:val="20"/>
          <w:color w:val="231F20"/>
        </w:rPr>
        <w:t xml:space="preserve"> of our AUA and $13 billion of our AUM as of </w:t>
      </w:r>
      <w:r>
        <w:rPr>
          <w:rFonts w:ascii="Times New Roman" w:cs="Times New Roman" w:eastAsia="Times New Roman" w:hAnsi="Times New Roman"/>
          <w:sz w:val="20"/>
          <w:szCs w:val="20"/>
          <w:color w:val="000000"/>
        </w:rPr>
        <w:t>December 31, 2022</w:t>
      </w:r>
      <w:r>
        <w:rPr>
          <w:rFonts w:ascii="Times New Roman" w:cs="Times New Roman" w:eastAsia="Times New Roman" w:hAnsi="Times New Roman"/>
          <w:sz w:val="20"/>
          <w:szCs w:val="20"/>
          <w:color w:val="231F20"/>
        </w:rPr>
        <w:t>.</w:t>
      </w:r>
    </w:p>
    <w:p>
      <w:pPr>
        <w:spacing w:after="0" w:line="172" w:lineRule="exact"/>
        <w:rPr>
          <w:rFonts w:ascii="Times New Roman" w:cs="Times New Roman" w:eastAsia="Times New Roman" w:hAnsi="Times New Roman"/>
          <w:sz w:val="20"/>
          <w:szCs w:val="20"/>
          <w:color w:val="auto"/>
        </w:rPr>
      </w:pPr>
    </w:p>
    <w:p>
      <w:pPr>
        <w:ind w:left="660" w:right="400" w:hanging="328"/>
        <w:spacing w:after="0" w:line="258"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Portfolio analytics and reporting. </w:t>
      </w:r>
      <w:r>
        <w:rPr>
          <w:rFonts w:ascii="Times New Roman" w:cs="Times New Roman" w:eastAsia="Times New Roman" w:hAnsi="Times New Roman"/>
          <w:sz w:val="20"/>
          <w:szCs w:val="20"/>
          <w:color w:val="231F20"/>
        </w:rPr>
        <w:t>We provide clients with tailored reporting packages, including customized performance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benchmarks as well as associated compliance, administrative and tax capabilities. Mandates for portfolio analytics and reporting services typically include licensed access to our proprietary performance monitoring software, Omni. Omni tracked detailed information on over $885 billion of client commitments as of </w:t>
      </w:r>
      <w:r>
        <w:rPr>
          <w:rFonts w:ascii="Times New Roman" w:cs="Times New Roman" w:eastAsia="Times New Roman" w:hAnsi="Times New Roman"/>
          <w:sz w:val="20"/>
          <w:szCs w:val="20"/>
          <w:color w:val="000000"/>
        </w:rPr>
        <w:t>December 31, 2022</w:t>
      </w:r>
      <w:r>
        <w:rPr>
          <w:rFonts w:ascii="Times New Roman" w:cs="Times New Roman" w:eastAsia="Times New Roman" w:hAnsi="Times New Roman"/>
          <w:sz w:val="20"/>
          <w:szCs w:val="20"/>
          <w:color w:val="231F20"/>
        </w:rPr>
        <w:t>, inclusive of our total capital responsibility, previously exited investments and investments of former clients.</w:t>
      </w:r>
    </w:p>
    <w:p>
      <w:pPr>
        <w:spacing w:after="0" w:line="17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0"/>
          <w:szCs w:val="20"/>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Trends Affecting Our Business</w:t>
      </w:r>
    </w:p>
    <w:p>
      <w:pPr>
        <w:spacing w:after="0" w:line="220"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19"/>
          <w:szCs w:val="19"/>
          <w:color w:val="auto"/>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231F20"/>
        </w:rPr>
        <w:t>In addition to these macroeconomic trends and market factors, we believe our future performance will be influenced by the following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factors:</w:t>
      </w:r>
    </w:p>
    <w:p>
      <w:pPr>
        <w:spacing w:after="0" w:line="203" w:lineRule="exact"/>
        <w:rPr>
          <w:sz w:val="20"/>
          <w:szCs w:val="20"/>
          <w:color w:val="auto"/>
        </w:rPr>
      </w:pPr>
    </w:p>
    <w:p>
      <w:pPr>
        <w:ind w:left="660" w:hanging="328"/>
        <w:spacing w:after="0" w:line="254"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The extent to which clients favor private markets investments. </w:t>
      </w:r>
      <w:r>
        <w:rPr>
          <w:rFonts w:ascii="Times New Roman" w:cs="Times New Roman" w:eastAsia="Times New Roman" w:hAnsi="Times New Roman"/>
          <w:sz w:val="20"/>
          <w:szCs w:val="20"/>
          <w:color w:val="231F20"/>
        </w:rPr>
        <w:t>Our ability to attract new capital is partially dependent on clients’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73" w:lineRule="exact"/>
        <w:rPr>
          <w:rFonts w:ascii="Times New Roman" w:cs="Times New Roman" w:eastAsia="Times New Roman" w:hAnsi="Times New Roman"/>
          <w:sz w:val="20"/>
          <w:szCs w:val="20"/>
          <w:color w:val="auto"/>
        </w:rPr>
      </w:pPr>
    </w:p>
    <w:p>
      <w:pPr>
        <w:ind w:left="660" w:hanging="328"/>
        <w:spacing w:after="0" w:line="258"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generate strong, stable returns. </w:t>
      </w:r>
      <w:r>
        <w:rPr>
          <w:rFonts w:ascii="Times New Roman" w:cs="Times New Roman" w:eastAsia="Times New Roman" w:hAnsi="Times New Roman"/>
          <w:sz w:val="20"/>
          <w:szCs w:val="20"/>
          <w:color w:val="231F20"/>
        </w:rPr>
        <w:t>Our ability to raise and retain capital is partially dependent on the investment returns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31" w:lineRule="exact"/>
        <w:rPr>
          <w:sz w:val="20"/>
          <w:szCs w:val="20"/>
          <w:color w:val="auto"/>
        </w:rPr>
      </w:pPr>
    </w:p>
    <w:p>
      <w:pPr>
        <w:ind w:left="660" w:right="40" w:hanging="328"/>
        <w:spacing w:after="0" w:line="254"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maintain our data advantage relative to competitors. </w:t>
      </w:r>
      <w:r>
        <w:rPr>
          <w:rFonts w:ascii="Times New Roman" w:cs="Times New Roman" w:eastAsia="Times New Roman" w:hAnsi="Times New Roman"/>
          <w:sz w:val="20"/>
          <w:szCs w:val="20"/>
          <w:color w:val="231F20"/>
        </w:rPr>
        <w:t>Our proprietary data and technology platforms, analytical tools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87" w:lineRule="exact"/>
        <w:rPr>
          <w:rFonts w:ascii="Times New Roman" w:cs="Times New Roman" w:eastAsia="Times New Roman" w:hAnsi="Times New Roman"/>
          <w:sz w:val="20"/>
          <w:szCs w:val="20"/>
          <w:color w:val="auto"/>
        </w:rPr>
      </w:pPr>
    </w:p>
    <w:p>
      <w:pPr>
        <w:ind w:left="660" w:hanging="328"/>
        <w:spacing w:after="0" w:line="254"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source investments with attractive risk-adjusted returns. </w:t>
      </w:r>
      <w:r>
        <w:rPr>
          <w:rFonts w:ascii="Times New Roman" w:cs="Times New Roman" w:eastAsia="Times New Roman" w:hAnsi="Times New Roman"/>
          <w:sz w:val="20"/>
          <w:szCs w:val="20"/>
          <w:color w:val="231F20"/>
        </w:rPr>
        <w:t>The continued growth in our revenues is dependent on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72" w:lineRule="exact"/>
        <w:rPr>
          <w:rFonts w:ascii="Times New Roman" w:cs="Times New Roman" w:eastAsia="Times New Roman" w:hAnsi="Times New Roman"/>
          <w:sz w:val="20"/>
          <w:szCs w:val="20"/>
          <w:color w:val="auto"/>
        </w:rPr>
      </w:pPr>
    </w:p>
    <w:p>
      <w:pPr>
        <w:ind w:left="660" w:right="20" w:hanging="328"/>
        <w:spacing w:after="0" w:line="258"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Increased competition and clients’ desire to work with fewer managers. </w:t>
      </w:r>
      <w:r>
        <w:rPr>
          <w:rFonts w:ascii="Times New Roman" w:cs="Times New Roman" w:eastAsia="Times New Roman" w:hAnsi="Times New Roman"/>
          <w:sz w:val="20"/>
          <w:szCs w:val="20"/>
          <w:color w:val="231F20"/>
        </w:rPr>
        <w:t>There has been an increasing desire on the part of larger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231F20"/>
        </w:rPr>
        <w:t>We are continuing to closely monitor developments related to COVID-19, inflation, rising interest rates and the Russia-Ukraine conflict, and to assess the impact on financial markets and on our business. Our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 revenues. I</w:t>
      </w:r>
      <w:r>
        <w:rPr>
          <w:rFonts w:ascii="Times New Roman" w:cs="Times New Roman" w:eastAsia="Times New Roman" w:hAnsi="Times New Roman"/>
          <w:sz w:val="20"/>
          <w:szCs w:val="20"/>
          <w:color w:val="000000"/>
        </w:rPr>
        <w:t>t is currently not possible to predict the ultimate effects of these events on the financial markets, overall economy and our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condensed consolidated financial statements. For a description on the impact of these and other factors, see “Risk Factors—Risks Related to Our Industry—Difficult or volatile market and political conditions can adversely affect our business by reducing the market value of the assets we manage or causing our SMA clients to reduce their investments in private markets” and “—The COVID-19 pandemic has severely disrupted the global financial markets and business climate and may adversely affect our business, financial condition and results of operations” included in our annual report on Form 10-K for the fiscal year ended March 31, 2022.</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Recent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Private Wealth Transaction</w:t>
      </w:r>
    </w:p>
    <w:p>
      <w:pPr>
        <w:spacing w:after="0" w:line="220"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auto"/>
        </w:rPr>
        <w:t>In November 2022, we entered into new arrangements with the StepStone Group Private Wealth LLC (“SPW”) management team, which are intended to update the legacy SPW compensation structure to better incentivize the SPW team to grow the platform, while ensuring the platform will remain part of StepStone going forward (the “Private Wealth Transaction”). SPW, which was formerly known as Conversus, is the platform established by us to expand access to the private markets for high-net-worth and accredited investors. At the establishment of the platform, the SPW management team were provided an ability to acquire the platform from us in exchange for an amount which would have provided us a return of our initial investment plus an equity return.</w:t>
      </w:r>
    </w:p>
    <w:p>
      <w:pPr>
        <w:spacing w:after="0" w:line="192"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As part of the new arrangements, certain members of the SPW team received a profits interest in SPW and concurrently entered into an option agreement which provides that, (i) we have the right to acquire the profits interest at the end of any fiscal quarter after June 30, 2027, in exchange for payment of a call price and (ii) the SPW management team, through an entity named CH Equity Partners, LLC (formerly known as Conversus Holdings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a portion of the consideration in units of the Partnership, each to be exchangeable into shares of our Class A common stock, and, in either case, rights under one or more tax receivable agreements. See the Option Agreement, which is filed as an exhibit to this quarterly report on Form 10-Q, for additional information.</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June 2022, we issued 257,776 shares of Class A common stock to certain limited partners of the Partnership in exchange for</w:t>
      </w:r>
    </w:p>
    <w:p>
      <w:pPr>
        <w:spacing w:after="0" w:line="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257,776 Class B units in accordance with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September 2022, we issued 175,000 shares of Class A common stock to certain limited partners of the Partnership in exchange for</w:t>
      </w:r>
    </w:p>
    <w:p>
      <w:pPr>
        <w:spacing w:after="0" w:line="40"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175,000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w:t>
      </w:r>
    </w:p>
    <w:p>
      <w:pPr>
        <w:spacing w:after="0" w:line="17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In December 2022, we issued 296,756 shares of Class A common stock to certain limited partners of the Partnership in exchange for 296,756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414,739 shares of Class A common stock to certain limited partners of the Partnership in exchange for 414,739 Class C units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Greenspring Acquisition</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On September 20, 2021, we completed the acquisition of 100% of the equity of Greenspring in exchange for (i) cash consideration of approximately $185 million, net of an agreed upon adjustment based upon Greenspring’s net working capital balance at the closing date, (ii) 12,686,756 shares of Class A common stock and (iii) 3,071,519 newly issued Class C units of the Partnership, in each case subject to certain adjustments (including customary adjustments for cash, debt, debt-like items, transaction expenses and net working capital at closing). The transaction agreement also provides for the payment of an earn-out of up to $75 million that is payable in 2025 subject to the achievement of certain management fee revenue targets for calendar year 2024. The results of Greenspring’s operations have been included in the condensed consolidated financial statements effective September 20, 2021.</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related to the Class B units and Class C units held by partners of the Partnership in our consolidated financial statements.</w:t>
      </w:r>
    </w:p>
    <w:p>
      <w:pPr>
        <w:spacing w:after="0" w:line="17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Pursuant to the StepStone Limited Partnership Agreement, the Class B Exchange Agreement and Class C Exchange Agreement that SSG and the Partnership entered into with partners holding Class B units and Class C units of the Partnership, respectively, each Class B unit or Class C unit is exchangeable for one share of SSG’s Class A common stock or, at SSG’s election, for cash, subject to certain restrictions specified in the relevant exchange agreement. When a Class B unit or Class C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units.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diagram below illustrates our organizational structure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160020</wp:posOffset>
            </wp:positionV>
            <wp:extent cx="5452110" cy="27260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27260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1" w:name="page52"/>
    <w:bookmarkEnd w:id="5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sum to total due to rounding.</w:t>
      </w:r>
    </w:p>
    <w:p>
      <w:pPr>
        <w:spacing w:after="0" w:line="225" w:lineRule="exact"/>
        <w:rPr>
          <w:sz w:val="20"/>
          <w:szCs w:val="20"/>
          <w:color w:val="auto"/>
        </w:rPr>
      </w:pPr>
    </w:p>
    <w:p>
      <w:pPr>
        <w:ind w:left="640" w:hanging="63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 of the Partnership other than StepStone Group Inc. are: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which holds a 100% general partner interest and no economic interests;</w:t>
      </w:r>
    </w:p>
    <w:p>
      <w:pPr>
        <w:spacing w:after="0" w:line="9" w:lineRule="exact"/>
        <w:rPr>
          <w:rFonts w:ascii="Times New Roman" w:cs="Times New Roman" w:eastAsia="Times New Roman" w:hAnsi="Times New Roman"/>
          <w:sz w:val="18"/>
          <w:szCs w:val="18"/>
          <w:color w:val="auto"/>
        </w:rPr>
      </w:pPr>
    </w:p>
    <w:p>
      <w:pPr>
        <w:ind w:left="1300" w:right="260" w:hanging="644"/>
        <w:spacing w:after="0" w:line="250" w:lineRule="auto"/>
        <w:tabs>
          <w:tab w:leader="none" w:pos="12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employee owners and outside investors, all of whom own Class B units and an equivalent number of shares of Class B common stock;</w:t>
      </w:r>
    </w:p>
    <w:p>
      <w:pPr>
        <w:ind w:left="1300" w:hanging="644"/>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and employees who own Class B2 units;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C units.</w:t>
      </w:r>
    </w:p>
    <w:p>
      <w:pPr>
        <w:spacing w:after="0" w:line="9" w:lineRule="exact"/>
        <w:rPr>
          <w:rFonts w:ascii="Times New Roman" w:cs="Times New Roman" w:eastAsia="Times New Roman" w:hAnsi="Times New Roman"/>
          <w:sz w:val="18"/>
          <w:szCs w:val="18"/>
          <w:color w:val="auto"/>
        </w:rPr>
      </w:pPr>
    </w:p>
    <w:p>
      <w:pPr>
        <w:ind w:left="660" w:right="100" w:hanging="652"/>
        <w:spacing w:after="0" w:line="250"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right="100" w:hanging="652"/>
        <w:spacing w:after="0" w:line="255"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spacing w:after="0" w:line="18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December 31, 2022 the Sunset Holders collectively maintained direct or indirect beneficial ownership of approximately 31.1% of the Class A common stock (determined assuming all outstanding Class B units have been exchanged for Class A common stock) and approximately 56.3% of the aggregate voting power of our outstanding Class A common stock and Class B common stock.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Our key financial measures are discussed below. Additional information regarding our significant accounting policies can be found in note 2 to our condensed consolidated financial statements included elsewhere in this quarterly report.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generate revenues primarily from management and advisory fees, incentive fees and allocations of carried interest.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33"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0"/>
          <w:szCs w:val="20"/>
          <w:color w:val="231F20"/>
        </w:rPr>
        <w:t>Management and advisory fees, net, consist of fees received from managing SMAs and focused commingled funds, advisory, data and administrative services, and portfolio analytics and reporting.</w:t>
      </w:r>
    </w:p>
    <w:p>
      <w:pPr>
        <w:spacing w:after="0" w:line="173" w:lineRule="exact"/>
        <w:rPr>
          <w:sz w:val="20"/>
          <w:szCs w:val="20"/>
          <w:color w:val="auto"/>
        </w:rPr>
      </w:pPr>
    </w:p>
    <w:p>
      <w:pPr>
        <w:ind w:left="660" w:right="20" w:hanging="328"/>
        <w:spacing w:after="0" w:line="253"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0.41% and 0.40% of average FEAUM for the twelve months ended December 31, 2021 and 2022, respectively, and primarily reflected shifts in asset class mix.</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35" w:lineRule="exact"/>
        <w:rPr>
          <w:sz w:val="20"/>
          <w:szCs w:val="20"/>
          <w:color w:val="auto"/>
        </w:rPr>
      </w:pPr>
    </w:p>
    <w:p>
      <w:pPr>
        <w:ind w:left="660" w:hanging="328"/>
        <w:spacing w:after="0" w:line="253"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0.84% and 0.80% of average FEAUM for the twelve months ended December 31, 2021 and 2022, respectively, and primarily reflected shifts in asset class mix and the impact of the Greenspring acquisition.</w:t>
      </w:r>
    </w:p>
    <w:p>
      <w:pPr>
        <w:spacing w:after="0" w:line="192" w:lineRule="exact"/>
        <w:rPr>
          <w:rFonts w:ascii="Times New Roman" w:cs="Times New Roman" w:eastAsia="Times New Roman" w:hAnsi="Times New Roman"/>
          <w:sz w:val="20"/>
          <w:szCs w:val="20"/>
          <w:color w:val="auto"/>
        </w:rPr>
      </w:pPr>
    </w:p>
    <w:p>
      <w:pPr>
        <w:ind w:left="660" w:right="140" w:hanging="328"/>
        <w:spacing w:after="0" w:line="261"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The weighted-average management fee rate across SMAs and focused commingled funds was approximately 0.52% and 0.54% of average FEAUM for the twelve months ended December 31, 2021 and 2022, respectively, and primarily reflected the timing of new funds and shifts in mix between SMAs and focused commingled funds.</w:t>
      </w:r>
    </w:p>
    <w:p>
      <w:pPr>
        <w:spacing w:after="0" w:line="167" w:lineRule="exact"/>
        <w:rPr>
          <w:rFonts w:ascii="Times New Roman" w:cs="Times New Roman" w:eastAsia="Times New Roman" w:hAnsi="Times New Roman"/>
          <w:sz w:val="20"/>
          <w:szCs w:val="20"/>
          <w:color w:val="auto"/>
        </w:rPr>
      </w:pPr>
    </w:p>
    <w:p>
      <w:pPr>
        <w:ind w:left="660" w:right="40" w:hanging="328"/>
        <w:spacing w:after="0" w:line="257" w:lineRule="auto"/>
        <w:tabs>
          <w:tab w:leader="none" w:pos="648"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Fee revenues from advisory, StepStone Portfolio Analytics &amp; Reporting (“SPAR”), SPI or administrative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72" w:lineRule="exact"/>
        <w:rPr>
          <w:rFonts w:ascii="Times New Roman" w:cs="Times New Roman" w:eastAsia="Times New Roman" w:hAnsi="Times New Roman"/>
          <w:sz w:val="20"/>
          <w:szCs w:val="20"/>
          <w:color w:val="231F20"/>
        </w:rPr>
      </w:pPr>
    </w:p>
    <w:p>
      <w:pPr>
        <w:ind w:left="660" w:right="20" w:hanging="328"/>
        <w:spacing w:after="0" w:line="258"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8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Performance Fees</w:t>
      </w:r>
    </w:p>
    <w:p>
      <w:pPr>
        <w:spacing w:after="0" w:line="220" w:lineRule="exact"/>
        <w:rPr>
          <w:sz w:val="20"/>
          <w:szCs w:val="20"/>
          <w:color w:val="auto"/>
        </w:rPr>
      </w:pPr>
    </w:p>
    <w:p>
      <w:pPr>
        <w:ind w:right="740" w:firstLine="648"/>
        <w:spacing w:after="0" w:line="261" w:lineRule="auto"/>
        <w:rPr>
          <w:sz w:val="20"/>
          <w:szCs w:val="20"/>
          <w:color w:val="auto"/>
        </w:rPr>
      </w:pPr>
      <w:r>
        <w:rPr>
          <w:rFonts w:ascii="Times New Roman" w:cs="Times New Roman" w:eastAsia="Times New Roman" w:hAnsi="Times New Roman"/>
          <w:sz w:val="20"/>
          <w:szCs w:val="20"/>
          <w:color w:val="auto"/>
        </w:rPr>
        <w:t>We earn two types of performance fee revenues: incentive fees and carried interest allocations, as described below. As of December 31, 2022, we had over $60 billion of performance fee-eligible capital (excluding certain legacy Greenspring funds) across approximately 175 programs.</w:t>
      </w:r>
    </w:p>
    <w:p>
      <w:pPr>
        <w:spacing w:after="0" w:line="17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 xml:space="preserve">Incentive fees </w:t>
      </w:r>
      <w:r>
        <w:rPr>
          <w:rFonts w:ascii="Times New Roman" w:cs="Times New Roman" w:eastAsia="Times New Roman" w:hAnsi="Times New Roman"/>
          <w:sz w:val="20"/>
          <w:szCs w:val="20"/>
          <w:color w:val="231F20"/>
        </w:rPr>
        <w:t>comprise fees earned from certain client investment mandates for which we do not have a general partnership interest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 a StepStone Fund. Incentive fees are generally calculated as a percentage of the profits (up to 15%) earned in respect of certain accounts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231F20"/>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Carried interest allocations </w:t>
      </w:r>
      <w:r>
        <w:rPr>
          <w:rFonts w:ascii="Times New Roman" w:cs="Times New Roman" w:eastAsia="Times New Roman" w:hAnsi="Times New Roman"/>
          <w:sz w:val="20"/>
          <w:szCs w:val="20"/>
          <w:color w:val="231F20"/>
        </w:rPr>
        <w:t>include the allocation of performance-based fees, commonly referred to as carried interest, to us from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limited partners in the StepStone Funds in 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w:t>
      </w:r>
    </w:p>
    <w:p>
      <w:pPr>
        <w:spacing w:after="0" w:line="18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i w:val="1"/>
          <w:iCs w:val="1"/>
          <w:color w:val="231F20"/>
        </w:rPr>
        <w:t xml:space="preserve">Legacy Greenspring carried interest allocations </w:t>
      </w:r>
      <w:r>
        <w:rPr>
          <w:rFonts w:ascii="Times New Roman" w:cs="Times New Roman" w:eastAsia="Times New Roman" w:hAnsi="Times New Roman"/>
          <w:sz w:val="20"/>
          <w:szCs w:val="20"/>
          <w:color w:val="231F20"/>
        </w:rPr>
        <w:t>include the allocation of carried interest to legacy Greenspring general partner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investments and carried interest allocations under the equity method of accounting. We do not have any direct economic interests in the legacy Greenspring general partner entities and thus are not entitled to any carried interest allocation from certain legacy Greenspring funds. All of the carried interest allocations in respect of such legacy Greenspring funds are payable to employees who are considered affiliates of the Company. As a result, carried interest allocations in respect of such legacy Greenspring funds have been reflected as legacy Greenspring carried interest allocations in the condensed consolidated statements of income, with a corresponding amount reflected as legacy Greenspring performance fee-related compensation as these amounts are payable to certain employees. Accordingly, legacy Greenspring carried interest allocations are not deemed to be within the scope of ASC 606.</w:t>
      </w:r>
    </w:p>
    <w:p>
      <w:pPr>
        <w:spacing w:after="0" w:line="18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w:t>
      </w:r>
    </w:p>
    <w:p>
      <w:pPr>
        <w:spacing w:after="0" w:line="19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December 31, 2022 and March 31, 2022, no material amounts for potential clawback obligations had been accrued.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Cash-based compensation </w:t>
      </w:r>
      <w:r>
        <w:rPr>
          <w:rFonts w:ascii="Times New Roman" w:cs="Times New Roman" w:eastAsia="Times New Roman" w:hAnsi="Times New Roman"/>
          <w:sz w:val="20"/>
          <w:szCs w:val="20"/>
          <w:color w:val="auto"/>
        </w:rPr>
        <w:t>primarily includes salaries, bonuses, employee benefits and employer-related payroll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 related awards or arrangements to certain employees and directors.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Performance fee-related compensation </w:t>
      </w:r>
      <w:r>
        <w:rPr>
          <w:rFonts w:ascii="Times New Roman" w:cs="Times New Roman" w:eastAsia="Times New Roman" w:hAnsi="Times New Roman"/>
          <w:sz w:val="20"/>
          <w:szCs w:val="20"/>
          <w:color w:val="auto"/>
        </w:rPr>
        <w:t>represents the portion of carried interest allocation revenue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3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 xml:space="preserve">incentive fees that have been awarded to employees as a form of long-term incentive compensation. Performance fee-related compensation is generally tied to the investment performance of the StepStone Funds. </w:t>
      </w:r>
      <w:r>
        <w:rPr>
          <w:rFonts w:ascii="Times New Roman" w:cs="Times New Roman" w:eastAsia="Times New Roman" w:hAnsi="Times New Roman"/>
          <w:sz w:val="20"/>
          <w:szCs w:val="20"/>
          <w:color w:val="231F20"/>
        </w:rPr>
        <w:t>Approximately 50% of carried interest allocation revenue is awarded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employees as part 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17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Legacy Greenspring performance fee-related compensation </w:t>
      </w:r>
      <w:r>
        <w:rPr>
          <w:rFonts w:ascii="Times New Roman" w:cs="Times New Roman" w:eastAsia="Times New Roman" w:hAnsi="Times New Roman"/>
          <w:sz w:val="20"/>
          <w:szCs w:val="20"/>
          <w:color w:val="auto"/>
        </w:rPr>
        <w:t>represents the legacy Greenspring carried interest allocations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entirely payable to certain employees. Legacy Greenspring </w:t>
      </w:r>
      <w:r>
        <w:rPr>
          <w:rFonts w:ascii="Times New Roman" w:cs="Times New Roman" w:eastAsia="Times New Roman" w:hAnsi="Times New Roman"/>
          <w:sz w:val="20"/>
          <w:szCs w:val="20"/>
          <w:color w:val="231F20"/>
        </w:rPr>
        <w:t>carried interest-related compensation is accounted for as compensation expense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8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i w:val="1"/>
          <w:iCs w:val="1"/>
          <w:color w:val="auto"/>
        </w:rPr>
        <w:t xml:space="preserve">General, administrative and other </w:t>
      </w:r>
      <w:r>
        <w:rPr>
          <w:rFonts w:ascii="Times New Roman" w:cs="Times New Roman" w:eastAsia="Times New Roman" w:hAnsi="Times New Roman"/>
          <w:sz w:val="20"/>
          <w:szCs w:val="20"/>
          <w:color w:val="auto"/>
        </w:rPr>
        <w:t>includes occupancy, travel and related costs, insurance, legal and other professional fees,</w:t>
      </w:r>
    </w:p>
    <w:p>
      <w:pPr>
        <w:spacing w:after="0" w:line="26"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0"/>
          <w:szCs w:val="20"/>
          <w:color w:val="auto"/>
        </w:rPr>
        <w:t>depreciation, amortization of intangible assets, system-related costs, and other general costs associated operating our business. Beginning in the quarter ended December 31, 2022, general, administrative and other includes costs associated with the Consolidated Funds. Expenses of the Consolidated Funds have no impact on net income or loss attributable to the Company to the extent such expenses are borne by third-party investors.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1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Investment income (loss) </w:t>
      </w:r>
      <w:r>
        <w:rPr>
          <w:rFonts w:ascii="Times New Roman" w:cs="Times New Roman" w:eastAsia="Times New Roman" w:hAnsi="Times New Roman"/>
          <w:sz w:val="20"/>
          <w:szCs w:val="20"/>
          <w:color w:val="231F20"/>
        </w:rPr>
        <w:t>primarily represents our share of earnings (losses) from the investments we make in our SMAs and focused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9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231F20"/>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3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 xml:space="preserve">Legacy Greenspring investment income </w:t>
      </w:r>
      <w:r>
        <w:rPr>
          <w:rFonts w:ascii="Times New Roman" w:cs="Times New Roman" w:eastAsia="Times New Roman" w:hAnsi="Times New Roman"/>
          <w:sz w:val="20"/>
          <w:szCs w:val="20"/>
          <w:color w:val="231F20"/>
        </w:rPr>
        <w:t>represents our share of earnings from the investments we make in certain legacy Greenspring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Investment income (loss) of Consolidated Funds </w:t>
      </w:r>
      <w:r>
        <w:rPr>
          <w:rFonts w:ascii="Times New Roman" w:cs="Times New Roman" w:eastAsia="Times New Roman" w:hAnsi="Times New Roman"/>
          <w:sz w:val="20"/>
          <w:szCs w:val="20"/>
          <w:color w:val="auto"/>
        </w:rPr>
        <w:t>represents gains (losses) from the investments held by the Consolidated Funds.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consists of income earned on cash and cash equivalents, restricted cash and certificates of deposit.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primarily consists of the interest expense on the Revolver, as well as the related amortization of deferred financing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Other income (loss) </w:t>
      </w:r>
      <w:r>
        <w:rPr>
          <w:rFonts w:ascii="Times New Roman" w:cs="Times New Roman" w:eastAsia="Times New Roman" w:hAnsi="Times New Roman"/>
          <w:sz w:val="20"/>
          <w:szCs w:val="20"/>
          <w:color w:val="auto"/>
        </w:rPr>
        <w:t>includes foreign currency transaction gains and losses and non-operating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20"/>
          <w:szCs w:val="20"/>
          <w:color w:val="231F20"/>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Accordingly, the tax liability with respect to income attributable to non-controlling interests in the Partnership is borne by the holders of such non-controlling interests.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spacing w:after="0" w:line="169"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the consolidated subsidiaries of the Partnership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4"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legacy Greenspring entities </w:t>
      </w:r>
      <w:r>
        <w:rPr>
          <w:rFonts w:ascii="Times New Roman" w:cs="Times New Roman" w:eastAsia="Times New Roman" w:hAnsi="Times New Roman"/>
          <w:sz w:val="20"/>
          <w:szCs w:val="20"/>
          <w:color w:val="auto"/>
        </w:rPr>
        <w:t>represent the economic interests in the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We did not acquire any direct economic interests in the legacy Greenspring general partner entities. As a result, all of the net income related to the legacy Greenspring general partner entities is allocated to non-controlling interests in legacy Greenspring entities.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1"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64" w:lineRule="exact"/>
        <w:rPr>
          <w:sz w:val="20"/>
          <w:szCs w:val="20"/>
          <w:color w:val="auto"/>
        </w:rPr>
      </w:pPr>
    </w:p>
    <w:p>
      <w:pPr>
        <w:ind w:right="360" w:firstLine="648"/>
        <w:spacing w:after="0" w:line="291"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the Partnership </w:t>
      </w:r>
      <w:r>
        <w:rPr>
          <w:rFonts w:ascii="Times New Roman" w:cs="Times New Roman" w:eastAsia="Times New Roman" w:hAnsi="Times New Roman"/>
          <w:sz w:val="19"/>
          <w:szCs w:val="19"/>
          <w:color w:val="auto"/>
        </w:rPr>
        <w:t>represent the economic interests in the Partnership held by the Class B and Class 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33"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We monitor certain operating metrics that are either common to the asset management industry or that we believe provide important data regarding our business.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33" w:lineRule="exact"/>
        <w:rPr>
          <w:sz w:val="20"/>
          <w:szCs w:val="20"/>
          <w:color w:val="auto"/>
        </w:rPr>
      </w:pPr>
    </w:p>
    <w:p>
      <w:pPr>
        <w:jc w:val="both"/>
        <w:ind w:right="60" w:firstLine="648"/>
        <w:spacing w:after="0" w:line="254" w:lineRule="auto"/>
        <w:rPr>
          <w:sz w:val="20"/>
          <w:szCs w:val="20"/>
          <w:color w:val="auto"/>
        </w:rPr>
      </w:pPr>
      <w:r>
        <w:rPr>
          <w:rFonts w:ascii="Times New Roman" w:cs="Times New Roman" w:eastAsia="Times New Roman" w:hAnsi="Times New Roman"/>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December 31, 2022 reflects final data for the prior period (September 30, 2022), adjusted for net new client account activity through December 31, 2022. NAV data for underlying investments is as of September 30, 2022, as reported by underlying managers up to 100 days following September 30, 2022. When NAV data is not available 100 days following September 30, 2022, such NAVs are adjusted for cash activity following the last available reported NAV.</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Our AUA is calculated as the sum of (i) the NAV of client portfolio assets for which we do not have full discretion and (ii)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unfunded commitments of clients to the underlying investments. Our AUA reflects the investment valuations in respect of the underlying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investments of our client accounts on a three-month lag, adjusted for new client account activity through the period end. Our AUA does not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include post-period investment valuation or cash activity. AUA as of December 31, 2022 reflects final data for the prior period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(September 30, 2022), adjusted for net new client account activity through December 31, 2022. NAV data for underlying investments is as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September 30, 2022, as reported by underlying managers up to 100 days following September 30, 2022. When NAV data is not available 100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days following September 30, 2022, such NAVs are adjusted for cash activity following the last available reported NAV.</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3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w:t>
      </w:r>
    </w:p>
    <w:p>
      <w:pPr>
        <w:spacing w:after="0" w:line="179" w:lineRule="exact"/>
        <w:rPr>
          <w:sz w:val="20"/>
          <w:szCs w:val="20"/>
          <w:color w:val="auto"/>
        </w:rPr>
      </w:pPr>
    </w:p>
    <w:p>
      <w:pPr>
        <w:ind w:right="480" w:firstLine="648"/>
        <w:spacing w:after="0" w:line="283" w:lineRule="auto"/>
        <w:rPr>
          <w:sz w:val="20"/>
          <w:szCs w:val="20"/>
          <w:color w:val="auto"/>
        </w:rPr>
      </w:pPr>
      <w:r>
        <w:rPr>
          <w:rFonts w:ascii="Times New Roman" w:cs="Times New Roman" w:eastAsia="Times New Roman" w:hAnsi="Times New Roman"/>
          <w:sz w:val="20"/>
          <w:szCs w:val="20"/>
          <w:color w:val="231F20"/>
        </w:rPr>
        <w:t>Our calculation of FEAUM may differ from the calculations of other asset managers and, as a result, may not be comparable to similar measures presented by other asset managers.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Undeployed Fee-Earning Capital</w:t>
      </w:r>
    </w:p>
    <w:p>
      <w:pPr>
        <w:spacing w:after="0" w:line="220"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Undeployed fee-earning capital represents the amount of capital commitments to StepStone Funds that has not yet been invested or considered active but will generate management fee revenue once this capital is invested or activated.</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33"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 and Adjusted Net Income</w:t>
      </w:r>
    </w:p>
    <w:p>
      <w:pPr>
        <w:spacing w:after="0" w:line="233"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0"/>
          <w:szCs w:val="20"/>
          <w:color w:val="231F20"/>
        </w:rPr>
        <w:t>Adjusted net income (“ANI”) is a non-GAAP performance measure that we present on a pre-tax and after-tax basis used to evaluate profitability. ANI represents the after-tax net realized income attributable to us. The components of revenues used in the determination of ANI (“adjusted revenues”) comprise net management and advisory fees, incentive fees (including the deferred portion) and realized carried interest allocations. In addition, ANI excludes: (a) unrealized carried interest allocation revenues and related compensation, (b) unrealized investment income, (c) equity-based compensation for awards granted prior to and in connection with our IPO, profits interests issued by our non-wholly owned subsidiaries, and unrealized mark-to-market changes in the fair value of the profits interests issued in connection with the Private Wealth Transaction, (d) amortization of intangibles and (e) certain other items that we believe are not indicative of our core operating performance, including charges associated with acquisitions and corporate transactions, contract terminations and employee severance. ANI does not reflect legacy Greenspring carried interest allocation revenues, legacy Greenspring carried interest-related compensation and legacy Greenspring investment income as none of the economics are attributable to us. ANI is income before taxes fully taxed at our blended statutory rate. We believe ANI and adjusted revenues are useful to investors because they enable investors to evaluate the performance of our business across reporting periods.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2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231F20"/>
        </w:rPr>
        <w:t>Fee-related earnings (“FRE”) is a non-GAAP performance measure used to monitor our baseline earnings from recurring management and advisory fees. FRE is a component of ANI and comprises net management and advisory fees, less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connection with the Private Wealth Transaction, (c) amortization of intangibles, and (d) other non-core operating items.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Net Income Per Share</w:t>
      </w:r>
    </w:p>
    <w:p>
      <w:pPr>
        <w:spacing w:after="0" w:line="2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ANI per share measures our per-share earnings assuming all Class B units and Class C units in the Partnership are exchanged for Class A common stock in SSG, including the dilutive impact of outstanding equity-based awards. ANI per share is calculated as ANI divided by adjusted shares outstanding. We believe ANI per share is useful to investors because it enables them to better evaluate per-share operating performance across reporting periods.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 of StepStone Funds</w:t>
      </w:r>
    </w:p>
    <w:p>
      <w:pPr>
        <w:spacing w:after="0" w:line="23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Beginning in the quarter ended December 31, 2022, we consolidated one investment fund for which we are deemed to have a controlling financial interest. The activity of the Consolidated Funds is reflected within the condensed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as redeemable non-controlling interests in Consolidated Funds in our condensed consolidated financial statements.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0" w:name="page61"/>
    <w:bookmarkEnd w:id="60"/>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33"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20"/>
          <w:szCs w:val="20"/>
          <w:color w:val="auto"/>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unaudited consolidated results of operations for the periods presented. The information is derived from our accompanying condensed consolidated financial statements prepared in accordance with GAAP.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6"/>
                <w:szCs w:val="16"/>
                <w:color w:val="auto"/>
              </w:rPr>
            </w:pPr>
          </w:p>
        </w:tc>
        <w:tc>
          <w:tcPr>
            <w:tcW w:w="254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23"/>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128,753</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106,384</w:t>
            </w:r>
          </w:p>
        </w:tc>
        <w:tc>
          <w:tcPr>
            <w:tcW w:w="2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364,606</w:t>
            </w:r>
          </w:p>
        </w:tc>
        <w:tc>
          <w:tcPr>
            <w:tcW w:w="2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268,028</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Incentive fees</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2,980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6,005</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Realized</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16,320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66,559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112,396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169,053</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Unrealized</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(63,367)</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132,535</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(354,095)</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452,789</w:t>
            </w:r>
          </w:p>
        </w:tc>
        <w:tc>
          <w:tcPr>
            <w:tcW w:w="0" w:type="dxa"/>
            <w:vAlign w:val="bottom"/>
          </w:tcPr>
          <w:p>
            <w:pPr>
              <w:spacing w:after="0"/>
              <w:rPr>
                <w:sz w:val="1"/>
                <w:szCs w:val="1"/>
                <w:color w:val="auto"/>
              </w:rPr>
            </w:pPr>
          </w:p>
        </w:tc>
      </w:tr>
      <w:tr>
        <w:trPr>
          <w:trHeight w:val="195"/>
        </w:trPr>
        <w:tc>
          <w:tcPr>
            <w:tcW w:w="53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199,094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(241,699)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621,842</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(88,921)</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(371,200)</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104,960</w:t>
            </w: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revenues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410,465</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(239,948)</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1,000,835</w:t>
            </w: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62,628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182,190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138,217</w:t>
            </w:r>
          </w:p>
        </w:tc>
        <w:tc>
          <w:tcPr>
            <w:tcW w:w="0" w:type="dxa"/>
            <w:vAlign w:val="bottom"/>
          </w:tcPr>
          <w:p>
            <w:pPr>
              <w:spacing w:after="0"/>
              <w:rPr>
                <w:sz w:val="1"/>
                <w:szCs w:val="1"/>
                <w:color w:val="auto"/>
              </w:rPr>
            </w:pPr>
          </w:p>
        </w:tc>
      </w:tr>
      <w:tr>
        <w:trPr>
          <w:trHeight w:val="195"/>
        </w:trPr>
        <w:tc>
          <w:tcPr>
            <w:tcW w:w="53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8,108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10,363</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11,726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34,033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86,122</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(31,875)</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68,368</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(172,554)</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228,146</w:t>
            </w:r>
          </w:p>
        </w:tc>
        <w:tc>
          <w:tcPr>
            <w:tcW w:w="0" w:type="dxa"/>
            <w:vAlign w:val="bottom"/>
          </w:tcPr>
          <w:p>
            <w:pPr>
              <w:spacing w:after="0"/>
              <w:rPr>
                <w:sz w:val="1"/>
                <w:szCs w:val="1"/>
                <w:color w:val="auto"/>
              </w:rPr>
            </w:pPr>
          </w:p>
        </w:tc>
      </w:tr>
      <w:tr>
        <w:trPr>
          <w:trHeight w:val="195"/>
        </w:trPr>
        <w:tc>
          <w:tcPr>
            <w:tcW w:w="53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102,401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(105,463)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314,268</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(88,921)</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(371,200)</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104,960</w:t>
            </w:r>
          </w:p>
        </w:tc>
        <w:tc>
          <w:tcPr>
            <w:tcW w:w="0" w:type="dxa"/>
            <w:vAlign w:val="bottom"/>
          </w:tcPr>
          <w:p>
            <w:pPr>
              <w:spacing w:after="0"/>
              <w:rPr>
                <w:sz w:val="1"/>
                <w:szCs w:val="1"/>
                <w:color w:val="auto"/>
              </w:rPr>
            </w:pPr>
          </w:p>
        </w:tc>
      </w:tr>
      <w:tr>
        <w:trPr>
          <w:trHeight w:val="189"/>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262,433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(278,868)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567,808</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43,582</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30,299</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111,547</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72,049</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Total expenses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5,248</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292,732</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(167,321)</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639,857</w:t>
            </w: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 (loss)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20,841</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Legacy Greenspring investment income (loss)</w:t>
            </w:r>
            <w:r>
              <w:rPr>
                <w:rFonts w:ascii="Times New Roman" w:cs="Times New Roman" w:eastAsia="Times New Roman" w:hAnsi="Times New Roman"/>
                <w:sz w:val="16"/>
                <w:szCs w:val="16"/>
                <w:color w:val="auto"/>
                <w:vertAlign w:val="superscript"/>
              </w:rPr>
              <w:t>(1)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17,890</w:t>
            </w:r>
          </w:p>
        </w:tc>
        <w:tc>
          <w:tcPr>
            <w:tcW w:w="0" w:type="dxa"/>
            <w:vAlign w:val="bottom"/>
          </w:tcPr>
          <w:p>
            <w:pPr>
              <w:spacing w:after="0"/>
              <w:rPr>
                <w:sz w:val="1"/>
                <w:szCs w:val="1"/>
                <w:color w:val="auto"/>
              </w:rPr>
            </w:pP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4,895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(loss)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358</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Total other income (expense)</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(4,804)</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24,347</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(36,332)</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35,761</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142,080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(108,959)</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396,739</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15,787</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(6,868)</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16,065</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(13,555)</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126,293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(102,091)</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380,674</w:t>
            </w:r>
          </w:p>
        </w:tc>
        <w:tc>
          <w:tcPr>
            <w:tcW w:w="0" w:type="dxa"/>
            <w:vAlign w:val="bottom"/>
          </w:tcPr>
          <w:p>
            <w:pPr>
              <w:spacing w:after="0"/>
              <w:rPr>
                <w:sz w:val="1"/>
                <w:szCs w:val="1"/>
                <w:color w:val="auto"/>
              </w:rPr>
            </w:pPr>
          </w:p>
        </w:tc>
      </w:tr>
      <w:tr>
        <w:trPr>
          <w:trHeight w:val="195"/>
        </w:trPr>
        <w:tc>
          <w:tcPr>
            <w:tcW w:w="53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9,575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18,737</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98"/>
              </w:rPr>
              <w:t>Less: Net income (loss) attributable to non-controlling interests in legacy Greenspring entities</w:t>
            </w:r>
            <w:r>
              <w:rPr>
                <w:rFonts w:ascii="Times New Roman" w:cs="Times New Roman" w:eastAsia="Times New Roman" w:hAnsi="Times New Roman"/>
                <w:sz w:val="16"/>
                <w:szCs w:val="16"/>
                <w:color w:val="auto"/>
                <w:w w:val="98"/>
                <w:vertAlign w:val="superscript"/>
              </w:rPr>
              <w:t>(1)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17,890</w:t>
            </w:r>
          </w:p>
        </w:tc>
        <w:tc>
          <w:tcPr>
            <w:tcW w:w="0" w:type="dxa"/>
            <w:vAlign w:val="bottom"/>
          </w:tcPr>
          <w:p>
            <w:pPr>
              <w:spacing w:after="0"/>
              <w:rPr>
                <w:sz w:val="1"/>
                <w:szCs w:val="1"/>
                <w:color w:val="auto"/>
              </w:rPr>
            </w:pPr>
          </w:p>
        </w:tc>
      </w:tr>
      <w:tr>
        <w:trPr>
          <w:trHeight w:val="195"/>
        </w:trPr>
        <w:tc>
          <w:tcPr>
            <w:tcW w:w="53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 in the Partnership</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52,966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(48,192)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191,977</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Consolidated Funds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391</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StepStone Group Inc.</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48,346</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(47,199)</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152,070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25" w:lineRule="exact"/>
        <w:rPr>
          <w:sz w:val="20"/>
          <w:szCs w:val="20"/>
          <w:color w:val="auto"/>
        </w:rPr>
      </w:pPr>
    </w:p>
    <w:p>
      <w:pPr>
        <w:ind w:left="660" w:right="640" w:hanging="652"/>
        <w:spacing w:after="0" w:line="278" w:lineRule="auto"/>
        <w:tabs>
          <w:tab w:leader="none" w:pos="6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amounts attributable to consolidated VIEs for which we did not acquire any direct economic interests. See notes 3, 5 and 14 to our condensed consolidated financial statements included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2022 Compared to Three Months Ended December 31, 2021</w:t>
      </w:r>
    </w:p>
    <w:p>
      <w:pPr>
        <w:spacing w:after="0" w:line="22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Total revenues decreased $414.7 million to $(4.2) million for the three months ended December 31, 2022 as compared to the three months ended December 31, 2021, due to negative carried interest allocations and legacy Greenspring carried interest allocations in the current period as compared to positive carried interest allocations and legacy Greenspring carried interest allocations in the prior year period, partially offset by higher net management and advisory fees and incentive fees.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Net management and advisory fees increased $22.4 million, or 21%, to $128.8 million for the three months ended December 31, 2022 as compared to the three months ended December 31, 2021. The increase was driven by new client activity and 18% growth in average FEAUM across the platform. The three months ended December 31, 2021 included retroactive fees of $1.2 million from the final closing of StepStone Tactical Growth Fund III (“STGF III”) and additional closings of StepStone Capital Partners V (“SCP V”). For new investors, fees relating to periods prior to the closing date are considered retroactive.</w:t>
      </w:r>
    </w:p>
    <w:p>
      <w:pPr>
        <w:spacing w:after="0" w:line="192" w:lineRule="exact"/>
        <w:rPr>
          <w:sz w:val="20"/>
          <w:szCs w:val="20"/>
          <w:color w:val="auto"/>
        </w:rPr>
      </w:pPr>
    </w:p>
    <w:p>
      <w:pPr>
        <w:ind w:right="240" w:firstLine="648"/>
        <w:spacing w:after="0" w:line="269" w:lineRule="auto"/>
        <w:rPr>
          <w:sz w:val="20"/>
          <w:szCs w:val="20"/>
          <w:color w:val="auto"/>
        </w:rPr>
      </w:pPr>
      <w:r>
        <w:rPr>
          <w:rFonts w:ascii="Times New Roman" w:cs="Times New Roman" w:eastAsia="Times New Roman" w:hAnsi="Times New Roman"/>
          <w:sz w:val="20"/>
          <w:szCs w:val="20"/>
          <w:color w:val="auto"/>
        </w:rPr>
        <w:t>Incentive fees increased $3.0 million, to $3.0 million for the three months ended December 31, 2022 as compared to $27 thousand for the three months ended December 31, 2021, reflecting higher realization activity.</w:t>
      </w:r>
    </w:p>
    <w:p>
      <w:pPr>
        <w:spacing w:after="0" w:line="17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Realized carried interest allocation revenues decreased $50.2 million, or 75%, to $16.3 million for the three months ended December 31, 2022 as compared to the three months ended December 31, 2021, reflecting lower realization activity within our private equity funds. Unrealized carried interest allocation revenues include the reversal of realized carried interest allocation revenues. Excluding the reversal of $16.3 million, unrealized carried interest allocation revenues decreased $246.1 million to $(47.0) million for the three months ended December 31, 2022 as compared to the three months ended December 31, 2021. The decrease in unrealized carried interest allocations for the three months ended December 31, 2022 primarily reflected a net decrease in the cumulative allocation of gains associated with the underlying portfolios within our private equity funds.</w:t>
      </w:r>
    </w:p>
    <w:p>
      <w:pPr>
        <w:spacing w:after="0" w:line="19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carried interest allocation revenues decreased $193.9 million to $(88.9) million for the three months ended December 31, 2022 as compared to the three months ended December 31, 2021. The three months ended December 31, 2022 reflect gross realized carried interest allocations of $5.2 million and unrealized carried interest allocations, net of the reversal of realized carried interest allocations, of $(94.1) million. The three months ended December 31, 2021 reflect gross realized carried interest allocations of $24.6 million and unrealized carried interest allocations, net of the reversal of realized carried interest allocations, of $80.4 million.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2022 Compared to Nine Months Ended December 31, 2021</w:t>
      </w:r>
    </w:p>
    <w:p>
      <w:pPr>
        <w:spacing w:after="0" w:line="22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Total revenues decreased $1,240.8 million to $(239.9) million for the nine months ended December 31, 2022 as compared to the nine months ended December 31, 2021, due to negative carried interest allocations and legacy Greenspring carried interest allocations in the current period as compared to positive carried interest allocations and legacy Greenspring carried interest allocations in the prior year period, partially offset by higher net management and advisory fees and incentive fees.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Net management and advisory fees increased $96.6 million, or 36%, to $364.6 million for the nine months ended December 31, 2022 as compared to the nine months ended December 31, 2021. The increase was driven by new client activity and 32% growth in average FEAUM (or 23% excluding the impact of Greenspring) across the platform, as well as retroactive fees of $2.4 million from the final closing of SCP V. The nine months ended December 31, 2021 included retroactive fees of $4.3 million from the final closing of STGF III and additional closings of SCP V. For new investors, fees relating to periods prior to the closing date are considered retroactive.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35"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Incentive fees increased $2.3 million, or 39%, to $8.3 million for the nine months ended December 31, 2022 as compared to $6.0 million for the nine months ended December 31, 2021, reflecting higher realization activity.</w:t>
      </w:r>
    </w:p>
    <w:p>
      <w:pPr>
        <w:spacing w:after="0" w:line="14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Realized carried interest allocation revenues decreased $56.7 million, or 34%, to $112.4 million for the nine months ended December 31, 2022 as compared to the nine months ended December 31, 2021, reflecting lower realization activity within our private equity funds. Unrealized carried interest allocation revenues include the reversal of realized carried interest allocation revenues. Excluding the reversal of $112.4 million, unrealized carried interest allocation revenues decreased $863.5 million to $(241.7) million for the nine months ended December 31, 2022 as compared to the nine months ended December 31, 2021. The decrease in unrealized carried interest allocations for the nine months ended December 31, 2022 primarily reflected a net decrease in the cumulative allocation of gains associated with the underlying portfolios within our private equity funds.</w:t>
      </w:r>
    </w:p>
    <w:p>
      <w:pPr>
        <w:spacing w:after="0" w:line="17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carried interest allocation revenues decreased $476.2 million to $(371.2) million for the nine months ended December 31, 2022 as compared to the nine months ended December 31, 2021. The nine months ended December 31, 2022 reflect gross realized carried interest allocations of $45.4 million and unrealized carried interest allocations, net of the reversal of realized carried interest allocations, of $(416.6) million. The nine months ended December 31, 2021 reflect gross realized carried interest allocations of $27.6 million and unrealized carried interest allocations, net of the reversal of realized carried interest allocations, of $77.3 million for the period from September 20, 2021 to December 31, 2021.</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2022 Compared to Three Months Ended December 31, 2021</w:t>
      </w:r>
    </w:p>
    <w:p>
      <w:pPr>
        <w:spacing w:after="0" w:line="220"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20"/>
          <w:szCs w:val="20"/>
          <w:color w:val="auto"/>
        </w:rPr>
        <w:t>Total expenses decreased $287.5 million, or 98%, to $5.2 million for the three months ended December 31, 2022 as compared to the three months ended December 31, 2021, due to decreases in performance fee-related compensation and legacy Greenspring performance fee-related compensation, partially offset by increases in general, administrative and other expenses, cash-based compensation and equity-based compensation.</w:t>
      </w:r>
    </w:p>
    <w:p>
      <w:pPr>
        <w:spacing w:after="0" w:line="172"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0"/>
          <w:szCs w:val="20"/>
          <w:color w:val="auto"/>
        </w:rPr>
        <w:t>Cash-based compensation increased $11.0 million, or 21%, to $62.6 million for the three months ended December 31, 2022 as compared to the three months ended December 31, 2021, due to increased staffing and compensation levels. Our average full-time headcount increased 21% in the current year period as compared to the prior year period.</w:t>
      </w:r>
    </w:p>
    <w:p>
      <w:pPr>
        <w:spacing w:after="0" w:line="161" w:lineRule="exact"/>
        <w:rPr>
          <w:sz w:val="20"/>
          <w:szCs w:val="20"/>
          <w:color w:val="auto"/>
        </w:rPr>
      </w:pPr>
    </w:p>
    <w:p>
      <w:pPr>
        <w:jc w:val="both"/>
        <w:ind w:right="520" w:firstLine="648"/>
        <w:spacing w:after="0" w:line="261" w:lineRule="auto"/>
        <w:rPr>
          <w:sz w:val="20"/>
          <w:szCs w:val="20"/>
          <w:color w:val="auto"/>
        </w:rPr>
      </w:pPr>
      <w:r>
        <w:rPr>
          <w:rFonts w:ascii="Times New Roman" w:cs="Times New Roman" w:eastAsia="Times New Roman" w:hAnsi="Times New Roman"/>
          <w:sz w:val="20"/>
          <w:szCs w:val="20"/>
          <w:color w:val="auto"/>
        </w:rPr>
        <w:t>Equity-based compensation increased $4.7 million, or 138%, to $8.1 million for the three months ended December 31, 2022 as compared to the three months ended December 31, 2021. The increase was primarily attributable to the inclusion of expense related to liability classified awards in the current year period and no comparable expense in the prior year period.</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Performance fee-related compensation expense decreased $122.6 million to $(20.1) million for the three months ended December 31, 2022 as compared to the three months ended December 31, 2021, primarily reflecting the decrease in carried interest allocation revenue. Realized performance fee-related compensation decreased $22.3 million, or 66%, to $11.7 million for the three months ended December 31, 2022 as compared to the three months ended December 31, 2021, primarily reflecting lower realization activity.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3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performance fee-related compensation expense decreased $193.9 million to $(88.9) million for the three months ended December 31, 2022 as compared to the three months ended December 31, 2021. The three months ended December 31, 2022 reflect gross realized performance fee-related compensation expense of $5.2 million and unrealized performance fee-related compensation expense, net of the reversal of realized performance fee-related compensation expense, of $(94.1) million. The three months ended December 31, 2021 reflect gross realized performance fee-related compensation expense of $24.6 million and unrealized performance fee-related compensation expense, net of the reversal of realized performance fee-related compensation expense, of $80.4 million.</w:t>
      </w:r>
    </w:p>
    <w:p>
      <w:pPr>
        <w:spacing w:after="0" w:line="192"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General, administrative and other expenses increased $13.3 million, or 44%, to $43.6 million for the three months ended December 31, 2022 as compared to the three months ended December 31, 2021. The overall increase primarily reflected increases of $6.8 million in transaction costs, $2.8 million of travel and associated costs for investment evaluation and client service, $0.8 million in professional fees, $0.6 million in accelerated depreciation for leasehold improvements due to a reduction in lease terms, $0.5 million in information and technology expenses, $0.4 million in loss on change in fair value for contingent consideration obligation and other general operating expenses.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2022 Compared to Nine Months Ended December 31, 2021</w:t>
      </w:r>
    </w:p>
    <w:p>
      <w:pPr>
        <w:spacing w:after="0" w:line="23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Total expenses decreased $807.2 million to $(167.3) million for the nine months ended December 31, 2022 as compared to the nine months ended December 31, 2021, due to decreases in performance fee-related compensation and legacy Greenspring performance fee-related compensation, partially offset by increases in cash-based compensation, general, administrative and other expenses, and equity-based compensation.</w:t>
      </w:r>
    </w:p>
    <w:p>
      <w:pPr>
        <w:spacing w:after="0" w:line="17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Cash-based compensation increased $44.0 million, or 32%, to $182.2 million for the nine months ended December 31, 2022 as compared to the nine months ended December 31, 2021, due to increased staffing and compensation levels. Our average full-time headcount increased 32% (or 25% excluding the impact of Greenspring) in the current year period as compared to the prior year period.</w:t>
      </w:r>
    </w:p>
    <w:p>
      <w:pPr>
        <w:spacing w:after="0" w:line="181" w:lineRule="exact"/>
        <w:rPr>
          <w:sz w:val="20"/>
          <w:szCs w:val="20"/>
          <w:color w:val="auto"/>
        </w:rPr>
      </w:pPr>
    </w:p>
    <w:p>
      <w:pPr>
        <w:jc w:val="both"/>
        <w:ind w:right="600" w:firstLine="648"/>
        <w:spacing w:after="0" w:line="261" w:lineRule="auto"/>
        <w:rPr>
          <w:sz w:val="20"/>
          <w:szCs w:val="20"/>
          <w:color w:val="auto"/>
        </w:rPr>
      </w:pPr>
      <w:r>
        <w:rPr>
          <w:rFonts w:ascii="Times New Roman" w:cs="Times New Roman" w:eastAsia="Times New Roman" w:hAnsi="Times New Roman"/>
          <w:sz w:val="20"/>
          <w:szCs w:val="20"/>
          <w:color w:val="auto"/>
        </w:rPr>
        <w:t>Equity-based compensation increased $5.2 million, or 51%, to $15.6 million for the nine months ended December 31, 2022 as compared to the nine months ended December 31, 2021. The increase was primarily attributable to the inclusion of expense related to liability classified awards in the current year period and no comparable expense in the prior year period.</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Performance fee-related compensation expense decreased $419.7 million to $(105.5) million for the nine months ended December 31, 2022 as compared to the nine months ended December 31, 2021, primarily reflecting the decrease in carried interest allocation revenue. Realized performance fee-related compensation decreased $19.0 million, or 22%, to $67.1 million for the nine months ended December 31, 2022 as compared to the nine months ended December 31, 2021, primarily reflecting lower realization activity. The decrease was partially offset by an increase reflecting realized carried interest allocations recognized in the current year period from certain funds for which a higher portion is paid to employees as realized performance fee-related compensation.</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performance fee-related compensation expense decreased $476.2 million to $(371.2) million for the nine months ended December 31, 2022 as compared to the nine months ended December 31, 2021. The nine months ended December 31, 2022 reflect gross realized performance fee-related compensation expense of $45.4 million and unrealized performance fee-related compensation expense, net of the reversal of realized performance fee-related compensation expense, of $(416.6) million. The nine months ended December 31, 2021 reflect gross realized performance fee-related compensation expense of $27.6 million and unrealized performance fee-related compensation expense, net of the reversal of realized performance fee-related compensation expense, of $77.3 million for the period from September 20, 2021 to December 31, 2021.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General, administrative and other expenses increased $39.5 million, or 55%, to $111.5 million for the nine months ended December 31, 2022 as compared to the nine months ended December 31, 2021. The overall increase primarily reflected increases of $19.2 million in amortization expense for intangibles, $8.4 million of travel and associated costs for investment evaluation and client service, $8.3 million in loss on change in fair value for contingent consideration obligation, $3.4 million in professional fees, $3.2 million in information and technology expenses, $0.8 million in accelerated depreciation for leasehold improvements due to a reduction in lease terms, and other general operating expenses, partially offset by a decrease in transaction costs of $7.0 million and a gain of $2.7 million within occupancy costs related to lease remeasurement adjustments due to a reduction in lease terms.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2022 Compared to Three Months Ended December 31, 2021</w:t>
      </w:r>
    </w:p>
    <w:p>
      <w:pPr>
        <w:spacing w:after="0" w:line="220"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20"/>
          <w:szCs w:val="20"/>
          <w:color w:val="auto"/>
        </w:rPr>
        <w:t>Investment income decreased $7.9 million to a loss of $0.7 million for the three months ended December 31, 2022 as compared to the three months ended December 31, 2021, primarily reflecting overall changes in the valuations of the underlying investments in the StepStone Funds.</w:t>
      </w:r>
    </w:p>
    <w:p>
      <w:pPr>
        <w:spacing w:after="0" w:line="161"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0"/>
          <w:szCs w:val="20"/>
          <w:color w:val="auto"/>
        </w:rPr>
        <w:t>Legacy Greenspring investment income decreased $26.9 million to a loss of $9.0 million for the three months ended December 31, 2022 as compared to the three months ended December 31, 2021. The three months ended December 31, 2022 reflect gross realized investment income of $0.7 million and unrealized investment loss, net of the reversal of realized investment income, of $9.7 million. The three months ended December 31, 2021 reflect gross realized investment income of $3.6 million and unrealized investment income, net of the reversal of realized investment loss, of $14.3 million.</w:t>
      </w:r>
    </w:p>
    <w:p>
      <w:pPr>
        <w:spacing w:after="0" w:line="173"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20"/>
          <w:szCs w:val="20"/>
          <w:color w:val="auto"/>
        </w:rPr>
        <w:t>Investment income of Consolidated Funds of $4.9 million for the three months ended December 31, 2022 reflects overall changes in the valuations of the underlying investments of the Consolidated Funds.</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Interest income increased $0.7 million, or 1,530%, to $0.7 million for the three months ended December 31, 2022 as compared to the three months ended December 31, 2021.</w:t>
      </w:r>
    </w:p>
    <w:p>
      <w:pPr>
        <w:spacing w:after="0" w:line="146"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Interest expense increased $0.6 million, or 105%, to $1.1 million for the three months ended December 31, 2022 as compared to the three months ended December 31, 2021.</w:t>
      </w:r>
    </w:p>
    <w:p>
      <w:pPr>
        <w:spacing w:after="0" w:line="160"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Other loss decreased $0.6 million to income of $0.4 million for the three months ended December 31, 2022 as compared to the three months ended December 31, 2021, primarily reflecting net foreign currency transaction gains in the current year period as compared with net foreign currency transaction losses in the prior year period.</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2022 Compared to Nine Months Ended December 31, 2021</w:t>
      </w:r>
    </w:p>
    <w:p>
      <w:pPr>
        <w:spacing w:after="0" w:line="23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decreased $26.3 million to a loss of $5.5 million for the nine months ended December 31, 2022 as compared to the nine months ended December 31, 2021, primarily reflecting overall changes in the valuations of the underlying investments in the StepStone Funds.</w:t>
      </w:r>
    </w:p>
    <w:p>
      <w:pPr>
        <w:spacing w:after="0" w:line="18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investment income decreased $50.8 million to a loss of $32.9 million for the nine months ended December 31, 2022 as compared to the nine months ended December 31, 2021. The nine months ended December 31, 2022 reflect gross realized investment income of $4.1 million and unrealized investment loss, net of the reversal of realized investment income, of $37.0 million. The nine months ended December 31, 2021 reflect gross realized investment income of $4.9 million and unrealized investment income, net of the reversal of realized investment loss, of $13.0 million for the period from September 20, 2021 to December 31, 2021.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35"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Investment income of Consolidated Funds of $4.9 million for the nine months ended December 31, 2022 reflects overall changes in the valuations of the underlying investments of the Consolidated Funds.</w:t>
      </w:r>
    </w:p>
    <w:p>
      <w:pPr>
        <w:spacing w:after="0" w:line="146"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Interest income increased $0.7 million, or 225%, to $1.1 million for the nine months ended December 31, 2022 as compared to the nine months ended December 31, 2021.</w:t>
      </w:r>
    </w:p>
    <w:p>
      <w:pPr>
        <w:spacing w:after="0" w:line="146"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20"/>
          <w:szCs w:val="20"/>
          <w:color w:val="auto"/>
        </w:rPr>
        <w:t>Interest expense increased $1.9 million, or 295%, to $2.5 million for the nine months ended December 31, 2022 as compared to the nine months ended December 31, 2021. The increase was primarily due to a full period of interest and higher average interest rates on outstanding balances under the Revolver during the current year period, as compared with the prior year period.</w:t>
      </w:r>
    </w:p>
    <w:p>
      <w:pPr>
        <w:spacing w:after="0" w:line="161"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20"/>
          <w:szCs w:val="20"/>
          <w:color w:val="auto"/>
        </w:rPr>
        <w:t>Other loss decreased $1.3 million, or 48%, to $1.4 million for the nine months ended December 31, 2022 as compared to the nine months ended December 31, 2021, primarily reflecting the inclusion of losses related to adjustments for the Tax Receivable Agreements in the prior year period and no comparable losses in the current year period.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right="900" w:firstLine="648"/>
        <w:spacing w:after="0" w:line="269" w:lineRule="auto"/>
        <w:rPr>
          <w:sz w:val="20"/>
          <w:szCs w:val="20"/>
          <w:color w:val="auto"/>
        </w:rPr>
      </w:pPr>
      <w:r>
        <w:rPr>
          <w:rFonts w:ascii="Times New Roman" w:cs="Times New Roman" w:eastAsia="Times New Roman" w:hAnsi="Times New Roman"/>
          <w:sz w:val="20"/>
          <w:szCs w:val="20"/>
          <w:color w:val="auto"/>
        </w:rPr>
        <w:t>Income tax expense primarily reflects U.S. federal and state income taxes on our share of taxable income generated by the Partnership, as well as local and foreign income taxes of certain of the Partnership’s subsidiaries.</w:t>
      </w:r>
    </w:p>
    <w:p>
      <w:pPr>
        <w:spacing w:after="0" w:line="17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Our effective income tax rate was 5.1% and 11.1% for the three months ended December 31, 2022 and 2021, respectively, and 6.3% and 4.0% for the nine months ended December 31, 2022 and 2021, respectively. Our overall effective tax rate in each of the periods described above is less than the statutory rate. The primary rate difference for the three and nine months ended December 31, 2022 and 2021 relates to a portion of income that is allocated to non-controlling interests, as the tax liability on such income is borne by the holders of such non-controlling interests. Additionally, during the nine months ended December 31, 2021, we recorded a benefit of $25.3 million related to the full release of the valuation allowance as a result of the deferred tax liability recorded in connection with the Greenspring acquisition.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2022 Compared to Three Months Ended December 31, 2021</w:t>
      </w:r>
    </w:p>
    <w:p>
      <w:pPr>
        <w:spacing w:after="0" w:line="2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Income tax expense decreased $16.5 million to an income tax benefit of $0.7 million for the three months ended December 31, 2022 as compared to the three months ended December 31, 2021, primarily due to the pre-tax net loss for the three months ended December 31, 2022.</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2022 Compared to Nine Months Ended December 31, 2021</w:t>
      </w:r>
    </w:p>
    <w:p>
      <w:pPr>
        <w:spacing w:after="0" w:line="220"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20"/>
          <w:szCs w:val="20"/>
          <w:color w:val="auto"/>
        </w:rPr>
        <w:t>Income tax expense decreased $22.9 million to an income tax benefit of $6.9 million for the nine months ended December 31, 2022 as compared to the nine months ended December 31, 2021. The decrease in tax expense was primarily driven by pre-tax net loss for the nine months ended December 31, 2022.</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Non-Controlling Interests in Subsidiaries</w:t>
      </w:r>
    </w:p>
    <w:p>
      <w:pPr>
        <w:spacing w:after="0" w:line="23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increased $2.5 million, or 35%, to $9.6 million for the three months ended December 31, 2022 as compared to the three months ended December 31, 2021. The increase was primarily attributable to an increase in income generated by our consolidated subsidiaries not wholly-owned by us.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3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increased $7.1 million, or 38%, to $25.8 million for the nine months ended December 31, 2022 as compared to the nine months ended December 31, 2021. The increase was primarily attributable to an increase in income generated by our consolidated subsidiaries not wholly-owned by us.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Legacy Greenspring Entities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income (loss) attributable to non-controlling interests in legacy Greenspring entities was $(9.0) million and $17.9 million for the three months ended December 31, 2022 and 2021, respectively, and $(32.9) million and $17.9 million for the nine months ended December 31, 2022 and 2021, respectively.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the Partnership</w:t>
      </w:r>
    </w:p>
    <w:p>
      <w:pPr>
        <w:spacing w:after="0" w:line="23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the Partnership represents the portion of net income or loss attributable to the interests held by the Class B and Class C unitholders of the Partnership. Net income (loss) attributable to non-controlling interests in the Partnership was $(7.6) million and $53.0 million for the three months ended December 31, 2022 and 2021, respectively, and $(48.2) million and $192.0 million for the nine months ended December 31, 2022 and 2021,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Consolidated Funds</w:t>
      </w:r>
    </w:p>
    <w:p>
      <w:pPr>
        <w:spacing w:after="0" w:line="233"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Consolidated Funds was $0.4 million for both the three and nine months ended December 31, 2022, which represents income of the Consolidated Funds attributable to third-party investors.</w:t>
      </w:r>
    </w:p>
    <w:p>
      <w:pPr>
        <w:spacing w:after="0" w:line="1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Operating Metrics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AUM was $127 billion as of December 31, 2021, $134 billion as of March 31, 2022 and $134 billion as of December 31, 2022.</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33" w:lineRule="exact"/>
        <w:rPr>
          <w:sz w:val="20"/>
          <w:szCs w:val="20"/>
          <w:color w:val="auto"/>
        </w:rPr>
      </w:pPr>
    </w:p>
    <w:p>
      <w:pPr>
        <w:ind w:right="860" w:firstLine="648"/>
        <w:spacing w:after="0" w:line="283" w:lineRule="auto"/>
        <w:rPr>
          <w:sz w:val="20"/>
          <w:szCs w:val="20"/>
          <w:color w:val="auto"/>
        </w:rPr>
      </w:pPr>
      <w:r>
        <w:rPr>
          <w:rFonts w:ascii="Times New Roman" w:cs="Times New Roman" w:eastAsia="Times New Roman" w:hAnsi="Times New Roman"/>
          <w:sz w:val="20"/>
          <w:szCs w:val="20"/>
          <w:color w:val="auto"/>
        </w:rPr>
        <w:t>Assets related to our advisory accounts were $421 billion as of December 31, 2021, $436 billion as of March 31, 2022 and $468 billion as of December 31, 2022.</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2022</w:t>
      </w:r>
    </w:p>
    <w:p>
      <w:pPr>
        <w:spacing w:after="0" w:line="220"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20"/>
          <w:szCs w:val="20"/>
          <w:color w:val="auto"/>
        </w:rPr>
        <w:t>FEAUM increased approximately $2.9 billion, or 4%, to $83.0 billion as of December 31, 2022 as compared to $80.1 billion as of September 30, 2022. Of the increase, approximately $0.5 billion was from SMAs and approximately $2.3 billion was from focused commingled funds.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2022</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FEAUM increased $7.8 billion, or 10%, to $83.0 billion as of December 31, 2022 as compared to $75.2 billion as of March 31, 2022.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increase, approximately $3.8 billion was from SMAs and approximately $4.0 billion was from focused commingled funds.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2022</w:t>
            </w:r>
          </w:p>
        </w:tc>
        <w:tc>
          <w:tcPr>
            <w:tcW w:w="260" w:type="dxa"/>
            <w:vAlign w:val="bottom"/>
          </w:tcPr>
          <w:p>
            <w:pPr>
              <w:spacing w:after="0"/>
              <w:rPr>
                <w:sz w:val="20"/>
                <w:szCs w:val="20"/>
                <w:color w:val="auto"/>
              </w:rPr>
            </w:pPr>
          </w:p>
        </w:tc>
        <w:tc>
          <w:tcPr>
            <w:tcW w:w="390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31, 2022</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5"/>
                <w:szCs w:val="15"/>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SMAs</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Commingled</w:t>
            </w:r>
          </w:p>
        </w:tc>
        <w:tc>
          <w:tcPr>
            <w:tcW w:w="280" w:type="dxa"/>
            <w:vAlign w:val="bottom"/>
          </w:tcPr>
          <w:p>
            <w:pPr>
              <w:spacing w:after="0"/>
              <w:rPr>
                <w:sz w:val="15"/>
                <w:szCs w:val="15"/>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5"/>
                <w:szCs w:val="15"/>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SMAs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Commingled</w:t>
            </w:r>
          </w:p>
        </w:tc>
        <w:tc>
          <w:tcPr>
            <w:tcW w:w="28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7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28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80,117</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75,173</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300" w:hanging="652"/>
        <w:spacing w:after="0" w:line="250"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65" w:lineRule="auto"/>
        <w:tabs>
          <w:tab w:leader="none" w:pos="65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ind w:left="660" w:right="200" w:hanging="652"/>
        <w:spacing w:after="0" w:line="260"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following tables set forth FEAUM by asset class and selected weighted-average management fee rate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FEAUM</w:t>
            </w: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40,396</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40,044</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14,902</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debt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11,586</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r>
      <w:tr>
        <w:trPr>
          <w:trHeight w:val="223"/>
        </w:trPr>
        <w:tc>
          <w:tcPr>
            <w:tcW w:w="6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75,173</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71,232</w:t>
            </w:r>
          </w:p>
        </w:tc>
      </w:tr>
      <w:tr>
        <w:trPr>
          <w:trHeight w:val="20"/>
        </w:trPr>
        <w:tc>
          <w:tcPr>
            <w:tcW w:w="6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582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Weighted-average fee rate</w:t>
            </w:r>
            <w:r>
              <w:rPr>
                <w:rFonts w:ascii="Times New Roman" w:cs="Times New Roman" w:eastAsia="Times New Roman" w:hAnsi="Times New Roman"/>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equity</w:t>
            </w:r>
            <w:r>
              <w:rPr>
                <w:rFonts w:ascii="Times New Roman" w:cs="Times New Roman" w:eastAsia="Times New Roman" w:hAnsi="Times New Roman"/>
                <w:sz w:val="23"/>
                <w:szCs w:val="23"/>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0.63 %</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infrastructure and private debt asset classes</w:t>
            </w:r>
            <w:r>
              <w:rPr>
                <w:rFonts w:ascii="Times New Roman" w:cs="Times New Roman" w:eastAsia="Times New Roman" w:hAnsi="Times New Roman"/>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r>
      <w:tr>
        <w:trPr>
          <w:trHeight w:val="223"/>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0.54 %</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0.52 %</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0.52 %</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80" w:hanging="652"/>
        <w:spacing w:after="0" w:line="260"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fee rates reflect the applicable management fees for the last 12 months ending on each period presented, and is inclusive of any retroactive fees for such period.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ind w:left="660" w:right="200" w:hanging="652"/>
        <w:spacing w:after="0" w:line="261"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and shifts in mix between SMAs and focused commingled funds.</w:t>
      </w: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and shifts in asset class mix.</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Undeployed Fee-Earning Capital</w:t>
      </w:r>
    </w:p>
    <w:p>
      <w:pPr>
        <w:spacing w:after="0" w:line="233"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2022, we had $14.0 billion of undeployed fee-earning capital, which will generate management fee revenue once this capital is invested or activated.</w:t>
      </w:r>
    </w:p>
    <w:p>
      <w:pPr>
        <w:spacing w:after="0" w:line="16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the components of FRE and ANI:</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0" w:type="dxa"/>
            <w:vAlign w:val="bottom"/>
          </w:tcPr>
          <w:p>
            <w:pPr>
              <w:spacing w:after="0"/>
              <w:rPr>
                <w:sz w:val="20"/>
                <w:szCs w:val="20"/>
                <w:color w:val="auto"/>
              </w:rPr>
            </w:pPr>
          </w:p>
        </w:tc>
        <w:tc>
          <w:tcPr>
            <w:tcW w:w="33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advisory fees,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268,028</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Adjusted cash-based compensation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138,110</w:t>
            </w:r>
          </w:p>
        </w:tc>
      </w:tr>
      <w:tr>
        <w:trPr>
          <w:trHeight w:val="230"/>
        </w:trPr>
        <w:tc>
          <w:tcPr>
            <w:tcW w:w="3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Adjusted equity-based compensation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3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Adjusted general, administrative and other</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43,157</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Fee-related earnings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86,360</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Realized carried interest allocations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169,053</w:t>
            </w:r>
          </w:p>
        </w:tc>
      </w:tr>
      <w:tr>
        <w:trPr>
          <w:trHeight w:val="229"/>
        </w:trPr>
        <w:tc>
          <w:tcPr>
            <w:tcW w:w="3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Incentive fees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r>
      <w:tr>
        <w:trPr>
          <w:trHeight w:val="230"/>
        </w:trPr>
        <w:tc>
          <w:tcPr>
            <w:tcW w:w="3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Deferred incentive fees</w:t>
            </w:r>
          </w:p>
        </w:tc>
        <w:tc>
          <w:tcPr>
            <w:tcW w:w="2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r>
      <w:tr>
        <w:trPr>
          <w:trHeight w:val="230"/>
        </w:trPr>
        <w:tc>
          <w:tcPr>
            <w:tcW w:w="3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Realized investment income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r>
      <w:tr>
        <w:trPr>
          <w:trHeight w:val="230"/>
        </w:trPr>
        <w:tc>
          <w:tcPr>
            <w:tcW w:w="3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9"/>
        </w:trPr>
        <w:tc>
          <w:tcPr>
            <w:tcW w:w="3980" w:type="dxa"/>
            <w:vAlign w:val="bottom"/>
            <w:shd w:val="clear" w:color="auto" w:fill="CCEEFF"/>
          </w:tcPr>
          <w:p>
            <w:pPr>
              <w:ind w:left="400"/>
              <w:spacing w:after="0" w:line="230" w:lineRule="exact"/>
              <w:rPr>
                <w:sz w:val="20"/>
                <w:szCs w:val="20"/>
                <w:color w:val="auto"/>
              </w:rPr>
            </w:pPr>
            <w:r>
              <w:rPr>
                <w:rFonts w:ascii="Times New Roman" w:cs="Times New Roman" w:eastAsia="Times New Roman" w:hAnsi="Times New Roman"/>
                <w:sz w:val="18"/>
                <w:szCs w:val="18"/>
                <w:color w:val="auto"/>
              </w:rPr>
              <w:t>Other income (loss)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75"/>
        </w:trPr>
        <w:tc>
          <w:tcPr>
            <w:tcW w:w="398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Realized performance fee-related</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3980" w:type="dxa"/>
            <w:vAlign w:val="bottom"/>
            <w:shd w:val="clear" w:color="auto" w:fill="CCEEFF"/>
          </w:tcPr>
          <w:p>
            <w:pPr>
              <w:ind w:left="600"/>
              <w:spacing w:after="0" w:line="243" w:lineRule="exact"/>
              <w:rPr>
                <w:sz w:val="20"/>
                <w:szCs w:val="20"/>
                <w:color w:val="auto"/>
              </w:rPr>
            </w:pPr>
            <w:r>
              <w:rPr>
                <w:rFonts w:ascii="Times New Roman" w:cs="Times New Roman" w:eastAsia="Times New Roman" w:hAnsi="Times New Roman"/>
                <w:sz w:val="18"/>
                <w:szCs w:val="18"/>
                <w:color w:val="auto"/>
              </w:rPr>
              <w:t>compensation</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86,122</w:t>
            </w:r>
          </w:p>
        </w:tc>
      </w:tr>
      <w:tr>
        <w:trPr>
          <w:trHeight w:val="230"/>
        </w:trPr>
        <w:tc>
          <w:tcPr>
            <w:tcW w:w="3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175"/>
        </w:trPr>
        <w:tc>
          <w:tcPr>
            <w:tcW w:w="398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3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 subsidiaries:</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175"/>
        </w:trPr>
        <w:tc>
          <w:tcPr>
            <w:tcW w:w="398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rPr>
              <w:t>Fee-related earnings attributable to non-</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3980" w:type="dxa"/>
            <w:vAlign w:val="bottom"/>
          </w:tcPr>
          <w:p>
            <w:pPr>
              <w:ind w:left="800"/>
              <w:spacing w:after="0" w:line="243" w:lineRule="exact"/>
              <w:rPr>
                <w:sz w:val="20"/>
                <w:szCs w:val="20"/>
                <w:color w:val="auto"/>
              </w:rPr>
            </w:pPr>
            <w:r>
              <w:rPr>
                <w:rFonts w:ascii="Times New Roman" w:cs="Times New Roman" w:eastAsia="Times New Roman" w:hAnsi="Times New Roman"/>
                <w:sz w:val="18"/>
                <w:szCs w:val="18"/>
                <w:color w:val="auto"/>
              </w:rPr>
              <w:t>controlling interests in subsidiaries</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19,125</w:t>
            </w:r>
          </w:p>
        </w:tc>
      </w:tr>
      <w:tr>
        <w:trPr>
          <w:trHeight w:val="175"/>
        </w:trPr>
        <w:tc>
          <w:tcPr>
            <w:tcW w:w="3980" w:type="dxa"/>
            <w:vAlign w:val="bottom"/>
            <w:shd w:val="clear" w:color="auto" w:fill="CCEEFF"/>
          </w:tcPr>
          <w:p>
            <w:pPr>
              <w:ind w:left="620"/>
              <w:spacing w:after="0" w:line="176" w:lineRule="exact"/>
              <w:rPr>
                <w:sz w:val="20"/>
                <w:szCs w:val="20"/>
                <w:color w:val="auto"/>
              </w:rPr>
            </w:pPr>
            <w:r>
              <w:rPr>
                <w:rFonts w:ascii="Times New Roman" w:cs="Times New Roman" w:eastAsia="Times New Roman" w:hAnsi="Times New Roman"/>
                <w:sz w:val="18"/>
                <w:szCs w:val="18"/>
                <w:color w:val="auto"/>
              </w:rPr>
              <w:t>Non fee-related earnings (losses) attributable</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1"/>
        </w:trPr>
        <w:tc>
          <w:tcPr>
            <w:tcW w:w="3980" w:type="dxa"/>
            <w:vAlign w:val="bottom"/>
            <w:shd w:val="clear" w:color="auto" w:fill="CCEEFF"/>
          </w:tcPr>
          <w:p>
            <w:pPr>
              <w:ind w:left="800"/>
              <w:spacing w:after="0" w:line="181" w:lineRule="exact"/>
              <w:rPr>
                <w:sz w:val="20"/>
                <w:szCs w:val="20"/>
                <w:color w:val="auto"/>
              </w:rPr>
            </w:pPr>
            <w:r>
              <w:rPr>
                <w:rFonts w:ascii="Times New Roman" w:cs="Times New Roman" w:eastAsia="Times New Roman" w:hAnsi="Times New Roman"/>
                <w:sz w:val="18"/>
                <w:szCs w:val="18"/>
                <w:color w:val="auto"/>
              </w:rPr>
              <w:t>to non-controlling interests in</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38"/>
        </w:trPr>
        <w:tc>
          <w:tcPr>
            <w:tcW w:w="3980" w:type="dxa"/>
            <w:vAlign w:val="bottom"/>
            <w:shd w:val="clear" w:color="auto" w:fill="CCEEFF"/>
          </w:tcPr>
          <w:p>
            <w:pPr>
              <w:ind w:left="800"/>
              <w:spacing w:after="0" w:line="237"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Pre-tax adjusted net income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166,855</w:t>
            </w:r>
          </w:p>
        </w:tc>
      </w:tr>
      <w:tr>
        <w:trPr>
          <w:trHeight w:val="229"/>
        </w:trPr>
        <w:tc>
          <w:tcPr>
            <w:tcW w:w="3980" w:type="dxa"/>
            <w:vAlign w:val="bottom"/>
            <w:shd w:val="clear" w:color="auto" w:fill="CCEEFF"/>
          </w:tcPr>
          <w:p>
            <w:pPr>
              <w:ind w:left="400"/>
              <w:spacing w:after="0" w:line="230" w:lineRule="exact"/>
              <w:rPr>
                <w:sz w:val="20"/>
                <w:szCs w:val="20"/>
                <w:color w:val="auto"/>
              </w:rPr>
            </w:pPr>
            <w:r>
              <w:rPr>
                <w:rFonts w:ascii="Times New Roman" w:cs="Times New Roman" w:eastAsia="Times New Roman" w:hAnsi="Times New Roman"/>
                <w:sz w:val="18"/>
                <w:szCs w:val="18"/>
                <w:color w:val="auto"/>
              </w:rPr>
              <w:t>Less: Income taxes</w:t>
            </w:r>
            <w:r>
              <w:rPr>
                <w:rFonts w:ascii="Times New Roman" w:cs="Times New Roman" w:eastAsia="Times New Roman" w:hAnsi="Times New Roman"/>
                <w:sz w:val="23"/>
                <w:szCs w:val="23"/>
                <w:color w:val="auto"/>
                <w:vertAlign w:val="superscript"/>
              </w:rPr>
              <w:t>(5)</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37,626</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129,229</w:t>
            </w:r>
          </w:p>
        </w:tc>
      </w:tr>
      <w:tr>
        <w:trPr>
          <w:trHeight w:val="21"/>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560" w:hanging="652"/>
        <w:spacing w:after="0" w:line="260"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for Tax Receivable Agreements adjustments recognized as other income (loss) ($(1.4) million for the nine months ended December 31, 2021).</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ind w:left="660" w:right="20" w:hanging="652"/>
        <w:spacing w:after="0" w:line="257"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carried interest-related compensation expense related to the portion of net carried interest allocation revenue attributable to equity holders of the Company’s consolidated subsidiaries that are not 100% owned ($2.2 million and $0.3 million for the three months ended December 31, 2022 and 2021, respectively, and $9.0 million and $0.5 million for the nine months ended December 31, 2022 and 2021, respectively).</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fee-related earnings of our subsidiaries attributable to non-controlling interests.</w:t>
      </w:r>
    </w:p>
    <w:p>
      <w:pPr>
        <w:spacing w:after="0" w:line="9" w:lineRule="exact"/>
        <w:rPr>
          <w:rFonts w:ascii="Times New Roman" w:cs="Times New Roman" w:eastAsia="Times New Roman" w:hAnsi="Times New Roman"/>
          <w:sz w:val="18"/>
          <w:szCs w:val="18"/>
          <w:color w:val="auto"/>
        </w:rPr>
      </w:pPr>
    </w:p>
    <w:p>
      <w:pPr>
        <w:ind w:left="660" w:right="340" w:hanging="652"/>
        <w:spacing w:after="0" w:line="250"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components of pre-tax adjusted net income of our subsidiaries attributable to non-controlling interests other than fee-related earnings, including incentive fees and related compensation, realized investment income, net interest expense and other income (loss).</w:t>
      </w:r>
    </w:p>
    <w:p>
      <w:pPr>
        <w:ind w:left="660" w:right="20" w:hanging="652"/>
        <w:spacing w:after="0" w:line="253"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corporate income taxes at a blended statutory rate of 22.3% applied to pre-tax adjusted net income for the three and nine months ended December 31, 2022, and a blended statutory rate of 22.6% applied to pre-tax adjusted net income for the three and nine months ended December 31, 2021. The 22.3% rate for the three and nine months ended December 31, 2022 is based on a federal statutory rate of 21.0% and a combined state, local and foreign rate net of federal benefits of 1.3%, and the 22.6% rate for the three and nine months ended December 31, 2021 is based on a federal statutory rate of 21.0% and a combined state, local and foreign rate net of federal benefits of 1.6%.</w:t>
      </w:r>
    </w:p>
    <w:p>
      <w:pPr>
        <w:spacing w:after="0" w:line="17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Adjusted Revenues and Adjusted Net Income</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Three Months Ended December 31, 2022 Compared to Three Months Ended December 31, 2021</w:t>
      </w:r>
    </w:p>
    <w:p>
      <w:pPr>
        <w:spacing w:after="0" w:line="22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Adjusted revenues decreased $24.9 million, or 14%, to $148.1 million for the three months ended December 31, 2022 as compared to the three months ended December 31, 2021, primarily reflecting lower realized carried interest allocation revenues, partially offset by increases in net management and advisory fees and incentive fees.</w:t>
      </w:r>
    </w:p>
    <w:p>
      <w:pPr>
        <w:spacing w:after="0" w:line="181" w:lineRule="exact"/>
        <w:rPr>
          <w:sz w:val="20"/>
          <w:szCs w:val="20"/>
          <w:color w:val="auto"/>
        </w:rPr>
      </w:pPr>
    </w:p>
    <w:p>
      <w:pPr>
        <w:ind w:right="480" w:firstLine="648"/>
        <w:spacing w:after="0" w:line="276" w:lineRule="auto"/>
        <w:rPr>
          <w:sz w:val="20"/>
          <w:szCs w:val="20"/>
          <w:color w:val="auto"/>
        </w:rPr>
      </w:pPr>
      <w:r>
        <w:rPr>
          <w:rFonts w:ascii="Times New Roman" w:cs="Times New Roman" w:eastAsia="Times New Roman" w:hAnsi="Times New Roman"/>
          <w:sz w:val="19"/>
          <w:szCs w:val="19"/>
          <w:color w:val="auto"/>
        </w:rPr>
        <w:t>ANI decreased $17.4 million, or 36%, to $31.2 million for the three months ended December 31, 2022 as compared to the three months ended December 31, 2021, primarily due to lower net realized performance fee-related earnings (incentive fees, including the deferred portion, plus realized carried interest allocation revenues, less realized performance fee-related compensation) and a higher allocation of income to non-controlling interests. The decrease was partially offset by the increase in FRE as discussed below.</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2022 Compared to Nine Months Ended December 31, 2021</w:t>
      </w:r>
    </w:p>
    <w:p>
      <w:pPr>
        <w:spacing w:after="0" w:line="233"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increased $40.1 million, or 9%, to $489.0 million for the nine months ended December 31, 2022 as compared to the nine months ended December 31, 2021, primarily reflecting increases in net management and advisory fees and incentive fees, including the deferred portion, partially offset by lower realized carried interest allocation revenues.</w:t>
      </w:r>
    </w:p>
    <w:p>
      <w:pPr>
        <w:spacing w:after="0" w:line="18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ANI decreased $13.7 million, or 11%, to $115.5 million for the nine months ended December 31, 2022 as compared to the nine months ended December 31, 2021, primarily due to lower net realized performance fee-related earnings and a higher allocation of income to non-controlling interests. The decrease was partially offset by the increase in FRE as discussed below.</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Net Income Per Share</w:t>
      </w:r>
    </w:p>
    <w:p>
      <w:pPr>
        <w:spacing w:after="0" w:line="233" w:lineRule="exact"/>
        <w:rPr>
          <w:sz w:val="20"/>
          <w:szCs w:val="20"/>
          <w:color w:val="auto"/>
        </w:rPr>
      </w:pPr>
    </w:p>
    <w:p>
      <w:pPr>
        <w:ind w:right="420" w:firstLine="648"/>
        <w:spacing w:after="0" w:line="295" w:lineRule="auto"/>
        <w:rPr>
          <w:sz w:val="20"/>
          <w:szCs w:val="20"/>
          <w:color w:val="auto"/>
        </w:rPr>
      </w:pPr>
      <w:r>
        <w:rPr>
          <w:rFonts w:ascii="Times New Roman" w:cs="Times New Roman" w:eastAsia="Times New Roman" w:hAnsi="Times New Roman"/>
          <w:sz w:val="19"/>
          <w:szCs w:val="19"/>
          <w:color w:val="auto"/>
        </w:rPr>
        <w:t>The following table shows a reconciliation of diluted weighted-average shares of Class A common stock outstanding to adjusted shares outstanding used in the computation of ANI per share for the three and nine months ended December 31, 2022 and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0" w:type="dxa"/>
            <w:vAlign w:val="bottom"/>
          </w:tcPr>
          <w:p>
            <w:pPr>
              <w:spacing w:after="0"/>
              <w:rPr>
                <w:sz w:val="20"/>
                <w:szCs w:val="20"/>
                <w:color w:val="auto"/>
              </w:rPr>
            </w:pPr>
          </w:p>
        </w:tc>
        <w:tc>
          <w:tcPr>
            <w:tcW w:w="33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129,229</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 Basic</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62,192,899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57,875,758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61,583,215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46,247,353</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1,390,538</w:t>
            </w:r>
          </w:p>
        </w:tc>
        <w:tc>
          <w:tcPr>
            <w:tcW w:w="0" w:type="dxa"/>
            <w:vAlign w:val="bottom"/>
          </w:tcPr>
          <w:p>
            <w:pPr>
              <w:spacing w:after="0"/>
              <w:rPr>
                <w:sz w:val="1"/>
                <w:szCs w:val="1"/>
                <w:color w:val="auto"/>
              </w:rPr>
            </w:pPr>
          </w:p>
        </w:tc>
      </w:tr>
      <w:tr>
        <w:trPr>
          <w:trHeight w:val="176"/>
        </w:trPr>
        <w:tc>
          <w:tcPr>
            <w:tcW w:w="39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Assumed vesting and exchange of Class B2</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2,481,677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2,467,141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2,480,591</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B units in the Partnership</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46,662,062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50,327,243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46,898,733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53,511,397</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C units in the Partnership</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2,852,187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3,003,274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2,903,186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1,116,423</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shares</w:t>
            </w:r>
          </w:p>
        </w:tc>
        <w:tc>
          <w:tcPr>
            <w:tcW w:w="2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114,651,163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114,813,750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114,575,210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104,746,302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96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full exchange of Class B units in the Partnership for Class A common stock of SSG pursuant to the Class B Exchange Agreement.</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full exchange of Class C units in the Partnership for Class A common stock of SSG pursuant to the Class C Exchange Agreement.</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Fee-Related Earnings</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Three Months Ended December 31, 2022 Compared to Three Months Ended December 31, 2021</w:t>
      </w:r>
    </w:p>
    <w:p>
      <w:pPr>
        <w:spacing w:after="0" w:line="233"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20"/>
          <w:szCs w:val="20"/>
          <w:color w:val="auto"/>
        </w:rPr>
        <w:t>FRE increased $5.9 million, or 16%, to $42.7 million for the three months ended December 31, 2022 as compared to the three months ended December 31, 2021, primarily reflecting higher net management and advisory fees, partially offset by higher adjusted cash-based compensation, adjusted general, administrative and other expenses, and adjusted equity-based compensation.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2022 Compared to Nine Months Ended December 31, 2021</w:t>
      </w:r>
    </w:p>
    <w:p>
      <w:pPr>
        <w:spacing w:after="0" w:line="233"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20"/>
          <w:szCs w:val="20"/>
          <w:color w:val="auto"/>
        </w:rPr>
        <w:t>FRE increased $32.0 million, or 37%, to $118.4 million for the nine months ended December 31, 2022 as compared to the nine months ended December 31, 2021, primarily reflecting higher net management and advisory fees, partially offset by higher adjusted cash-based compensation, adjusted general, administrative and other expenses, and adjusted equity-based compensation.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Measures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revenues to adjusted 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1,000,835</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(452,789)</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r>
      <w:tr>
        <w:trPr>
          <w:trHeight w:val="229"/>
        </w:trPr>
        <w:tc>
          <w:tcPr>
            <w:tcW w:w="4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371,200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(104,960)</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148,053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489,030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448,897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expenses to adjusted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Cash-based compensation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138,217</w:t>
            </w:r>
          </w:p>
        </w:tc>
      </w:tr>
      <w:tr>
        <w:trPr>
          <w:trHeight w:val="229"/>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cash-based compensation</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w:t>
            </w:r>
          </w:p>
        </w:tc>
      </w:tr>
      <w:tr>
        <w:trPr>
          <w:trHeight w:val="230"/>
        </w:trPr>
        <w:tc>
          <w:tcPr>
            <w:tcW w:w="41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equity-based compensation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72,049</w:t>
            </w:r>
          </w:p>
        </w:tc>
      </w:tr>
      <w:tr>
        <w:trPr>
          <w:trHeight w:val="230"/>
        </w:trPr>
        <w:tc>
          <w:tcPr>
            <w:tcW w:w="41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(28,892)</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general, administrative and other</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severance and compensation paid to certain employees as part of an acquisition earn-out.</w:t>
      </w:r>
    </w:p>
    <w:p>
      <w:pPr>
        <w:spacing w:after="0" w:line="9" w:lineRule="exact"/>
        <w:rPr>
          <w:rFonts w:ascii="Times New Roman" w:cs="Times New Roman" w:eastAsia="Times New Roman" w:hAnsi="Times New Roman"/>
          <w:sz w:val="18"/>
          <w:szCs w:val="18"/>
          <w:color w:val="auto"/>
        </w:rPr>
      </w:pPr>
    </w:p>
    <w:p>
      <w:pPr>
        <w:ind w:left="660" w:right="60" w:hanging="652"/>
        <w:spacing w:after="0" w:line="250"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equity-based compensation for awards granted prior to and in connection with the IPO, profits interests issued by our non-wholly owned subsidiaries, and unrealized mark-to-market changes in the fair value of the profits interests issued in connection with the Private Wealth Transaction.</w:t>
      </w:r>
    </w:p>
    <w:p>
      <w:pPr>
        <w:spacing w:after="0" w:line="1" w:lineRule="exact"/>
        <w:rPr>
          <w:rFonts w:ascii="Times New Roman" w:cs="Times New Roman" w:eastAsia="Times New Roman" w:hAnsi="Times New Roman"/>
          <w:sz w:val="18"/>
          <w:szCs w:val="18"/>
          <w:color w:val="auto"/>
        </w:rPr>
      </w:pPr>
    </w:p>
    <w:p>
      <w:pPr>
        <w:ind w:left="660" w:right="660" w:hanging="652"/>
        <w:spacing w:after="0" w:line="260"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lease remeasurement adjustments, accelerated depreciation of leasehold improvements for changes in lease terms, amortization of intangibles, transaction-related costs and other non-core operating income and expenses.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income (loss) before income tax to ANI and FRE.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396,739</w:t>
            </w:r>
          </w:p>
        </w:tc>
      </w:tr>
      <w:tr>
        <w:trPr>
          <w:trHeight w:val="176"/>
        </w:trPr>
        <w:tc>
          <w:tcPr>
            <w:tcW w:w="41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Pr>
          <w:p>
            <w:pPr>
              <w:ind w:left="680"/>
              <w:spacing w:after="0" w:line="243" w:lineRule="exact"/>
              <w:rPr>
                <w:sz w:val="20"/>
                <w:szCs w:val="20"/>
                <w:color w:val="auto"/>
              </w:rPr>
            </w:pPr>
            <w:r>
              <w:rPr>
                <w:rFonts w:ascii="Times New Roman" w:cs="Times New Roman" w:eastAsia="Times New Roman" w:hAnsi="Times New Roman"/>
                <w:sz w:val="18"/>
                <w:szCs w:val="18"/>
                <w:color w:val="auto"/>
              </w:rPr>
              <w:t>interests in subsidiaries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(19,341)</w:t>
            </w:r>
          </w:p>
        </w:tc>
      </w:tr>
      <w:tr>
        <w:trPr>
          <w:trHeight w:val="175"/>
        </w:trPr>
        <w:tc>
          <w:tcPr>
            <w:tcW w:w="41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interests in legacy Greenspring entities</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(17,890)</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(452,789)</w:t>
            </w:r>
          </w:p>
        </w:tc>
      </w:tr>
      <w:tr>
        <w:trPr>
          <w:trHeight w:val="229"/>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Unrealized performance fee-related compensation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228,146</w:t>
            </w:r>
          </w:p>
        </w:tc>
      </w:tr>
      <w:tr>
        <w:trPr>
          <w:trHeight w:val="230"/>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investment (income) loss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(14,173)</w:t>
            </w:r>
          </w:p>
        </w:tc>
      </w:tr>
      <w:tr>
        <w:trPr>
          <w:trHeight w:val="175"/>
        </w:trPr>
        <w:tc>
          <w:tcPr>
            <w:tcW w:w="41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Unrealized investment income of Consolidated</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Funds</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r>
      <w:tr>
        <w:trPr>
          <w:trHeight w:val="176"/>
        </w:trPr>
        <w:tc>
          <w:tcPr>
            <w:tcW w:w="41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Tax Receivable Agreements adjustments through</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earnings</w:t>
            </w:r>
          </w:p>
        </w:tc>
        <w:tc>
          <w:tcPr>
            <w:tcW w:w="2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30"/>
        </w:trPr>
        <w:tc>
          <w:tcPr>
            <w:tcW w:w="41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Non-core items</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15,551</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adjusted net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166,855</w:t>
            </w:r>
          </w:p>
        </w:tc>
      </w:tr>
      <w:tr>
        <w:trPr>
          <w:trHeight w:val="230"/>
        </w:trPr>
        <w:tc>
          <w:tcPr>
            <w:tcW w:w="41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(37,626)</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129,229</w:t>
            </w:r>
          </w:p>
        </w:tc>
      </w:tr>
      <w:tr>
        <w:trPr>
          <w:trHeight w:val="230"/>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37,626</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Realized carried interest allocations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(169,053)</w:t>
            </w:r>
          </w:p>
        </w:tc>
      </w:tr>
      <w:tr>
        <w:trPr>
          <w:trHeight w:val="230"/>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w w:val="99"/>
              </w:rPr>
              <w:t>Realized performance fee-related compensation</w:t>
            </w:r>
            <w:r>
              <w:rPr>
                <w:rFonts w:ascii="Times New Roman" w:cs="Times New Roman" w:eastAsia="Times New Roman" w:hAnsi="Times New Roman"/>
                <w:sz w:val="23"/>
                <w:szCs w:val="23"/>
                <w:color w:val="auto"/>
                <w:w w:val="99"/>
                <w:vertAlign w:val="superscript"/>
              </w:rPr>
              <w:t>(5)</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86,122</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Realized investment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Incentive fees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r>
      <w:tr>
        <w:trPr>
          <w:trHeight w:val="230"/>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Other (income) loss</w:t>
            </w:r>
            <w:r>
              <w:rPr>
                <w:rFonts w:ascii="Times New Roman" w:cs="Times New Roman" w:eastAsia="Times New Roman" w:hAnsi="Times New Roman"/>
                <w:sz w:val="23"/>
                <w:szCs w:val="23"/>
                <w:color w:val="auto"/>
                <w:vertAlign w:val="superscript"/>
              </w:rPr>
              <w:t>(6)</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175"/>
        </w:trPr>
        <w:tc>
          <w:tcPr>
            <w:tcW w:w="41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line="243" w:lineRule="exact"/>
              <w:rPr>
                <w:sz w:val="20"/>
                <w:szCs w:val="20"/>
                <w:color w:val="auto"/>
              </w:rPr>
            </w:pPr>
            <w:r>
              <w:rPr>
                <w:rFonts w:ascii="Times New Roman" w:cs="Times New Roman" w:eastAsia="Times New Roman" w:hAnsi="Times New Roman"/>
                <w:sz w:val="18"/>
                <w:szCs w:val="18"/>
                <w:color w:val="auto"/>
              </w:rPr>
              <w:t>interests in subsidiaries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28,903</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19,341</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Fee-related earnings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118,362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86,360</w:t>
            </w:r>
          </w:p>
        </w:tc>
      </w:tr>
      <w:tr>
        <w:trPr>
          <w:trHeight w:val="20"/>
        </w:trPr>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pre-tax adjusted net income of our subsidiaries attributable to non-controlling interests.</w:t>
      </w:r>
    </w:p>
    <w:p>
      <w:pPr>
        <w:spacing w:after="0" w:line="9" w:lineRule="exact"/>
        <w:rPr>
          <w:rFonts w:ascii="Times New Roman" w:cs="Times New Roman" w:eastAsia="Times New Roman" w:hAnsi="Times New Roman"/>
          <w:sz w:val="18"/>
          <w:szCs w:val="18"/>
          <w:color w:val="auto"/>
        </w:rPr>
      </w:pPr>
    </w:p>
    <w:p>
      <w:pPr>
        <w:ind w:left="660" w:right="120" w:hanging="652"/>
        <w:spacing w:after="0" w:line="255"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equity-based compensation for awards granted prior to and in connection with the IPO, profits interests issued by our non-wholly owned subsidiaries, and unrealized mark-to-market changes in the fair value of the profits interests issued in connection with the Private Wealth transaction.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ind w:left="660" w:right="20" w:hanging="652"/>
        <w:spacing w:after="0" w:line="252"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expense related to transaction costs ($6.8 million for the three months ended December 31, 2022, and $6.8 million and $13.8 million for the nine months ended December 31, 2022 and 2021, respectively), lease remeasurement adjustments ($(2.7) million for the nine months ended December 31, 2022), accelerated depreciation of leasehold improvements for changes in lease terms ($0.6 million and $0.8 million for the three and nine months ended December 31, 2022, respectively), severance costs ($42 thousand for the three months ended December 31, 2022, and $0.2 million and $0.1 million for the nine months ended December 31, 2022 and 2021, respectively), loss on change in fair value for contingent consideration obligation ($2.0 million and $1.6 million for the three months ended December 31, 2022 and 2021, respectively, and $9.9 million and $1.6 million for the nine months ended December 31, 2022 and 2021, respectively), compensation paid to certain employees as part of an acquisition earn-out ($0.5 million and $1.7 million for the three and nine months ended December 31, 2022, respectively) and other non-core operating income and expenses.</w:t>
      </w:r>
    </w:p>
    <w:p>
      <w:pPr>
        <w:spacing w:after="0" w:line="6"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corporate income taxes at a blended statutory rate of 22.3% applied to pre-tax adjusted net income for the three and nine months ended December 31, 2022, and a blended statutory rate of 22.6% applied to pre-tax adjusted net income for the three and nine months ended December 31, 2021. The 22.3% rate for the three and nine months ended December 31, 2022 is based on a federal statutory rate of 21.0% and a combined state, local and foreign rate net of federal benefits of 1.3%, and the 22.6% rate for the three and nine months ended December 31, 2021 is based on a federal statutory rate of 21.0% and a combined state, local and foreign rate net of federal benefits of 1.6%.</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carried interest-related compensation expense related to the portion of net carried interest allocation revenue attributable to equity holders of the Company’s consolidated subsidiaries that are not 100% owned ($2.2 million and $0.3 million for the three months ended December 31, 2022 and 2021, respectively, and $9.0 million and $0.5 million for the nine months ended December 31, 2022 and 2021, respectively).</w:t>
      </w:r>
    </w:p>
    <w:p>
      <w:pPr>
        <w:spacing w:after="0" w:line="1" w:lineRule="exact"/>
        <w:rPr>
          <w:rFonts w:ascii="Times New Roman" w:cs="Times New Roman" w:eastAsia="Times New Roman" w:hAnsi="Times New Roman"/>
          <w:sz w:val="18"/>
          <w:szCs w:val="18"/>
          <w:color w:val="auto"/>
        </w:rPr>
      </w:pPr>
    </w:p>
    <w:p>
      <w:pPr>
        <w:ind w:left="660" w:right="560" w:hanging="652"/>
        <w:spacing w:after="0" w:line="26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for Tax Receivable Agreements adjustments recognized as other income (loss) ($(1.4) million for the nine months ended December 31, 2021).</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Investment Performance</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is generally presented from the inception date of each strategy and asset class through September 30, 2022 and have not been adjusted to reflect acquisitions or disposals of investments subsequent to that date.</w:t>
      </w:r>
    </w:p>
    <w:p>
      <w:pPr>
        <w:spacing w:after="0" w:line="187"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46"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and investment opportunities may differ from those in the past;</w:t>
      </w:r>
    </w:p>
    <w:p>
      <w:pPr>
        <w:spacing w:after="0" w:line="229" w:lineRule="exact"/>
        <w:rPr>
          <w:rFonts w:ascii="Times New Roman" w:cs="Times New Roman" w:eastAsia="Times New Roman" w:hAnsi="Times New Roman"/>
          <w:sz w:val="20"/>
          <w:szCs w:val="20"/>
          <w:color w:val="auto"/>
        </w:rPr>
      </w:pPr>
    </w:p>
    <w:p>
      <w:pPr>
        <w:ind w:left="660" w:right="200" w:hanging="328"/>
        <w:spacing w:after="0" w:line="269"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is largely based on the NAV (as defined below) of the funds’ investments, including unrealized gains, which may never be realized;</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newly-established funds may generate lower investment returns during the period that they initially deploy their capital;</w:t>
      </w:r>
    </w:p>
    <w:p>
      <w:pPr>
        <w:spacing w:after="0" w:line="229"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67" w:lineRule="exact"/>
        <w:rPr>
          <w:rFonts w:ascii="Times New Roman" w:cs="Times New Roman" w:eastAsia="Times New Roman" w:hAnsi="Times New Roman"/>
          <w:sz w:val="20"/>
          <w:szCs w:val="20"/>
          <w:color w:val="auto"/>
        </w:rPr>
      </w:pPr>
    </w:p>
    <w:p>
      <w:pPr>
        <w:ind w:left="660" w:right="340" w:hanging="328"/>
        <w:spacing w:after="0" w:line="310" w:lineRule="auto"/>
        <w:tabs>
          <w:tab w:leader="none" w:pos="64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37"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industries and businesses in which particular funds invest will vary.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35"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Historical and future returns of investments included in our track record are not directly correlated to potential returns on our Class A common stock.</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purposes of the following table:</w:t>
      </w:r>
    </w:p>
    <w:p>
      <w:pPr>
        <w:spacing w:after="0" w:line="229" w:lineRule="exact"/>
        <w:rPr>
          <w:sz w:val="20"/>
          <w:szCs w:val="20"/>
          <w:color w:val="auto"/>
        </w:rPr>
      </w:pPr>
    </w:p>
    <w:p>
      <w:pPr>
        <w:ind w:left="660" w:right="1000" w:hanging="328"/>
        <w:spacing w:after="0" w:line="269"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“Invested capital” refers to the total amount of all investments made by a fund, including commitment-reducing and non-commitment-reducing capital calls;</w:t>
      </w:r>
    </w:p>
    <w:p>
      <w:pPr>
        <w:spacing w:after="0" w:line="172" w:lineRule="exact"/>
        <w:rPr>
          <w:rFonts w:ascii="Times New Roman" w:cs="Times New Roman" w:eastAsia="Times New Roman" w:hAnsi="Times New Roman"/>
          <w:sz w:val="20"/>
          <w:szCs w:val="20"/>
          <w:color w:val="auto"/>
        </w:rPr>
      </w:pPr>
    </w:p>
    <w:p>
      <w:pPr>
        <w:ind w:left="660" w:right="120" w:hanging="328"/>
        <w:spacing w:after="0" w:line="283"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 refers to the estimated fair value of unrealized investments plus any net assets or liabilities associated with the investment as of September 30, 2022;</w:t>
      </w:r>
    </w:p>
    <w:p>
      <w:pPr>
        <w:spacing w:after="0" w:line="146" w:lineRule="exact"/>
        <w:rPr>
          <w:rFonts w:ascii="Times New Roman" w:cs="Times New Roman" w:eastAsia="Times New Roman" w:hAnsi="Times New Roman"/>
          <w:sz w:val="20"/>
          <w:szCs w:val="20"/>
          <w:color w:val="auto"/>
        </w:rPr>
      </w:pPr>
    </w:p>
    <w:p>
      <w:pPr>
        <w:jc w:val="both"/>
        <w:ind w:left="660" w:right="260" w:hanging="328"/>
        <w:spacing w:after="0" w:line="310" w:lineRule="auto"/>
        <w:tabs>
          <w:tab w:leader="none" w:pos="64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“IRR” refers to the annualized internal rate of return for all investments within the relevant investment strategy on an inception-to-date basis as of September 30, 2022 (except as noted otherwise below), based on contributions, distributions and unrealized value;</w:t>
      </w:r>
    </w:p>
    <w:p>
      <w:pPr>
        <w:spacing w:after="0" w:line="124"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IRR” refers to IRR net of fees and expenses charged by both the underlying fund managers and StepStone; and</w:t>
      </w:r>
    </w:p>
    <w:p>
      <w:pPr>
        <w:spacing w:after="0" w:line="229" w:lineRule="exact"/>
        <w:rPr>
          <w:rFonts w:ascii="Times New Roman" w:cs="Times New Roman" w:eastAsia="Times New Roman" w:hAnsi="Times New Roman"/>
          <w:sz w:val="20"/>
          <w:szCs w:val="20"/>
          <w:color w:val="auto"/>
        </w:rPr>
      </w:pPr>
    </w:p>
    <w:p>
      <w:pPr>
        <w:ind w:left="660" w:right="320" w:hanging="328"/>
        <w:spacing w:after="0" w:line="283"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StepStone Performance Summary by Asset Class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PRIVATE EQUITY</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PRIVATE DEBT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shd w:val="clear" w:color="auto" w:fill="CCEEFF"/>
          </w:tcPr>
          <w:p>
            <w:pPr>
              <w:jc w:val="center"/>
              <w:ind w:left="188"/>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20" w:type="dxa"/>
            <w:vAlign w:val="bottom"/>
            <w:shd w:val="clear" w:color="auto" w:fill="CCEEFF"/>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9"/>
                <w:szCs w:val="9"/>
                <w:b w:val="1"/>
                <w:bCs w:val="1"/>
                <w:color w:val="auto"/>
              </w:rPr>
              <w:t>(1,2,4)</w:t>
            </w:r>
          </w:p>
        </w:tc>
        <w:tc>
          <w:tcPr>
            <w:tcW w:w="900" w:type="dxa"/>
            <w:vAlign w:val="bottom"/>
            <w:shd w:val="clear" w:color="auto" w:fill="CCEEFF"/>
          </w:tcPr>
          <w:p>
            <w:pPr>
              <w:jc w:val="center"/>
              <w:ind w:left="188"/>
              <w:spacing w:after="0" w:line="202" w:lineRule="exact"/>
              <w:rPr>
                <w:sz w:val="20"/>
                <w:szCs w:val="20"/>
                <w:color w:val="auto"/>
              </w:rPr>
            </w:pPr>
            <w:r>
              <w:rPr>
                <w:rFonts w:ascii="Times New Roman" w:cs="Times New Roman" w:eastAsia="Times New Roman" w:hAnsi="Times New Roman"/>
                <w:sz w:val="14"/>
                <w:szCs w:val="14"/>
                <w:b w:val="1"/>
                <w:bCs w:val="1"/>
                <w:color w:val="auto"/>
                <w:w w:val="90"/>
              </w:rPr>
              <w:t>IRR</w:t>
            </w:r>
            <w:r>
              <w:rPr>
                <w:rFonts w:ascii="Times New Roman" w:cs="Times New Roman" w:eastAsia="Times New Roman" w:hAnsi="Times New Roman"/>
                <w:sz w:val="18"/>
                <w:szCs w:val="18"/>
                <w:b w:val="1"/>
                <w:bCs w:val="1"/>
                <w:color w:val="auto"/>
                <w:w w:val="90"/>
                <w:vertAlign w:val="superscript"/>
              </w:rPr>
              <w:t>(3)</w:t>
            </w:r>
          </w:p>
        </w:tc>
        <w:tc>
          <w:tcPr>
            <w:tcW w:w="76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4"/>
              </w:rPr>
              <w:t>TVM</w:t>
            </w:r>
            <w:r>
              <w:rPr>
                <w:rFonts w:ascii="Times New Roman" w:cs="Times New Roman" w:eastAsia="Times New Roman" w:hAnsi="Times New Roman"/>
                <w:sz w:val="18"/>
                <w:szCs w:val="18"/>
                <w:b w:val="1"/>
                <w:bCs w:val="1"/>
                <w:color w:val="auto"/>
                <w:w w:val="94"/>
                <w:vertAlign w:val="superscript"/>
              </w:rPr>
              <w:t>(3)</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9"/>
                <w:szCs w:val="9"/>
                <w:b w:val="1"/>
                <w:bCs w:val="1"/>
                <w:color w:val="auto"/>
              </w:rPr>
              <w:t>(1,4,5)</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IRR</w:t>
            </w:r>
            <w:r>
              <w:rPr>
                <w:rFonts w:ascii="Times New Roman" w:cs="Times New Roman" w:eastAsia="Times New Roman" w:hAnsi="Times New Roman"/>
                <w:sz w:val="18"/>
                <w:szCs w:val="18"/>
                <w:b w:val="1"/>
                <w:bCs w:val="1"/>
                <w:color w:val="auto"/>
                <w:w w:val="95"/>
                <w:vertAlign w:val="superscript"/>
              </w:rPr>
              <w:t>(3)</w:t>
            </w:r>
          </w:p>
        </w:tc>
        <w:tc>
          <w:tcPr>
            <w:tcW w:w="6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4"/>
              </w:rPr>
              <w:t>TVM</w:t>
            </w:r>
            <w:r>
              <w:rPr>
                <w:rFonts w:ascii="Times New Roman" w:cs="Times New Roman" w:eastAsia="Times New Roman" w:hAnsi="Times New Roman"/>
                <w:sz w:val="18"/>
                <w:szCs w:val="18"/>
                <w:b w:val="1"/>
                <w:bCs w:val="1"/>
                <w:color w:val="auto"/>
                <w:w w:val="94"/>
                <w:vertAlign w:val="superscript"/>
              </w:rPr>
              <w:t>(3)</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9"/>
                <w:szCs w:val="9"/>
                <w:b w:val="1"/>
                <w:bCs w:val="1"/>
                <w:color w:val="auto"/>
              </w:rPr>
              <w:t>(1,4,6)</w:t>
            </w:r>
          </w:p>
        </w:tc>
        <w:tc>
          <w:tcPr>
            <w:tcW w:w="620" w:type="dxa"/>
            <w:vAlign w:val="bottom"/>
            <w:gridSpan w:val="2"/>
            <w:shd w:val="clear" w:color="auto" w:fill="CCEEFF"/>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5"/>
              </w:rPr>
              <w:t>IRR</w:t>
            </w:r>
            <w:r>
              <w:rPr>
                <w:rFonts w:ascii="Times New Roman" w:cs="Times New Roman" w:eastAsia="Times New Roman" w:hAnsi="Times New Roman"/>
                <w:sz w:val="18"/>
                <w:szCs w:val="18"/>
                <w:b w:val="1"/>
                <w:bCs w:val="1"/>
                <w:color w:val="auto"/>
                <w:w w:val="95"/>
                <w:vertAlign w:val="superscript"/>
              </w:rPr>
              <w:t>(3)</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9"/>
                <w:szCs w:val="9"/>
                <w:b w:val="1"/>
                <w:bCs w:val="1"/>
                <w:color w:val="auto"/>
              </w:rPr>
              <w:t>(1,4,8)</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IRR</w:t>
            </w:r>
            <w:r>
              <w:rPr>
                <w:rFonts w:ascii="Times New Roman" w:cs="Times New Roman" w:eastAsia="Times New Roman" w:hAnsi="Times New Roman"/>
                <w:sz w:val="18"/>
                <w:szCs w:val="18"/>
                <w:b w:val="1"/>
                <w:bCs w:val="1"/>
                <w:color w:val="auto"/>
                <w:w w:val="95"/>
                <w:vertAlign w:val="superscript"/>
              </w:rPr>
              <w:t>(3)</w:t>
            </w:r>
          </w:p>
        </w:tc>
        <w:tc>
          <w:tcPr>
            <w:tcW w:w="0" w:type="dxa"/>
            <w:vAlign w:val="bottom"/>
          </w:tcPr>
          <w:p>
            <w:pPr>
              <w:spacing w:after="0"/>
              <w:rPr>
                <w:sz w:val="1"/>
                <w:szCs w:val="1"/>
                <w:color w:val="auto"/>
              </w:rPr>
            </w:pPr>
          </w:p>
        </w:tc>
      </w:tr>
      <w:tr>
        <w:trPr>
          <w:trHeight w:val="189"/>
        </w:trPr>
        <w:tc>
          <w:tcPr>
            <w:tcW w:w="1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Primaries</w:t>
            </w:r>
          </w:p>
        </w:tc>
        <w:tc>
          <w:tcPr>
            <w:tcW w:w="900" w:type="dxa"/>
            <w:vAlign w:val="bottom"/>
            <w:tcBorders>
              <w:top w:val="single" w:sz="8" w:color="auto"/>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color w:val="auto"/>
                <w:w w:val="99"/>
              </w:rPr>
              <w:t>17.3%</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1.6x</w:t>
            </w:r>
          </w:p>
        </w:tc>
        <w:tc>
          <w:tcPr>
            <w:tcW w:w="80" w:type="dxa"/>
            <w:vAlign w:val="bottom"/>
            <w:tcBorders>
              <w:bottom w:val="single" w:sz="8" w:color="CCEEFF"/>
            </w:tcBorders>
          </w:tcPr>
          <w:p>
            <w:pPr>
              <w:spacing w:after="0"/>
              <w:rPr>
                <w:sz w:val="16"/>
                <w:szCs w:val="16"/>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9.3%</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1.6x</w:t>
            </w:r>
          </w:p>
        </w:tc>
        <w:tc>
          <w:tcPr>
            <w:tcW w:w="100" w:type="dxa"/>
            <w:vAlign w:val="bottom"/>
            <w:tcBorders>
              <w:bottom w:val="single" w:sz="8" w:color="CCEEFF"/>
            </w:tcBorders>
          </w:tcPr>
          <w:p>
            <w:pPr>
              <w:spacing w:after="0"/>
              <w:rPr>
                <w:sz w:val="16"/>
                <w:szCs w:val="16"/>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Primaries</w:t>
            </w:r>
          </w:p>
        </w:tc>
        <w:tc>
          <w:tcPr>
            <w:tcW w:w="52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tcPr>
          <w:p>
            <w:pPr>
              <w:spacing w:after="0"/>
              <w:rPr>
                <w:sz w:val="16"/>
                <w:szCs w:val="16"/>
                <w:color w:val="auto"/>
              </w:rPr>
            </w:pPr>
          </w:p>
        </w:tc>
        <w:tc>
          <w:tcPr>
            <w:tcW w:w="1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Direct lending</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35"/>
        </w:trPr>
        <w:tc>
          <w:tcPr>
            <w:tcW w:w="1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w:t>
            </w:r>
          </w:p>
        </w:tc>
        <w:tc>
          <w:tcPr>
            <w:tcW w:w="900" w:type="dxa"/>
            <w:vAlign w:val="bottom"/>
            <w:vMerge w:val="restart"/>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w w:val="99"/>
              </w:rPr>
              <w:t>18.2%</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1.5x</w:t>
            </w:r>
          </w:p>
        </w:tc>
        <w:tc>
          <w:tcPr>
            <w:tcW w:w="80" w:type="dxa"/>
            <w:vAlign w:val="bottom"/>
            <w:vMerge w:val="restart"/>
            <w:shd w:val="clear" w:color="auto" w:fill="CCEEFF"/>
          </w:tcPr>
          <w:p>
            <w:pPr>
              <w:spacing w:after="0"/>
              <w:rPr>
                <w:sz w:val="11"/>
                <w:szCs w:val="11"/>
                <w:color w:val="auto"/>
              </w:rPr>
            </w:pPr>
          </w:p>
        </w:tc>
        <w:tc>
          <w:tcPr>
            <w:tcW w:w="1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1.4x</w:t>
            </w:r>
          </w:p>
        </w:tc>
        <w:tc>
          <w:tcPr>
            <w:tcW w:w="1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w:t>
            </w:r>
          </w:p>
        </w:tc>
        <w:tc>
          <w:tcPr>
            <w:tcW w:w="52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Distressed debt</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Co-investments</w:t>
            </w:r>
          </w:p>
        </w:tc>
        <w:tc>
          <w:tcPr>
            <w:tcW w:w="90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w w:val="99"/>
              </w:rPr>
              <w:t>19.8%</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7"/>
              </w:rPr>
              <w:t>1.7x</w:t>
            </w:r>
          </w:p>
        </w:tc>
        <w:tc>
          <w:tcPr>
            <w:tcW w:w="1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Real estate debt fund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1.2x</w:t>
            </w:r>
          </w:p>
        </w:tc>
        <w:tc>
          <w:tcPr>
            <w:tcW w:w="100" w:type="dxa"/>
            <w:vAlign w:val="bottom"/>
          </w:tcPr>
          <w:p>
            <w:pPr>
              <w:spacing w:after="0"/>
              <w:rPr>
                <w:sz w:val="11"/>
                <w:szCs w:val="11"/>
                <w:color w:val="auto"/>
              </w:rPr>
            </w:pPr>
          </w:p>
        </w:tc>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Co-investments</w:t>
            </w:r>
            <w:r>
              <w:rPr>
                <w:rFonts w:ascii="Times New Roman" w:cs="Times New Roman" w:eastAsia="Times New Roman" w:hAnsi="Times New Roman"/>
                <w:sz w:val="18"/>
                <w:szCs w:val="18"/>
                <w:color w:val="auto"/>
                <w:vertAlign w:val="superscript"/>
              </w:rPr>
              <w:t>(7)</w:t>
            </w:r>
          </w:p>
        </w:tc>
        <w:tc>
          <w:tcPr>
            <w:tcW w:w="5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(9)</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03"/>
        </w:trPr>
        <w:tc>
          <w:tcPr>
            <w:tcW w:w="14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Value-add/opportunistic</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15.3%</w:t>
            </w:r>
          </w:p>
        </w:tc>
        <w:tc>
          <w:tcPr>
            <w:tcW w:w="6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1.3x</w:t>
            </w:r>
          </w:p>
        </w:tc>
        <w:tc>
          <w:tcPr>
            <w:tcW w:w="100" w:type="dxa"/>
            <w:vAlign w:val="bottom"/>
            <w:tcBorders>
              <w:top w:val="single" w:sz="8" w:color="CCEEFF"/>
            </w:tcBorders>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 &amp; co-investments</w:t>
            </w: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140" w:hanging="652"/>
        <w:spacing w:after="0" w:line="250"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returns reflect NAV data for underlying investments as of September 30, 2022, as reported by underlying managers up to 100 days following September 30, 2022. For investment returns where NAV data is not available 100 days following September 30, 2022, such NAVs are adjusted for cash activity following the last available reported NAV. Investment 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Times New Roman" w:cs="Times New Roman" w:eastAsia="Times New Roman" w:hAnsi="Times New Roman"/>
          <w:sz w:val="18"/>
          <w:szCs w:val="18"/>
          <w:color w:val="auto"/>
        </w:rPr>
      </w:pPr>
    </w:p>
    <w:p>
      <w:pPr>
        <w:ind w:left="660" w:right="220" w:hanging="652"/>
        <w:spacing w:after="0" w:line="247"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includes 1,458 investments totaling $149.4 billion of capital commitments and excludes (i) two advisory co-investments, totaling $100.0 million of capital commitments, (ii) all client-directed private equity investments (191 investments totaling $26.6 billion of capital commitments), and (iii) investments for which StepStone does not provide monitoring and reporting services to the client that made the investment, and (iv) Greenspring investments until the data integration is completed.</w:t>
      </w:r>
    </w:p>
    <w:p>
      <w:pPr>
        <w:ind w:left="660" w:right="140" w:hanging="652"/>
        <w:spacing w:after="0" w:line="228"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IRR and Net TVM are presented solely for illustrative purposes and do not represent actual returns received by any investor in any of the StepStone Funds represented above and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represent an annual rate):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7"/>
          <w:szCs w:val="17"/>
          <w:color w:val="auto"/>
        </w:rPr>
        <w:t>Primaries: 25 basis points of net invested capital for management fees, charged quarterly.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0" w:lineRule="exact"/>
        <w:rPr>
          <w:sz w:val="20"/>
          <w:szCs w:val="20"/>
          <w:color w:val="auto"/>
        </w:rPr>
      </w:pPr>
    </w:p>
    <w:p>
      <w:pPr>
        <w:ind w:left="1300" w:right="480" w:hanging="644"/>
        <w:spacing w:after="0" w:line="261" w:lineRule="auto"/>
        <w:tabs>
          <w:tab w:leader="none" w:pos="12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Secondaries: 125 basis points (60 basis points for Infrastructure) of capital commitments in years 1 through 4 for management fees, charged quarterly. In year 5, management fees step down to 90% of the previous year’s fee.</w:t>
      </w:r>
    </w:p>
    <w:p>
      <w:pPr>
        <w:ind w:left="1300" w:right="280" w:hanging="644"/>
        <w:spacing w:after="0" w:line="250" w:lineRule="auto"/>
        <w:tabs>
          <w:tab w:leader="none" w:pos="12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100 basis points and 50 basis points for co-investments and direct asset management investments, respectively, of net committed capital for management fees, charged quarterly.</w:t>
      </w:r>
    </w:p>
    <w:p>
      <w:pPr>
        <w:ind w:left="1300" w:right="520" w:hanging="644"/>
        <w:spacing w:after="0" w:line="250" w:lineRule="auto"/>
        <w:tabs>
          <w:tab w:leader="none" w:pos="12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 types assess 5 basis points of capital commitments for fund expenses, charged quarterly, and 1 basis point of capital commitments drawn down in the first cash flow quarter for organizational costs.</w:t>
      </w:r>
    </w:p>
    <w:p>
      <w:pPr>
        <w:jc w:val="both"/>
        <w:ind w:left="1300" w:right="300" w:hanging="644"/>
        <w:spacing w:after="0" w:line="265" w:lineRule="auto"/>
        <w:tabs>
          <w:tab w:leader="none" w:pos="128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Equity and Infrastructure secondaries and co-investments include 12.5% and 10.0% of paid and unrealized carry, respectively, with an 8.0% preferred return hurdle. Real Estate secondaries and co-investments include 15.0% of paid and unrealized carry, with an</w:t>
      </w:r>
    </w:p>
    <w:p>
      <w:pPr>
        <w:ind w:left="1300"/>
        <w:spacing w:after="0"/>
        <w:rPr>
          <w:sz w:val="20"/>
          <w:szCs w:val="20"/>
          <w:color w:val="auto"/>
        </w:rPr>
      </w:pPr>
      <w:r>
        <w:rPr>
          <w:rFonts w:ascii="Times New Roman" w:cs="Times New Roman" w:eastAsia="Times New Roman" w:hAnsi="Times New Roman"/>
          <w:sz w:val="18"/>
          <w:szCs w:val="18"/>
          <w:color w:val="auto"/>
        </w:rPr>
        <w:t>8.0% preferred return hurdle.</w:t>
      </w:r>
    </w:p>
    <w:p>
      <w:pPr>
        <w:spacing w:after="0" w:line="9" w:lineRule="exact"/>
        <w:rPr>
          <w:sz w:val="20"/>
          <w:szCs w:val="20"/>
          <w:color w:val="auto"/>
        </w:rPr>
      </w:pPr>
    </w:p>
    <w:p>
      <w:pPr>
        <w:ind w:left="660" w:right="420"/>
        <w:spacing w:after="0" w:line="250" w:lineRule="auto"/>
        <w:rPr>
          <w:sz w:val="20"/>
          <w:szCs w:val="20"/>
          <w:color w:val="auto"/>
        </w:rPr>
      </w:pPr>
      <w:r>
        <w:rPr>
          <w:rFonts w:ascii="Times New Roman" w:cs="Times New Roman" w:eastAsia="Times New Roman" w:hAnsi="Times New Roman"/>
          <w:sz w:val="18"/>
          <w:szCs w:val="18"/>
          <w:color w:val="auto"/>
        </w:rPr>
        <w:t>Net IRR and Net TVM for certain investments may have been impacted by StepStone’s or the underlying fund manager’s use of subscription backed credit facilities by such vehicles. Reinvested/recycled amounts increase contributed capital.</w:t>
      </w:r>
    </w:p>
    <w:p>
      <w:pPr>
        <w:spacing w:after="0" w:line="1" w:lineRule="exact"/>
        <w:rPr>
          <w:sz w:val="20"/>
          <w:szCs w:val="20"/>
          <w:color w:val="auto"/>
        </w:rPr>
      </w:pPr>
    </w:p>
    <w:p>
      <w:pPr>
        <w:ind w:left="660" w:right="40" w:hanging="652"/>
        <w:spacing w:after="0" w:line="25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Times New Roman" w:cs="Times New Roman" w:eastAsia="Times New Roman" w:hAnsi="Times New Roman"/>
          <w:sz w:val="18"/>
          <w:szCs w:val="18"/>
          <w:color w:val="auto"/>
        </w:rPr>
      </w:pPr>
    </w:p>
    <w:p>
      <w:pPr>
        <w:ind w:left="660" w:right="140" w:hanging="652"/>
        <w:spacing w:after="0" w:line="25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includes 454 investments totaling $70.8 billion of capital commitments and excludes (i) all client-directed real estate investments (74 investments totaling $11.3 billion of capital commitments), (ii) nine secondary/co-investment core/core+ or credit investments, totaling $709.1 million, (iii) four advisory fund investments totaling $463.6 million of capital commitments, and (iv) investments for which StepStone does not provide monitoring and reporting services to the client that made the investment. Includes the discretionary track record of Courtland Partners, Ltd., which StepStone acquired on April 1, 2018 (the “Courtland acquisition”).</w:t>
      </w:r>
    </w:p>
    <w:p>
      <w:pPr>
        <w:spacing w:after="0" w:line="1" w:lineRule="exact"/>
        <w:rPr>
          <w:rFonts w:ascii="Times New Roman" w:cs="Times New Roman" w:eastAsia="Times New Roman" w:hAnsi="Times New Roman"/>
          <w:sz w:val="18"/>
          <w:szCs w:val="18"/>
          <w:color w:val="auto"/>
        </w:rPr>
      </w:pPr>
    </w:p>
    <w:p>
      <w:pPr>
        <w:ind w:left="660" w:right="180" w:hanging="652"/>
        <w:spacing w:after="0" w:line="25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includes 212 investments totaling $43.8 billion of capital commitments and excludes (i) 11 infrastructure investments made by the Partnership prior to the formation of the Infrastructure subsidiary in 2013 or made prior to the Courtland acquisition totaling $501.9 million of capital commitments, (ii) all client-directed infrastructure investments (24 investments totaling $3.8 billion of capital commitments), and (iii) investments for which StepStone does not provide monitoring and reporting services to the client that made the investment.</w:t>
      </w:r>
    </w:p>
    <w:p>
      <w:pPr>
        <w:spacing w:after="0" w:line="1" w:lineRule="exact"/>
        <w:rPr>
          <w:rFonts w:ascii="Times New Roman" w:cs="Times New Roman" w:eastAsia="Times New Roman" w:hAnsi="Times New Roman"/>
          <w:sz w:val="18"/>
          <w:szCs w:val="18"/>
          <w:color w:val="auto"/>
        </w:rPr>
      </w:pPr>
    </w:p>
    <w:p>
      <w:pPr>
        <w:ind w:left="640" w:hanging="632"/>
        <w:spacing w:after="0" w:line="236"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 management investments.</w:t>
      </w:r>
    </w:p>
    <w:p>
      <w:pPr>
        <w:ind w:left="660" w:hanging="652"/>
        <w:spacing w:after="0" w:line="234"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includes 797 investments totaling $42.1 billion of capital commitments and excludes (i) all client-directed debt investments (32 investments, totaling $2.5 billion of capital commitments), (ii) real estate credit investments that were recommended by Courtland Partners, Ltd. prior to the Courtland acquisition (54 investments totaling $5.2 billion of capital commitments), and (iii) investments for which StepStone does not provide monitoring and reporting services to the client that made the investment. IRR is presented solely for illustrative purposes and does not represent actual returns received by any investor in any of the StepStone Funds represented above. No individual investor received the aggregate returns described herein as the investments were made across multiple mandates over multiple years. StepStone fees and expenses are based on the following assumptions (management fees represent an annual rate): Private Debt fund investments include 65 basis points on the quarterly NAV for management fees, charged quarterly. Net IRR for certain investments may have been impacted by StepStone’s or the underlying fund manager’s use of subscription backed credit facilities by such vehicles. Reinvested/recycled amounts increase contributed capital.</w:t>
      </w:r>
    </w:p>
    <w:p>
      <w:pPr>
        <w:spacing w:after="0" w:line="4" w:lineRule="exact"/>
        <w:rPr>
          <w:rFonts w:ascii="Times New Roman" w:cs="Times New Roman" w:eastAsia="Times New Roman" w:hAnsi="Times New Roman"/>
          <w:sz w:val="18"/>
          <w:szCs w:val="18"/>
          <w:color w:val="auto"/>
        </w:rPr>
      </w:pPr>
    </w:p>
    <w:p>
      <w:pPr>
        <w:ind w:left="660" w:right="220" w:hanging="652"/>
        <w:spacing w:after="0" w:line="26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mezzanine debt, collateralized loan obligations, leasing, regulatory capital, trade finance, intellectual property/royalty, real estate debt and infrastructure debt.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Sources and Uses of Liquidity</w:t>
      </w:r>
    </w:p>
    <w:p>
      <w:pPr>
        <w:spacing w:after="0" w:line="220"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0"/>
          <w:szCs w:val="20"/>
          <w:color w:val="auto"/>
        </w:rPr>
        <w:t>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and acquisitions to expand into new businesses.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As of December 31, 2022, we had $141.0 million of cash, cash equivalents and restricted cash and $1,235.5 million of investments in StepStone Funds, including $1,126.4 million of accrued carried interest allocations, against $83.2 million in debt obligations, net of debt issuance costs, and $597.3 million in accrued carried interest-related compensation payable.</w:t>
      </w:r>
    </w:p>
    <w:p>
      <w:pPr>
        <w:spacing w:after="0" w:line="18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to meet our obligations for the next 12 months.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33" w:lineRule="exact"/>
        <w:rPr>
          <w:sz w:val="20"/>
          <w:szCs w:val="20"/>
          <w:color w:val="auto"/>
        </w:rPr>
      </w:pPr>
    </w:p>
    <w:p>
      <w:pPr>
        <w:ind w:right="160" w:firstLine="648"/>
        <w:spacing w:after="0" w:line="276" w:lineRule="auto"/>
        <w:rPr>
          <w:sz w:val="20"/>
          <w:szCs w:val="20"/>
          <w:color w:val="auto"/>
        </w:rPr>
      </w:pPr>
      <w:r>
        <w:rPr>
          <w:rFonts w:ascii="Times New Roman" w:cs="Times New Roman" w:eastAsia="Times New Roman" w:hAnsi="Times New Roman"/>
          <w:sz w:val="19"/>
          <w:szCs w:val="19"/>
          <w:color w:val="auto"/>
        </w:rPr>
        <w:t>The accompanying condensed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our cash flows attributable to operating, investing and financing activities: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181,978</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(201,475)</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(27,073)</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20" w:lineRule="exact"/>
        <w:rPr>
          <w:sz w:val="20"/>
          <w:szCs w:val="20"/>
          <w:color w:val="auto"/>
        </w:rPr>
      </w:pPr>
    </w:p>
    <w:p>
      <w:pPr>
        <w:ind w:right="340" w:firstLine="648"/>
        <w:spacing w:after="0" w:line="310" w:lineRule="auto"/>
        <w:rPr>
          <w:sz w:val="20"/>
          <w:szCs w:val="20"/>
          <w:color w:val="auto"/>
        </w:rPr>
      </w:pPr>
      <w:r>
        <w:rPr>
          <w:rFonts w:ascii="Times New Roman" w:cs="Times New Roman" w:eastAsia="Times New Roman" w:hAnsi="Times New Roman"/>
          <w:sz w:val="19"/>
          <w:szCs w:val="19"/>
          <w:color w:val="auto"/>
        </w:rPr>
        <w:t>Operating activities provided $151.7 million and $182.0 million of cash for the nine months ended December 31, 2022 and 2021, respectively. For the nine months ended December 31, 2022 and 2021, respectively, these amounts primarily consisted of the following:</w:t>
      </w:r>
    </w:p>
    <w:p>
      <w:pPr>
        <w:spacing w:after="0" w:line="124" w:lineRule="exact"/>
        <w:rPr>
          <w:sz w:val="20"/>
          <w:szCs w:val="20"/>
          <w:color w:val="auto"/>
        </w:rPr>
      </w:pPr>
    </w:p>
    <w:p>
      <w:pPr>
        <w:jc w:val="both"/>
        <w:ind w:left="980" w:right="60" w:hanging="324"/>
        <w:spacing w:after="0" w:line="268" w:lineRule="auto"/>
        <w:tabs>
          <w:tab w:leader="none" w:pos="96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(loss), after adjustments for non-cash items (including unrealized carried interest allocations, unrealized performance fee-related compensation, unrealized investment income and acquisition-related contingent consideration), of $166.6 million and $167.0 million;</w:t>
      </w:r>
    </w:p>
    <w:p>
      <w:pPr>
        <w:spacing w:after="0" w:line="16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$(0.4) million and $15.0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for non-cash items from Consolidated Funds of $(4.9)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purchases of investments of Consolidated Funds of $9.4 million and $0 million; 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Consolidated Funds of $(0.2) million and $0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33" w:lineRule="exact"/>
        <w:rPr>
          <w:sz w:val="20"/>
          <w:szCs w:val="20"/>
          <w:color w:val="auto"/>
        </w:rPr>
      </w:pPr>
    </w:p>
    <w:p>
      <w:pPr>
        <w:ind w:right="840" w:firstLine="648"/>
        <w:spacing w:after="0" w:line="269" w:lineRule="auto"/>
        <w:rPr>
          <w:sz w:val="20"/>
          <w:szCs w:val="20"/>
          <w:color w:val="auto"/>
        </w:rPr>
      </w:pPr>
      <w:r>
        <w:rPr>
          <w:rFonts w:ascii="Times New Roman" w:cs="Times New Roman" w:eastAsia="Times New Roman" w:hAnsi="Times New Roman"/>
          <w:sz w:val="20"/>
          <w:szCs w:val="20"/>
          <w:color w:val="auto"/>
        </w:rPr>
        <w:t>Investing activities used $23.4 million and $201.5 million of cash for the nine months ended December 31, 2022 and 2021, respectively, and primarily consisted of the following amounts:</w:t>
      </w:r>
    </w:p>
    <w:p>
      <w:pPr>
        <w:spacing w:after="0" w:line="173" w:lineRule="exact"/>
        <w:rPr>
          <w:sz w:val="20"/>
          <w:szCs w:val="20"/>
          <w:color w:val="auto"/>
        </w:rPr>
      </w:pPr>
    </w:p>
    <w:p>
      <w:pPr>
        <w:ind w:left="960" w:hanging="304"/>
        <w:spacing w:after="0"/>
        <w:tabs>
          <w:tab w:leader="none" w:pos="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of $12.4 million and $10.3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in legacy Greenspring entities of $7.9 million and $8.1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fixed assets of $3.1 million and $1.6 million; 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payments for acquisitions, net of cash acquired, of $0 million and $181.5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780" w:firstLine="648"/>
        <w:spacing w:after="0" w:line="269" w:lineRule="auto"/>
        <w:rPr>
          <w:sz w:val="20"/>
          <w:szCs w:val="20"/>
          <w:color w:val="auto"/>
        </w:rPr>
      </w:pPr>
      <w:r>
        <w:rPr>
          <w:rFonts w:ascii="Times New Roman" w:cs="Times New Roman" w:eastAsia="Times New Roman" w:hAnsi="Times New Roman"/>
          <w:sz w:val="20"/>
          <w:szCs w:val="20"/>
          <w:color w:val="auto"/>
        </w:rPr>
        <w:t>Financing activities used $104.7 million and $27.1 million of cash for the nine months ended December 31, 2022 and 2021, respectively, and primarily consisted of the following:</w:t>
      </w:r>
    </w:p>
    <w:p>
      <w:pPr>
        <w:spacing w:after="0" w:line="173" w:lineRule="exact"/>
        <w:rPr>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borrowings on revolving credit facility (including payment of deferred financing costs) of $20.0 million and $62.6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non-controlling interests of $0 million and $3.0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deferred offering costs of $0 million and $1.3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of $87.2 million and $74.5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to legacy Greenspring entities of $10.6 million and $9.1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in legacy Greenspring entities of $6.8 million and $4.6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paid to common stockholders of $37.4 million and $14.8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for employee taxes related to the net settlement of RSUs of $2.7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related parties under the Tax Receivable Agreements of $6.0 million and $0.7 million; and</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from redeemable non-controlling interests in Consolidated Funds of $4.6 million and $0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In September 2021, we entered into the Credit Agreement in connection with the Greenspring acquisition. The Credit Agreement was arranged by JPMorgan Chase Bank, N.A., as administrative agent, and provides for a $225.0 million multicurrency Revolver with a five-year maturity. As of December 31, 2022, we had $83.2 million outstanding on the Revolver, net of debt issuance costs.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3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We may designate each borrowing as (i) in the case of any borrowing in U.S. dollars, a base rate loan or a LIBOR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weighted-average interest rate in effect for the Revolver as of December 31, 2022 was 6.42%.</w:t>
      </w:r>
    </w:p>
    <w:p>
      <w:pPr>
        <w:spacing w:after="0" w:line="17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81"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4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us to maintain a total net leverage ratio, and a minimum total of fee-earning assets under management. As of December 31, 2022, we were in compliance with the total net leverage ratio and minimum fee-earning assets under management covenants.</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We can use available funding capacity under the Revolver to satisfy letters of credit in amounts up to $10.0 million. Amounts used to satisfy the letters of credit reduce the available capacity under the Revolver. As of December 31, 2022, we had outstanding letters of credit totaling $7.8 million.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June 2022, we issued 257,776 shares of Class A common stock to certain limited partners of the Partnership in exchange for</w:t>
      </w:r>
    </w:p>
    <w:p>
      <w:pPr>
        <w:spacing w:after="0" w:line="2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257,776 Class B units. A corresponding number of shares of Class B common stock were automatically redeemed at par value and canceled in connection with such exchange and a corresponding number of Class A units of the Partnership were issued to us.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September 2022, we issued 175,000 shares of Class A common stock to certain limited partners of the Partnership in exchange for</w:t>
      </w:r>
    </w:p>
    <w:p>
      <w:pPr>
        <w:spacing w:after="0" w:line="3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175,000 Class B units. A corresponding number of shares of Class B common stock were automatically redeemed at par value and canceled in connection with such exchange and a corresponding number of Class A units of the Partnership were issued to us.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December 2022, we issued 296,756 shares of Class A common stock to certain limited partners of the Partnership in exchange for</w:t>
      </w:r>
    </w:p>
    <w:p>
      <w:pPr>
        <w:spacing w:after="0" w:line="40"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20"/>
          <w:szCs w:val="20"/>
          <w:color w:val="auto"/>
        </w:rPr>
        <w:t>296,756 Class B units. A corresponding number of shares of Class B common stock were automatically redeemed at par value and canceled in connection with such exchange and a corresponding number of Class A units of the Partnership were issued to us. We also issued 414,739 shares of Class A common stock to certain limited partners of the Partnership in exchange for 414,739 Class C units.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Future Sources and Uses of Liquidity</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Dividend and Distribution Policy</w:t>
      </w:r>
    </w:p>
    <w:p>
      <w:pPr>
        <w:spacing w:after="0" w:line="220"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On February 9, 2023, we announced a dividend of $0.20 per share of Class A common stock, payable on March 15, 2023 to holders of record at the close of business on February 28, 2023.</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information regarding cash quarterly dividends on Class A common shares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Quarterly Fiscal Period</w:t>
            </w:r>
            <w:r>
              <w:rPr>
                <w:rFonts w:ascii="Times New Roman" w:cs="Times New Roman" w:eastAsia="Times New Roman" w:hAnsi="Times New Roman"/>
                <w:sz w:val="23"/>
                <w:szCs w:val="23"/>
                <w:b w:val="1"/>
                <w:bCs w:val="1"/>
                <w:color w:val="auto"/>
                <w:w w:val="99"/>
                <w:vertAlign w:val="superscript"/>
              </w:rPr>
              <w:t>1</w:t>
            </w:r>
          </w:p>
        </w:tc>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First quarter</w:t>
            </w:r>
          </w:p>
        </w:tc>
        <w:tc>
          <w:tcPr>
            <w:tcW w:w="14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15, 2021</w:t>
            </w:r>
          </w:p>
        </w:tc>
        <w:tc>
          <w:tcPr>
            <w:tcW w:w="14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Second quarter</w:t>
            </w:r>
          </w:p>
        </w:tc>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15, 2021</w:t>
            </w:r>
          </w:p>
        </w:tc>
        <w:tc>
          <w:tcPr>
            <w:tcW w:w="16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37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Third quarter</w:t>
            </w:r>
          </w:p>
        </w:tc>
        <w:tc>
          <w:tcPr>
            <w:tcW w:w="37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December 15, 2021</w:t>
            </w:r>
          </w:p>
        </w:tc>
        <w:tc>
          <w:tcPr>
            <w:tcW w:w="16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378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Fourth quarter</w:t>
            </w:r>
          </w:p>
        </w:tc>
        <w:tc>
          <w:tcPr>
            <w:tcW w:w="378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March 15, 2022</w:t>
            </w:r>
          </w:p>
        </w:tc>
        <w:tc>
          <w:tcPr>
            <w:tcW w:w="16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48"/>
        </w:trPr>
        <w:tc>
          <w:tcPr>
            <w:tcW w:w="3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Total dividends paid in FY2022</w:t>
            </w: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37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First quarter</w:t>
            </w:r>
          </w:p>
        </w:tc>
        <w:tc>
          <w:tcPr>
            <w:tcW w:w="37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30, 2022</w:t>
            </w:r>
          </w:p>
        </w:tc>
        <w:tc>
          <w:tcPr>
            <w:tcW w:w="168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Second quarter</w:t>
            </w:r>
          </w:p>
        </w:tc>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15, 2022</w:t>
            </w:r>
          </w:p>
        </w:tc>
        <w:tc>
          <w:tcPr>
            <w:tcW w:w="16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37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Third quarter</w:t>
            </w:r>
          </w:p>
        </w:tc>
        <w:tc>
          <w:tcPr>
            <w:tcW w:w="37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December 15, 2022</w:t>
            </w:r>
          </w:p>
        </w:tc>
        <w:tc>
          <w:tcPr>
            <w:tcW w:w="16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3"/>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Total dividends paid in FY2023</w:t>
            </w: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202"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Tax Receivable Agreements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We have entered into an Exchanges Tax Receivable Agreement with the Class B limited partners and Class C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3"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15, respectively, to our condensed consolidated financial statements included elsewhere in this quarterly report for information on variable interest entities and commitments and contingencies.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164" w:lineRule="exact"/>
        <w:rPr>
          <w:sz w:val="20"/>
          <w:szCs w:val="20"/>
          <w:color w:val="auto"/>
        </w:rPr>
      </w:pPr>
    </w:p>
    <w:p>
      <w:pPr>
        <w:ind w:right="100" w:firstLine="648"/>
        <w:spacing w:after="0" w:line="310" w:lineRule="auto"/>
        <w:rPr>
          <w:sz w:val="20"/>
          <w:szCs w:val="20"/>
          <w:color w:val="auto"/>
        </w:rPr>
      </w:pPr>
      <w:r>
        <w:rPr>
          <w:rFonts w:ascii="Times New Roman" w:cs="Times New Roman" w:eastAsia="Times New Roman" w:hAnsi="Times New Roman"/>
          <w:sz w:val="19"/>
          <w:szCs w:val="19"/>
          <w:color w:val="auto"/>
        </w:rPr>
        <w:t>See note 2 to our condensed consolidated financial statements included elsewhere in this quarterly report, and note 2 to our audited consolidated financial statements in our Form 10-K for the year ended March 31, 2022 for a summary of our significant accounting policies.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Recent Accounting Developments</w:t>
      </w:r>
    </w:p>
    <w:p>
      <w:pPr>
        <w:spacing w:after="0" w:line="220"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23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68"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0"/>
          <w:szCs w:val="20"/>
          <w:color w:val="auto"/>
        </w:rPr>
        <w:t>Our management fee and advisory fee revenue is only marginally affected by changes in investment values because our management fees are generally based on commitments or net invested capital and our advisory fees are fixed. As of December 31, 2022, NAV-based management fees represented approximately 5% of total net management and advisory fees. We estimate that a 10% decline in market values of the investments held in our funds as of December 31, 2022 would result in an approximate $2.6 million decrease to annual management fees.</w:t>
      </w:r>
    </w:p>
    <w:p>
      <w:pPr>
        <w:spacing w:after="0" w:line="17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61" w:lineRule="exact"/>
        <w:rPr>
          <w:sz w:val="20"/>
          <w:szCs w:val="20"/>
          <w:color w:val="auto"/>
        </w:rPr>
      </w:pPr>
    </w:p>
    <w:p>
      <w:pPr>
        <w:ind w:left="660" w:right="100" w:hanging="328"/>
        <w:spacing w:after="0" w:line="258"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December 31, 2022, we had $17.8 million of deferred incentive fee revenue recorded in accounts payable, accrued expenses and other liabilities in the condensed consolidated balance sheets.</w:t>
      </w:r>
    </w:p>
    <w:p>
      <w:pPr>
        <w:spacing w:after="0" w:line="185"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December 31, 2022, the maximum amount of carried interest allocations (excluding legacy Greenspring carried interest allocations) subject to contingent repayment was an estimated $260.7 million, net of tax, assuming the fair value of all investments was zero, a possibility that we view as remote.</w:t>
      </w:r>
    </w:p>
    <w:p>
      <w:pPr>
        <w:spacing w:after="0" w:line="179" w:lineRule="exact"/>
        <w:rPr>
          <w:rFonts w:ascii="Times New Roman" w:cs="Times New Roman" w:eastAsia="Times New Roman" w:hAnsi="Times New Roman"/>
          <w:sz w:val="20"/>
          <w:szCs w:val="20"/>
          <w:color w:val="auto"/>
        </w:rPr>
      </w:pPr>
    </w:p>
    <w:p>
      <w:pPr>
        <w:ind w:left="660" w:right="80" w:hanging="328"/>
        <w:spacing w:after="0" w:line="258"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held as of December 31, 2022, we estimate that a 10% decline in fair value of the investments in funds and investments, at fair value, of Consolidated Funds would result in a $12.3 million decrease in income.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Exchange Rate Risk</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condensed consolidated financial statements.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As of December 31, 2022, we had $85.0 million in borrowings outstanding under our Revolver. The Revolver accrues interest at a variable rate. As of December 31, 2022, we estimate that interest expense would increase by $0.9 million on an annualized basis as a result of a 100 basis point increase in interest rates. Based on the $141.0 million of cash, cash equivalents and restricted cash as of December 31, 2022 (including Consolidated Funds), we estimate that interest income would increase by $1.4 million on an annualized basis as a result of a 100 basis point increase in interest rates.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20" w:lineRule="exact"/>
        <w:rPr>
          <w:sz w:val="20"/>
          <w:szCs w:val="20"/>
          <w:color w:val="auto"/>
        </w:rPr>
      </w:pPr>
    </w:p>
    <w:p>
      <w:pPr>
        <w:jc w:val="both"/>
        <w:ind w:right="120" w:firstLine="648"/>
        <w:spacing w:after="0" w:line="253" w:lineRule="auto"/>
        <w:rPr>
          <w:sz w:val="20"/>
          <w:szCs w:val="20"/>
          <w:color w:val="auto"/>
        </w:rPr>
      </w:pPr>
      <w:r>
        <w:rPr>
          <w:rFonts w:ascii="Times New Roman" w:cs="Times New Roman" w:eastAsia="Times New Roman" w:hAnsi="Times New Roman"/>
          <w:sz w:val="20"/>
          <w:szCs w:val="20"/>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Disclosure Controls and Procedures</w:t>
      </w:r>
    </w:p>
    <w:p>
      <w:pPr>
        <w:spacing w:after="0" w:line="22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35"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Changes in Internal Controls over Financial Reporting</w:t>
      </w:r>
    </w:p>
    <w:p>
      <w:pPr>
        <w:spacing w:after="0" w:line="220"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such term is defined in Rules 13a-15(f) and 15d-15(f) under the Exchange Act) during our most recent quarter ended December 31, 2022, that have materially affected, or are reasonably likely to materially affect, our internal control over financial reporting.</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II—OTHER INFORMATION</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20" w:lineRule="exact"/>
        <w:rPr>
          <w:sz w:val="20"/>
          <w:szCs w:val="20"/>
          <w:color w:val="auto"/>
        </w:rPr>
      </w:pPr>
    </w:p>
    <w:p>
      <w:pPr>
        <w:jc w:val="both"/>
        <w:ind w:right="580" w:firstLine="648"/>
        <w:spacing w:after="0" w:line="268" w:lineRule="auto"/>
        <w:rPr>
          <w:sz w:val="20"/>
          <w:szCs w:val="20"/>
          <w:color w:val="auto"/>
        </w:rPr>
      </w:pPr>
      <w:r>
        <w:rPr>
          <w:rFonts w:ascii="Times New Roman" w:cs="Times New Roman" w:eastAsia="Times New Roman" w:hAnsi="Times New Roman"/>
          <w:sz w:val="20"/>
          <w:szCs w:val="20"/>
          <w:color w:val="auto"/>
        </w:rPr>
        <w:t>The information required with respect to this item can be found under the heading “Litigation” in note 15, Commitments and Contingencies, to our condensed consolidated financial statements included elsewhere in this quarterly report, and such information is incorporated by reference into this Item 1.</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There have been no material changes from the risk factors previously disclosed in Part 1, Item 1A of our annual report on Form 10-K for the fiscal year ended March 31, 2022.</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33"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9"/>
          <w:szCs w:val="19"/>
          <w:color w:val="auto"/>
        </w:rPr>
        <w:t>On February 7, 2023, the Board of Directors of the Company approved and adopted amended and restated bylaws of the Company to reflect the amendments summarized below (as so amended and restated, the “Amended and Restated Bylaws”), effective February 7, 2023.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4" w:name="page85"/>
    <w:bookmarkEnd w:id="84"/>
    <w:p>
      <w:pPr>
        <w:spacing w:after="0" w:line="135"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Among other things, the amendments affected by the Amended and Restated Bylaws: (i) update certain procedural requirements related to director nominations by stockholders in light of the recently adopted Rule 14a-19 under the Exchange Act (the “Universal Proxy Rules”), including by requiring compliance with Universal Proxy Rules, including the solicitation requirement, and requiring director candidates to consent to being named in any proxy statement; and (ii) reflect certain other changes to Sections 2.9 and 2.10 in light of the Universal Proxy Rules, including (1) clarifying that certain informational requirements applicable to stockholders and beneficial owners that are entities also encompass individuals who directly or indirectly control such entities (but not passive investors in such entities) and expanding certain informational requirements; (2) requiring any stockholder submitting a nomination notice to make a representation as to whether such stockholder intends to solicit proxies in support of director nominees other than the Company’s nominees in accordance with the Universal Proxy Rules and the Amended and Restated Bylaws and to provide evidence that the stockholder has complied with such requirements; (3) requiring director and officer questionnaires to be submitted at the same time as notice of nomination; and (4) clarifying that a failure to provide such information or comply with such solicitation requirements will result in the chairperson of the meeting disregarding a stockholder’s nomination or proposal of other business.</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Amended and Restated Bylaws also: (i) provide that a white proxy card is reserved solely for use by the Company’s Board of Directors; and (ii) update and conform various provisions to reflect amendments to the Delaware General Corporation Law (the “DGCL”), including: (1) clarifying the adjournment procedures for virtual meetings of stockholders; (2) eliminating the requirement that the list of stockholders be open to examination at meetings of stockholders; (3) clarifying the requirements regarding electronic delivery of documents or information; and (4) revising the provision related to emergency bylaws to closer track Section 110 of the DGCL. The Amended and Restated Bylaws also incorporate other non-substantive, ministerial, clarifying and conforming changes, such as implementing gender-neutral terms.</w:t>
      </w:r>
    </w:p>
    <w:p>
      <w:pPr>
        <w:spacing w:after="0" w:line="179"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The foregoing description of the Amended and Restated Bylaws is qualified in its entirety by reference to the Amended and Restated Bylaws which are filed as Exhibit 3.2 to this quarterly report on Form 10-Q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2"/>
            <w:vMerge w:val="continue"/>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64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20" w:type="dxa"/>
            <w:vAlign w:val="bottom"/>
            <w:gridSpan w:val="2"/>
          </w:tcPr>
          <w:p>
            <w:pPr>
              <w:spacing w:after="0" w:line="18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80" w:type="dxa"/>
            <w:vAlign w:val="bottom"/>
          </w:tcPr>
          <w:p>
            <w:pPr>
              <w:spacing w:after="0"/>
              <w:rPr>
                <w:sz w:val="15"/>
                <w:szCs w:val="15"/>
                <w:color w:val="auto"/>
              </w:rPr>
            </w:pPr>
          </w:p>
        </w:tc>
        <w:tc>
          <w:tcPr>
            <w:tcW w:w="4640" w:type="dxa"/>
            <w:vAlign w:val="bottom"/>
            <w:gridSpan w:val="15"/>
          </w:tcPr>
          <w:p>
            <w:pPr>
              <w:spacing w:after="0" w:line="18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Amended and Restated Certificate of Incorporation of</w:t>
              </w:r>
            </w:hyperlink>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9/18/2020</w:t>
            </w:r>
          </w:p>
        </w:tc>
        <w:tc>
          <w:tcPr>
            <w:tcW w:w="10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StepStone Group Inc.</w:t>
              </w:r>
            </w:hyperlink>
          </w:p>
        </w:tc>
        <w:tc>
          <w:tcPr>
            <w:tcW w:w="7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Amended and Restated Bylaws of StepStone Group Inc.</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rFonts w:ascii="Times New Roman" w:cs="Times New Roman" w:eastAsia="Times New Roman" w:hAnsi="Times New Roman"/>
                <w:sz w:val="18"/>
                <w:szCs w:val="18"/>
                <w:color w:val="0000FF"/>
                <w:w w:val="95"/>
              </w:rPr>
            </w:pPr>
            <w:hyperlink r:id="rId10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880" w:type="dxa"/>
            <w:vAlign w:val="bottom"/>
          </w:tcPr>
          <w:p>
            <w:pPr>
              <w:spacing w:after="0"/>
              <w:rPr>
                <w:sz w:val="18"/>
                <w:szCs w:val="18"/>
                <w:color w:val="auto"/>
              </w:rPr>
            </w:pPr>
          </w:p>
        </w:tc>
        <w:tc>
          <w:tcPr>
            <w:tcW w:w="4640" w:type="dxa"/>
            <w:vAlign w:val="bottom"/>
            <w:gridSpan w:val="15"/>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Option Agreement, dated November 2, 2022</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11/3/2022</w:t>
            </w: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46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of Restricted Stock Unit Award Agreement under the</w:t>
            </w: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2020 Long-Term Incentive Plan</w:t>
            </w:r>
          </w:p>
        </w:tc>
        <w:tc>
          <w:tcPr>
            <w:tcW w:w="2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80" w:type="dxa"/>
            <w:vAlign w:val="bottom"/>
          </w:tcPr>
          <w:p>
            <w:pPr>
              <w:spacing w:after="0"/>
              <w:rPr>
                <w:sz w:val="19"/>
                <w:szCs w:val="19"/>
                <w:color w:val="auto"/>
              </w:rPr>
            </w:pPr>
          </w:p>
        </w:tc>
        <w:tc>
          <w:tcPr>
            <w:tcW w:w="46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6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4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amended</w:t>
            </w: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880" w:type="dxa"/>
            <w:vAlign w:val="bottom"/>
          </w:tcPr>
          <w:p>
            <w:pPr>
              <w:spacing w:after="0"/>
              <w:rPr>
                <w:sz w:val="19"/>
                <w:szCs w:val="19"/>
                <w:color w:val="auto"/>
              </w:rPr>
            </w:pPr>
          </w:p>
        </w:tc>
        <w:tc>
          <w:tcPr>
            <w:tcW w:w="46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2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4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amended</w:t>
            </w:r>
          </w:p>
        </w:tc>
        <w:tc>
          <w:tcPr>
            <w:tcW w:w="22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880" w:type="dxa"/>
            <w:vAlign w:val="bottom"/>
          </w:tcPr>
          <w:p>
            <w:pPr>
              <w:spacing w:after="0"/>
              <w:rPr>
                <w:sz w:val="19"/>
                <w:szCs w:val="19"/>
                <w:color w:val="auto"/>
              </w:rPr>
            </w:pPr>
          </w:p>
        </w:tc>
        <w:tc>
          <w:tcPr>
            <w:tcW w:w="46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30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906 of the Sarbanes-Oxley Act of 2002</w:t>
            </w:r>
          </w:p>
        </w:tc>
        <w:tc>
          <w:tcPr>
            <w:tcW w:w="2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880" w:type="dxa"/>
            <w:vAlign w:val="bottom"/>
          </w:tcPr>
          <w:p>
            <w:pPr>
              <w:spacing w:after="0"/>
              <w:rPr>
                <w:sz w:val="19"/>
                <w:szCs w:val="19"/>
                <w:color w:val="auto"/>
              </w:rPr>
            </w:pPr>
          </w:p>
        </w:tc>
        <w:tc>
          <w:tcPr>
            <w:tcW w:w="46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206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200" w:right="5400" w:hanging="1194"/>
        <w:spacing w:after="0" w:line="223" w:lineRule="auto"/>
        <w:tabs>
          <w:tab w:leader="none" w:pos="12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our quarterly report on Form 10-Q for the quarter ended December 31, 2022 formatted in Inline XBRL (Extensible Business Reporting Language): (i) the Condensed Consolidated Balance Sheets; (ii) the Condensed Consolidated Statements of Income (Loss); (iii) the Condensed Consolidated Statements of Comprehensive Income (Loss); (iv) the Condensed Consolidated Statements of Stockholders’ Equity; (v) the Condensed Consolidated Statements of Cash Flows; and (vi) Notes to Condensed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Pr>
          <w:p>
            <w:pPr>
              <w:spacing w:after="0"/>
              <w:rPr>
                <w:sz w:val="18"/>
                <w:szCs w:val="18"/>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180"/>
        </w:trPr>
        <w:tc>
          <w:tcPr>
            <w:tcW w:w="740" w:type="dxa"/>
            <w:vAlign w:val="bottom"/>
          </w:tcPr>
          <w:p>
            <w:pPr>
              <w:jc w:val="right"/>
              <w:ind w:right="370"/>
              <w:spacing w:after="0" w:line="181" w:lineRule="exact"/>
              <w:rPr>
                <w:sz w:val="20"/>
                <w:szCs w:val="20"/>
                <w:color w:val="auto"/>
              </w:rPr>
            </w:pPr>
            <w:r>
              <w:rPr>
                <w:rFonts w:ascii="Times New Roman" w:cs="Times New Roman" w:eastAsia="Times New Roman" w:hAnsi="Times New Roman"/>
                <w:sz w:val="18"/>
                <w:szCs w:val="18"/>
                <w:color w:val="auto"/>
                <w:w w:val="96"/>
              </w:rPr>
              <w:t>104</w:t>
            </w:r>
          </w:p>
        </w:tc>
        <w:tc>
          <w:tcPr>
            <w:tcW w:w="732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2640" w:type="dxa"/>
            <w:vAlign w:val="bottom"/>
          </w:tcPr>
          <w:p>
            <w:pPr>
              <w:spacing w:after="0"/>
              <w:rPr>
                <w:sz w:val="15"/>
                <w:szCs w:val="15"/>
                <w:color w:val="auto"/>
              </w:rPr>
            </w:pPr>
          </w:p>
        </w:tc>
      </w:tr>
      <w:tr>
        <w:trPr>
          <w:trHeight w:val="243"/>
        </w:trPr>
        <w:tc>
          <w:tcPr>
            <w:tcW w:w="740" w:type="dxa"/>
            <w:vAlign w:val="bottom"/>
          </w:tcPr>
          <w:p>
            <w:pPr>
              <w:spacing w:after="0"/>
              <w:rPr>
                <w:sz w:val="21"/>
                <w:szCs w:val="21"/>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bl>
    <w:p>
      <w:pPr>
        <w:ind w:left="1200" w:hanging="1194"/>
        <w:spacing w:after="0"/>
        <w:tabs>
          <w:tab w:leader="none" w:pos="12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86" w:name="page87"/>
    <w:bookmarkEnd w:id="86"/>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 on February 9, 2023</w:t>
      </w:r>
      <w:r>
        <w:rPr>
          <w:rFonts w:ascii="Times New Roman" w:cs="Times New Roman" w:eastAsia="Times New Roman" w:hAnsi="Times New Roman"/>
          <w:sz w:val="20"/>
          <w:szCs w:val="20"/>
          <w:b w:val="1"/>
          <w:bCs w:val="1"/>
          <w:color w:val="auto"/>
        </w:rPr>
        <w:t>.</w:t>
      </w:r>
    </w:p>
    <w:p>
      <w:pPr>
        <w:spacing w:after="0" w:line="2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0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Johnny D. Randel</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40"/>
          </w:cols>
          <w:pgMar w:left="320" w:top="1440" w:right="6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StepStone Group Inc.</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010000"/>
        </w:rPr>
        <w:t>ARTICLE I</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CORPORATE OFFICES</w:t>
      </w:r>
    </w:p>
    <w:p>
      <w:pPr>
        <w:spacing w:after="0" w:line="207"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Section 1.1 </w:t>
      </w:r>
      <w:r>
        <w:rPr>
          <w:rFonts w:ascii="Times New Roman" w:cs="Times New Roman" w:eastAsia="Times New Roman" w:hAnsi="Times New Roman"/>
          <w:sz w:val="22"/>
          <w:szCs w:val="22"/>
          <w:u w:val="single" w:color="auto"/>
          <w:color w:val="000000"/>
        </w:rPr>
        <w:t>Registered Office</w:t>
      </w:r>
      <w:r>
        <w:rPr>
          <w:rFonts w:ascii="Times New Roman" w:cs="Times New Roman" w:eastAsia="Times New Roman" w:hAnsi="Times New Roman"/>
          <w:sz w:val="22"/>
          <w:szCs w:val="22"/>
          <w:color w:val="000000"/>
        </w:rPr>
        <w:t>. The registered office of the Corporation shall be fixed in the Certificate of Incorporation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Corporation (as amended and/or restated from time to time, the “</w:t>
      </w:r>
      <w:r>
        <w:rPr>
          <w:rFonts w:ascii="Times New Roman" w:cs="Times New Roman" w:eastAsia="Times New Roman" w:hAnsi="Times New Roman"/>
          <w:sz w:val="22"/>
          <w:szCs w:val="22"/>
          <w:u w:val="single" w:color="auto"/>
          <w:color w:val="000000"/>
        </w:rPr>
        <w:t>Certificate of Incorporation</w:t>
      </w:r>
      <w:r>
        <w:rPr>
          <w:rFonts w:ascii="Times New Roman" w:cs="Times New Roman" w:eastAsia="Times New Roman" w:hAnsi="Times New Roman"/>
          <w:sz w:val="22"/>
          <w:szCs w:val="22"/>
          <w:color w:val="000000"/>
        </w:rPr>
        <w:t>”).</w:t>
      </w:r>
    </w:p>
    <w:p>
      <w:pPr>
        <w:spacing w:after="0" w:line="198" w:lineRule="exact"/>
        <w:rPr>
          <w:sz w:val="20"/>
          <w:szCs w:val="20"/>
          <w:color w:val="auto"/>
        </w:rPr>
      </w:pPr>
    </w:p>
    <w:p>
      <w:pPr>
        <w:jc w:val="both"/>
        <w:ind w:right="200"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Section 1.2 </w:t>
      </w:r>
      <w:r>
        <w:rPr>
          <w:rFonts w:ascii="Times New Roman" w:cs="Times New Roman" w:eastAsia="Times New Roman" w:hAnsi="Times New Roman"/>
          <w:sz w:val="22"/>
          <w:szCs w:val="22"/>
          <w:u w:val="single" w:color="auto"/>
          <w:color w:val="000000"/>
        </w:rPr>
        <w:t>Other Offices</w:t>
      </w:r>
      <w:r>
        <w:rPr>
          <w:rFonts w:ascii="Times New Roman" w:cs="Times New Roman" w:eastAsia="Times New Roman" w:hAnsi="Times New Roman"/>
          <w:sz w:val="22"/>
          <w:szCs w:val="22"/>
          <w:color w:val="000000"/>
        </w:rPr>
        <w:t>. The Corporation may also have an office or offices, and keep the books and records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Corporation, except as otherwise required by law, at such other place or places, either within or without the State of Delaware, as the Corporation may from time to time determine or the business of the Corporation may require.</w:t>
      </w:r>
    </w:p>
    <w:p>
      <w:pPr>
        <w:spacing w:after="0" w:line="1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010000"/>
        </w:rPr>
        <w:t>ARTICLE II</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Section 2.1 </w:t>
      </w:r>
      <w:r>
        <w:rPr>
          <w:rFonts w:ascii="Times New Roman" w:cs="Times New Roman" w:eastAsia="Times New Roman" w:hAnsi="Times New Roman"/>
          <w:sz w:val="22"/>
          <w:szCs w:val="22"/>
          <w:u w:val="single" w:color="auto"/>
          <w:color w:val="000000"/>
        </w:rPr>
        <w:t>Annual Meeting</w:t>
      </w:r>
      <w:r>
        <w:rPr>
          <w:rFonts w:ascii="Times New Roman" w:cs="Times New Roman" w:eastAsia="Times New Roman" w:hAnsi="Times New Roman"/>
          <w:sz w:val="22"/>
          <w:szCs w:val="22"/>
          <w:color w:val="000000"/>
        </w:rPr>
        <w:t>. The annual meeting of stockholders, for the election of directors to succeed those whose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terms expire and for the transaction of such other business as may properly come before the meeting, shall be held at such place, if any, either within or without the State of Delaware, on such date, and at such time as the Board of Directors of the Corporation (the “</w:t>
      </w:r>
      <w:r>
        <w:rPr>
          <w:rFonts w:ascii="Times New Roman" w:cs="Times New Roman" w:eastAsia="Times New Roman" w:hAnsi="Times New Roman"/>
          <w:sz w:val="22"/>
          <w:szCs w:val="22"/>
          <w:u w:val="single" w:color="auto"/>
          <w:color w:val="000000"/>
        </w:rPr>
        <w:t>Board of Directors</w:t>
      </w:r>
      <w:r>
        <w:rPr>
          <w:rFonts w:ascii="Times New Roman" w:cs="Times New Roman" w:eastAsia="Times New Roman" w:hAnsi="Times New Roman"/>
          <w:sz w:val="22"/>
          <w:szCs w:val="22"/>
          <w:color w:val="000000"/>
        </w:rPr>
        <w:t>” or the “</w:t>
      </w:r>
      <w:r>
        <w:rPr>
          <w:rFonts w:ascii="Times New Roman" w:cs="Times New Roman" w:eastAsia="Times New Roman" w:hAnsi="Times New Roman"/>
          <w:sz w:val="22"/>
          <w:szCs w:val="22"/>
          <w:u w:val="single" w:color="auto"/>
          <w:color w:val="000000"/>
        </w:rPr>
        <w:t>Board</w:t>
      </w:r>
      <w:r>
        <w:rPr>
          <w:rFonts w:ascii="Times New Roman" w:cs="Times New Roman" w:eastAsia="Times New Roman" w:hAnsi="Times New Roman"/>
          <w:sz w:val="22"/>
          <w:szCs w:val="22"/>
          <w:color w:val="000000"/>
        </w:rPr>
        <w:t>”) shall fix. The Corporation may postpone, reschedule or cancel any annual meeting of stockholders previously scheduled by the Board of Directors.</w:t>
      </w:r>
    </w:p>
    <w:p>
      <w:pPr>
        <w:spacing w:after="0" w:line="206"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Section 2.2 </w:t>
      </w:r>
      <w:r>
        <w:rPr>
          <w:rFonts w:ascii="Times New Roman" w:cs="Times New Roman" w:eastAsia="Times New Roman" w:hAnsi="Times New Roman"/>
          <w:sz w:val="22"/>
          <w:szCs w:val="22"/>
          <w:u w:val="single" w:color="auto"/>
          <w:color w:val="000000"/>
        </w:rPr>
        <w:t>Special Meeting</w:t>
      </w:r>
      <w:r>
        <w:rPr>
          <w:rFonts w:ascii="Times New Roman" w:cs="Times New Roman" w:eastAsia="Times New Roman" w:hAnsi="Times New Roman"/>
          <w:sz w:val="22"/>
          <w:szCs w:val="22"/>
          <w:color w:val="000000"/>
        </w:rPr>
        <w:t>. Except as otherwise required by law, and except as otherwise provided for or fixed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pursuant to the Certificate of Incorporation, including any certificate of designations relating to any series of Preferred Stock (each hereinafter referred to as a “</w:t>
      </w:r>
      <w:r>
        <w:rPr>
          <w:rFonts w:ascii="Times New Roman" w:cs="Times New Roman" w:eastAsia="Times New Roman" w:hAnsi="Times New Roman"/>
          <w:sz w:val="22"/>
          <w:szCs w:val="22"/>
          <w:u w:val="single" w:color="auto"/>
          <w:color w:val="000000"/>
        </w:rPr>
        <w:t>Preferred Stock Designation</w:t>
      </w:r>
      <w:r>
        <w:rPr>
          <w:rFonts w:ascii="Times New Roman" w:cs="Times New Roman" w:eastAsia="Times New Roman" w:hAnsi="Times New Roman"/>
          <w:sz w:val="22"/>
          <w:szCs w:val="22"/>
          <w:color w:val="000000"/>
        </w:rPr>
        <w:t>”), a special meeting of the stockholders of the Corporation may be called at any time only by the Board of Directors or the Chairperson of the Board of Directors. The Corporation may postpone, reschedule or cancel any special meeting of stockholders previously scheduled by the Board of Directors. Only such business shall be conducted at a special meeting of stockholders as shall have been brought before the meeting by or at the direction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20"/>
          </w:cols>
          <w:pgMar w:left="440" w:top="104" w:right="339" w:bottom="1440" w:gutter="0" w:footer="0" w:header="0"/>
        </w:sectPr>
      </w:pPr>
    </w:p>
    <w:bookmarkStart w:id="88" w:name="page89"/>
    <w:bookmarkEnd w:id="88"/>
    <w:p>
      <w:pPr>
        <w:spacing w:after="0" w:line="90"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22"/>
          <w:szCs w:val="22"/>
          <w:color w:val="010000"/>
        </w:rPr>
        <w:t>Section 2.3</w:t>
      </w:r>
      <w:r>
        <w:rPr>
          <w:sz w:val="20"/>
          <w:szCs w:val="20"/>
          <w:color w:val="auto"/>
        </w:rPr>
        <w:tab/>
      </w:r>
      <w:r>
        <w:rPr>
          <w:rFonts w:ascii="Times New Roman" w:cs="Times New Roman" w:eastAsia="Times New Roman" w:hAnsi="Times New Roman"/>
          <w:sz w:val="21"/>
          <w:szCs w:val="21"/>
          <w:u w:val="single" w:color="auto"/>
          <w:color w:val="auto"/>
        </w:rPr>
        <w:t>Notice of Stockholders’ Meetings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right="20" w:firstLine="1292"/>
        <w:spacing w:after="0" w:line="247" w:lineRule="auto"/>
        <w:tabs>
          <w:tab w:leader="none" w:pos="1833" w:val="left"/>
        </w:tabs>
        <w:numPr>
          <w:ilvl w:val="0"/>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Whenever stockholders are required or permitted to take any action at a meeting, a notice of the meeting of stockholders shall specify the place, if any, date and time of the meeting of stockholders, the record date for determining the stockholders entitled to vote at the meeting (if such date is different from the record date for determining the stockholders entitled to notice of the meeting) and the means of remote communications, if any, by which stockholders and proxyholders may be deemed to be present in person and vote at such meeting. The notice shall be given not less than 10 nor more than 60 days before the date on which the meeting is to be held, to each stockholder entitled to vote at such meeting as of the record date for determining the stockholders entitled to notice of the meeting, except as otherwise provided by law, the Certificate of Incorporation (including any Preferred Stock Designation) or these Amended and Restated Bylaws (as the same may be amended and/or restated from time to time,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In the case of a special meeting, the purpose or purposes for which the meeting is called also shall be set forth in the notice.</w:t>
      </w:r>
    </w:p>
    <w:p>
      <w:pPr>
        <w:spacing w:after="0" w:line="231" w:lineRule="exact"/>
        <w:rPr>
          <w:rFonts w:ascii="Times New Roman" w:cs="Times New Roman" w:eastAsia="Times New Roman" w:hAnsi="Times New Roman"/>
          <w:sz w:val="22"/>
          <w:szCs w:val="22"/>
          <w:color w:val="010000"/>
        </w:rPr>
      </w:pPr>
    </w:p>
    <w:p>
      <w:pPr>
        <w:ind w:right="360" w:firstLine="1292"/>
        <w:spacing w:after="0" w:line="256" w:lineRule="auto"/>
        <w:tabs>
          <w:tab w:leader="none" w:pos="1831" w:val="left"/>
        </w:tabs>
        <w:numPr>
          <w:ilvl w:val="0"/>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required by law, notice may be given in writing directed to a stockholder’s mailing address as it appears on the records of the Corporation and shall be given: (i) if mailed, when notice is deposited in the U.S. mail, postage prepaid; and (ii) if delivered by courier service, the earlier of when the notice is received or left at such stockholder’s address.</w:t>
      </w:r>
    </w:p>
    <w:p>
      <w:pPr>
        <w:spacing w:after="0" w:line="203" w:lineRule="exact"/>
        <w:rPr>
          <w:rFonts w:ascii="Times New Roman" w:cs="Times New Roman" w:eastAsia="Times New Roman" w:hAnsi="Times New Roman"/>
          <w:sz w:val="22"/>
          <w:szCs w:val="22"/>
          <w:color w:val="010000"/>
        </w:rPr>
      </w:pPr>
    </w:p>
    <w:p>
      <w:pPr>
        <w:ind w:right="20" w:firstLine="1292"/>
        <w:spacing w:after="0" w:line="250" w:lineRule="auto"/>
        <w:tabs>
          <w:tab w:leader="none" w:pos="1833" w:val="left"/>
        </w:tabs>
        <w:numPr>
          <w:ilvl w:val="0"/>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 long as the Corporation is subject to the Securities and Exchange Commission’s proxy rules set forth in Regulation 14A under the Securities Exchange Act of 1934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notice shall be given in the manner required by such rules. To the extent permitted by such rules,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General Corporation Law of the State of Delaware (as the same exists or may hereafter be amended from time to time,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If notice is given by electronic mail, such notice shall comply with the applicable provisions of Sections 232(a) and 232(d) of the DGCL.</w:t>
      </w:r>
    </w:p>
    <w:p>
      <w:pPr>
        <w:spacing w:after="0" w:line="227" w:lineRule="exact"/>
        <w:rPr>
          <w:rFonts w:ascii="Times New Roman" w:cs="Times New Roman" w:eastAsia="Times New Roman" w:hAnsi="Times New Roman"/>
          <w:sz w:val="22"/>
          <w:szCs w:val="22"/>
          <w:color w:val="010000"/>
        </w:rPr>
      </w:pPr>
    </w:p>
    <w:p>
      <w:pPr>
        <w:ind w:firstLine="1292"/>
        <w:spacing w:after="0" w:line="271" w:lineRule="auto"/>
        <w:tabs>
          <w:tab w:leader="none" w:pos="1831" w:val="left"/>
        </w:tabs>
        <w:numPr>
          <w:ilvl w:val="0"/>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Notice may be given by other forms of electronic transmission with the consent of a stockholder in the manner permitted by Section 232(b) of the DGCL and shall be deemed given as provided therein.</w:t>
      </w:r>
    </w:p>
    <w:p>
      <w:pPr>
        <w:spacing w:after="0" w:line="198" w:lineRule="exact"/>
        <w:rPr>
          <w:rFonts w:ascii="Times New Roman" w:cs="Times New Roman" w:eastAsia="Times New Roman" w:hAnsi="Times New Roman"/>
          <w:sz w:val="22"/>
          <w:szCs w:val="22"/>
          <w:color w:val="010000"/>
        </w:rPr>
      </w:pPr>
    </w:p>
    <w:p>
      <w:pPr>
        <w:ind w:right="200" w:firstLine="1291"/>
        <w:spacing w:after="0" w:line="268" w:lineRule="auto"/>
        <w:tabs>
          <w:tab w:leader="none" w:pos="1833"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An affidavit that notice has been given, executed by the Secretary of the Corporation, Assistant Secretary or any transfer agent or other agent of the Corporation, shall be </w:t>
      </w:r>
      <w:r>
        <w:rPr>
          <w:rFonts w:ascii="Times New Roman" w:cs="Times New Roman" w:eastAsia="Times New Roman" w:hAnsi="Times New Roman"/>
          <w:sz w:val="21"/>
          <w:szCs w:val="21"/>
          <w:i w:val="1"/>
          <w:iCs w:val="1"/>
          <w:color w:val="auto"/>
        </w:rPr>
        <w:t>prima facie</w:t>
      </w:r>
      <w:r>
        <w:rPr>
          <w:rFonts w:ascii="Times New Roman" w:cs="Times New Roman" w:eastAsia="Times New Roman" w:hAnsi="Times New Roman"/>
          <w:sz w:val="21"/>
          <w:szCs w:val="21"/>
          <w:color w:val="auto"/>
        </w:rPr>
        <w:t xml:space="preserve"> evidence of the facts stated in the notice in the absence of fraud. Notice shall be deemed to have been given to all stockholders who share an address if notice is given in accordance with the “householding” rules set forth in Rule 14a-3(e) under the Exchange Act and Section 233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20"/>
          </w:cols>
          <w:pgMar w:left="440" w:top="1440" w:right="339" w:bottom="1440" w:gutter="0" w:footer="0" w:header="0"/>
        </w:sectPr>
      </w:pPr>
    </w:p>
    <w:bookmarkStart w:id="89" w:name="page90"/>
    <w:bookmarkEnd w:id="89"/>
    <w:p>
      <w:pPr>
        <w:spacing w:after="0" w:line="333" w:lineRule="exact"/>
        <w:rPr>
          <w:sz w:val="20"/>
          <w:szCs w:val="20"/>
          <w:color w:val="auto"/>
        </w:rPr>
      </w:pPr>
    </w:p>
    <w:p>
      <w:pPr>
        <w:ind w:right="60" w:firstLine="1291"/>
        <w:spacing w:after="0" w:line="248" w:lineRule="auto"/>
        <w:tabs>
          <w:tab w:leader="none" w:pos="1836"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When a meeting is adjourned to another time or place (including an adjournment taken to address a technical failure to convene or continue a meeting using remote communication), notice need not be given of the adjourned meeting if the place, if any, date and time thereof, and the means of remote communications,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2.3(a);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7.6(a), and shall give notice of the adjourned meeting to each stockholder of record entitled to vote at such adjourned meeting as of the record date fixed for notice of such adjourned meeting.</w:t>
      </w:r>
    </w:p>
    <w:p>
      <w:pPr>
        <w:spacing w:after="0" w:line="225"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22"/>
          <w:szCs w:val="22"/>
          <w:color w:val="010000"/>
        </w:rPr>
        <w:t>Section 2.4</w:t>
      </w:r>
      <w:r>
        <w:rPr>
          <w:sz w:val="20"/>
          <w:szCs w:val="20"/>
          <w:color w:val="auto"/>
        </w:rPr>
        <w:tab/>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right="40" w:firstLine="1292"/>
        <w:spacing w:after="0" w:line="253" w:lineRule="auto"/>
        <w:tabs>
          <w:tab w:leader="none" w:pos="1833"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otherwise determined by the Board of Directors, meetings of stockholders shall be presided over by the Chairperson of the Board of Directors, or in his or her absence, by the Chief Executive Officer (if separate) or another person designated by or in the manner provided by the Board of Directors. The Secretary of the Corporation, or in his or her absence, an Assistant Secretary, or in the absence of the Secretary and all Assistant Secretaries, a person whom the chairperson of the meeting shall appoint, shall act as secretary of the meeting and keep a record of the proceedings thereof.</w:t>
      </w:r>
    </w:p>
    <w:p>
      <w:pPr>
        <w:spacing w:after="0" w:line="219" w:lineRule="exact"/>
        <w:rPr>
          <w:rFonts w:ascii="Times New Roman" w:cs="Times New Roman" w:eastAsia="Times New Roman" w:hAnsi="Times New Roman"/>
          <w:sz w:val="22"/>
          <w:szCs w:val="22"/>
          <w:color w:val="010000"/>
        </w:rPr>
      </w:pPr>
    </w:p>
    <w:p>
      <w:pPr>
        <w:ind w:firstLine="1291"/>
        <w:spacing w:after="0" w:line="260" w:lineRule="auto"/>
        <w:tabs>
          <w:tab w:leader="none" w:pos="1831" w:val="left"/>
        </w:tabs>
        <w:numPr>
          <w:ilvl w:val="0"/>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date and time of the opening and the closing of the polls for each matter upon which the stockholders shall vote at a meeting of stockholders shall be announced at the meeting. The Board of Directors may adopt such rules and regulations for the conduct of any meeting of stockholders as it shall deem appropriate. Except to the extent inconsistent with such rules and regulations as adopted by the Board of Directors, the chairperson of the meeting shall have the authority to adopt and enforce such rules and regulations for the conduct of any meeting of stockholders and the safety of those in attendance as, in the judgment of the chairperson, are necessary, appropriate or convenient for the conduct of the meeting. Rules and regulations for the conduct of meetings of stockholders, whether adopted by the Board of Directors or by the chairperson of the meeting, may include, without limitation, establishing: (i)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qualified representatives (including rules regarding who qualifies as such) and such other persons as the chairperson of the meeting shall permit; (iv) restrictions on entry to the meeting after the time fixed for the commencement thereof; (v) limitations on the time allotted for consideration of each agenda item and for questions and comments by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20"/>
          </w:cols>
          <w:pgMar w:left="440" w:top="1440" w:right="339" w:bottom="1440" w:gutter="0" w:footer="0" w:header="0"/>
        </w:sectPr>
      </w:pPr>
    </w:p>
    <w:bookmarkStart w:id="90" w:name="page91"/>
    <w:bookmarkEnd w:id="90"/>
    <w:p>
      <w:pPr>
        <w:spacing w:after="0" w:line="90" w:lineRule="exact"/>
        <w:rPr>
          <w:sz w:val="20"/>
          <w:szCs w:val="20"/>
          <w:color w:val="auto"/>
        </w:rPr>
      </w:pPr>
    </w:p>
    <w:p>
      <w:pPr>
        <w:ind w:left="365" w:hanging="365"/>
        <w:spacing w:after="0"/>
        <w:tabs>
          <w:tab w:leader="none" w:pos="365"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regulations for the opening and closing of the polls for balloting and matters which are to be voted on by ballot (if any); and</w:t>
      </w:r>
    </w:p>
    <w:p>
      <w:pPr>
        <w:spacing w:after="0" w:line="39" w:lineRule="exact"/>
        <w:rPr>
          <w:rFonts w:ascii="Times New Roman" w:cs="Times New Roman" w:eastAsia="Times New Roman" w:hAnsi="Times New Roman"/>
          <w:sz w:val="21"/>
          <w:szCs w:val="21"/>
          <w:color w:val="auto"/>
        </w:rPr>
      </w:pPr>
    </w:p>
    <w:p>
      <w:pPr>
        <w:ind w:left="5" w:hanging="5"/>
        <w:spacing w:after="0" w:line="245" w:lineRule="auto"/>
        <w:tabs>
          <w:tab w:leader="none" w:pos="43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procedures (if any) requiring attendees to provide the Corporation advance notice of their intent to attend the meeting. Subject to any rules and regulations adopted by the Board of Directors, the chairperson of the meeting may convene and, for any or no reason, from time to time, adjourn and/or recess any meeting of stockholders pursuant to Section 2.7. The chairperson of the meeting, in addition to making any other determinations that may be appropriate to the conduct of the meeting, shall declare that a nomination or other business was not properly brought before the meeting if the facts warrant (including if a determination is made, pursuant to Section 2.10(c)(i) of these Bylaws, that a nomination or other business was not made or proposed, as the case may be, in accordance with Section 2.10 of these Bylaws), and if such chairperson should so declare, such nomination shall be disregarded or such other business shall not be transacted.</w:t>
      </w:r>
    </w:p>
    <w:p>
      <w:pPr>
        <w:spacing w:after="0" w:line="232" w:lineRule="exact"/>
        <w:rPr>
          <w:sz w:val="20"/>
          <w:szCs w:val="20"/>
          <w:color w:val="auto"/>
        </w:rPr>
      </w:pPr>
    </w:p>
    <w:p>
      <w:pPr>
        <w:ind w:left="5" w:right="40" w:firstLine="648"/>
        <w:spacing w:after="0" w:line="260" w:lineRule="auto"/>
        <w:rPr>
          <w:sz w:val="20"/>
          <w:szCs w:val="20"/>
          <w:color w:val="auto"/>
        </w:rPr>
      </w:pPr>
      <w:r>
        <w:rPr>
          <w:rFonts w:ascii="Times New Roman" w:cs="Times New Roman" w:eastAsia="Times New Roman" w:hAnsi="Times New Roman"/>
          <w:sz w:val="21"/>
          <w:szCs w:val="21"/>
          <w:color w:val="010000"/>
        </w:rPr>
        <w:t xml:space="preserve">Section 2.5 </w:t>
      </w:r>
      <w:r>
        <w:rPr>
          <w:rFonts w:ascii="Times New Roman" w:cs="Times New Roman" w:eastAsia="Times New Roman" w:hAnsi="Times New Roman"/>
          <w:sz w:val="21"/>
          <w:szCs w:val="21"/>
          <w:u w:val="single" w:color="auto"/>
          <w:color w:val="000000"/>
        </w:rPr>
        <w:t>List of Stockholders</w:t>
      </w:r>
      <w:r>
        <w:rPr>
          <w:rFonts w:ascii="Times New Roman" w:cs="Times New Roman" w:eastAsia="Times New Roman" w:hAnsi="Times New Roman"/>
          <w:sz w:val="21"/>
          <w:szCs w:val="21"/>
          <w:color w:val="000000"/>
        </w:rPr>
        <w:t>. The Corporation shall prepare, no later than the 10th day before each meeting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stockholders, a complete list of the stockholders entitled to vote at the meeting;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xml:space="preserve">, that if the record date for determining the stockholders entitled to vote is less than 10 days before the date of the meeting, the list shall reflect the stockholders entitled to vote as of the 10th day before the meeting date. Such list shall be arranged in alphabetical order and shall show the address of each stockholder and the number of shares registered in the name of each stockholder. Nothing in this Section 2.5 shall require the Corporation to include electronic mail addresses or other electronic contact information on such list. Such list shall be open to the examination of any stockholder for any purpose germane to the meeting for 10 days ending on the day before the meeting date: (a) on a reasonably accessible electronic network,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required by law, the stock ledger shall be the only evidence as to who are the stockholders entitled to examine the list of stockholders required by this Section 2.5 or to vote in person or by proxy at any meeting of stockholders.</w:t>
      </w:r>
    </w:p>
    <w:p>
      <w:pPr>
        <w:spacing w:after="0" w:line="217" w:lineRule="exact"/>
        <w:rPr>
          <w:sz w:val="20"/>
          <w:szCs w:val="20"/>
          <w:color w:val="auto"/>
        </w:rPr>
      </w:pPr>
    </w:p>
    <w:p>
      <w:pPr>
        <w:ind w:left="5" w:right="4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2.6 </w:t>
      </w:r>
      <w:r>
        <w:rPr>
          <w:rFonts w:ascii="Times New Roman" w:cs="Times New Roman" w:eastAsia="Times New Roman" w:hAnsi="Times New Roman"/>
          <w:sz w:val="22"/>
          <w:szCs w:val="22"/>
          <w:u w:val="single" w:color="auto"/>
          <w:color w:val="000000"/>
        </w:rPr>
        <w:t>Quorum</w:t>
      </w:r>
      <w:r>
        <w:rPr>
          <w:rFonts w:ascii="Times New Roman" w:cs="Times New Roman" w:eastAsia="Times New Roman" w:hAnsi="Times New Roman"/>
          <w:sz w:val="22"/>
          <w:szCs w:val="22"/>
          <w:color w:val="000000"/>
        </w:rPr>
        <w:t>. Except as otherwise required by law, the Certificate of Incorporation (including any Preferred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Stock Designation) or these Bylaws, at any meeting of stockholders, a majority of the voting power of the stock outstanding and entitled to vote at the meeting, present in person or represented by proxy, shall constitute a quorum for the transaction of business;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where a separate vote by a class or series or classes or series is required, a majority of the voting power of the stock of such class or series or classes or series outstanding and entitled to vote on that matter, present in person or represented by proxy, shall constitute a quorum entitled to take action with respect to such matter. If a quorum is not present or represented at any meeting of stockholders, then the chairperson of the meeting, or a majority of the voting power of the stock present in person or represented by proxy at the meeting and entitled to vote thereon, shall have power to adjourn or recess the meeting from time to time in accordance with Section 2.7, until a quorum is present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25"/>
          </w:cols>
          <w:pgMar w:left="435" w:top="1440" w:right="339" w:bottom="1440" w:gutter="0" w:footer="0" w:header="0"/>
        </w:sectPr>
      </w:pPr>
    </w:p>
    <w:bookmarkStart w:id="91" w:name="page92"/>
    <w:bookmarkEnd w:id="91"/>
    <w:p>
      <w:pPr>
        <w:spacing w:after="0" w:line="9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21"/>
          <w:szCs w:val="21"/>
          <w:color w:val="auto"/>
        </w:rPr>
        <w:t>represented. Subject to applicable law, if a quorum initially is present at any meeting of stockholders, the stockholders may continue to transact business until adjournment or recess, notwithstanding the withdrawal of enough stockholders to leave less than a quorum, but if a quorum is not present at least initially, no business other than adjournment or recess may be transacted.</w:t>
      </w:r>
    </w:p>
    <w:p>
      <w:pPr>
        <w:spacing w:after="0" w:line="14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2.7 </w:t>
      </w:r>
      <w:r>
        <w:rPr>
          <w:rFonts w:ascii="Times New Roman" w:cs="Times New Roman" w:eastAsia="Times New Roman" w:hAnsi="Times New Roman"/>
          <w:sz w:val="22"/>
          <w:szCs w:val="22"/>
          <w:u w:val="single" w:color="auto"/>
          <w:color w:val="000000"/>
        </w:rPr>
        <w:t>Adjourned or Recessed Meeting</w:t>
      </w:r>
      <w:r>
        <w:rPr>
          <w:rFonts w:ascii="Times New Roman" w:cs="Times New Roman" w:eastAsia="Times New Roman" w:hAnsi="Times New Roman"/>
          <w:sz w:val="22"/>
          <w:szCs w:val="22"/>
          <w:color w:val="000000"/>
        </w:rPr>
        <w:t>. Any annual or special meeting of stockholders, whether or not a quorum</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is present, may be adjourned or recessed for any or no reason from time to time by the chairperson of the meeting, subject to any rules and regulations adopted by the Board of Directors pursuant to Section 2.4(b). Any such meeting may be adjourned for any or no reason (and may be recessed if a quorum is not present or represented) from time to time by a majority of the voting power of the stock present in person or represented by proxy at the meeting and entitled to vote thereon. At any such adjourned or recessed meeting at which a quorum is present, any business may be transacted that might have been transacted at the meeting as originally called.</w:t>
      </w:r>
    </w:p>
    <w:p>
      <w:pPr>
        <w:spacing w:after="0" w:line="221"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22"/>
          <w:szCs w:val="22"/>
          <w:color w:val="010000"/>
        </w:rPr>
        <w:t>Section 2.8</w:t>
      </w:r>
      <w:r>
        <w:rPr>
          <w:sz w:val="20"/>
          <w:szCs w:val="20"/>
          <w:color w:val="auto"/>
        </w:rPr>
        <w:tab/>
      </w:r>
      <w:r>
        <w:rPr>
          <w:rFonts w:ascii="Times New Roman" w:cs="Times New Roman" w:eastAsia="Times New Roman" w:hAnsi="Times New Roman"/>
          <w:sz w:val="21"/>
          <w:szCs w:val="21"/>
          <w:u w:val="single" w:color="auto"/>
          <w:color w:val="auto"/>
        </w:rPr>
        <w:t>Voting; Proxies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right="20" w:firstLine="1292"/>
        <w:spacing w:after="0" w:line="257" w:lineRule="auto"/>
        <w:tabs>
          <w:tab w:leader="none" w:pos="1833"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required by law or the Certificate of Incorporation (including any Preferred Stock Designation), each holder of stock of the Corporation entitled to vote at any meeting of stockholders shall be entitled to one vote for each share of such stock held of record by such holder that has voting power upon the subject matter in question.</w:t>
      </w:r>
    </w:p>
    <w:p>
      <w:pPr>
        <w:spacing w:after="0" w:line="267" w:lineRule="exact"/>
        <w:rPr>
          <w:rFonts w:ascii="Times New Roman" w:cs="Times New Roman" w:eastAsia="Times New Roman" w:hAnsi="Times New Roman"/>
          <w:sz w:val="22"/>
          <w:szCs w:val="22"/>
          <w:color w:val="010000"/>
        </w:rPr>
      </w:pPr>
    </w:p>
    <w:p>
      <w:pPr>
        <w:ind w:firstLine="1292"/>
        <w:spacing w:after="0" w:line="250" w:lineRule="auto"/>
        <w:tabs>
          <w:tab w:leader="none" w:pos="1831"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required by law, the Certificate of Incorporation (including any Preferred Stock Designation), these Bylaws or any law, rule or regulation applicable to the Corporation or its securities (in which case such other vote shall be applicable), at each meeting of stockholders at which a quorum is present, all corporate actions to be taken by vote of the stockholders shall be authorized by the affirmative vote of at least a majority of the voting power of the stock present in person or represented by proxy and entitled to vote on the subject matter, voting as a single class, and where a separate vote by a class or series or classes or series is required, if a quorum of such class or series or classes or series is present, such act shall be authorized by the affirmative vote of at least a majority of the voting power of the stock of such class or series or classes or series present in person or represented by proxy and entitled to vote on the subject matter. Voting at meetings of stockholders need not be by written ballot.</w:t>
      </w:r>
    </w:p>
    <w:p>
      <w:pPr>
        <w:spacing w:after="0" w:line="220" w:lineRule="exact"/>
        <w:rPr>
          <w:rFonts w:ascii="Times New Roman" w:cs="Times New Roman" w:eastAsia="Times New Roman" w:hAnsi="Times New Roman"/>
          <w:sz w:val="22"/>
          <w:szCs w:val="22"/>
          <w:color w:val="010000"/>
        </w:rPr>
      </w:pPr>
    </w:p>
    <w:p>
      <w:pPr>
        <w:jc w:val="both"/>
        <w:ind w:right="20" w:firstLine="1292"/>
        <w:spacing w:after="0" w:line="251" w:lineRule="auto"/>
        <w:tabs>
          <w:tab w:leader="none" w:pos="1833"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Every stockholder entitled to vote for directors, or on any other matter, shall have the right to do so either in person or by one or more persons authorized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 stockholder may revoke any proxy which is not irrevocable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20"/>
          </w:cols>
          <w:pgMar w:left="440" w:top="1440" w:right="339" w:bottom="1440" w:gutter="0" w:footer="0" w:header="0"/>
        </w:sectPr>
      </w:pPr>
    </w:p>
    <w:bookmarkStart w:id="92" w:name="page93"/>
    <w:bookmarkEnd w:id="92"/>
    <w:p>
      <w:pPr>
        <w:spacing w:after="0" w:line="90" w:lineRule="exact"/>
        <w:rPr>
          <w:sz w:val="20"/>
          <w:szCs w:val="20"/>
          <w:color w:val="auto"/>
        </w:rPr>
      </w:pPr>
    </w:p>
    <w:p>
      <w:pPr>
        <w:ind w:left="4" w:right="220"/>
        <w:spacing w:after="0" w:line="271" w:lineRule="auto"/>
        <w:rPr>
          <w:sz w:val="20"/>
          <w:szCs w:val="20"/>
          <w:color w:val="auto"/>
        </w:rPr>
      </w:pPr>
      <w:r>
        <w:rPr>
          <w:rFonts w:ascii="Times New Roman" w:cs="Times New Roman" w:eastAsia="Times New Roman" w:hAnsi="Times New Roman"/>
          <w:sz w:val="22"/>
          <w:szCs w:val="22"/>
          <w:color w:val="auto"/>
        </w:rPr>
        <w:t>attending the meeting and voting in person or by delivering to the Secretary of the Corporation a revocation of the proxy or an executed new proxy bearing a later date.</w:t>
      </w:r>
    </w:p>
    <w:p>
      <w:pPr>
        <w:spacing w:after="0" w:line="198" w:lineRule="exact"/>
        <w:rPr>
          <w:sz w:val="20"/>
          <w:szCs w:val="20"/>
          <w:color w:val="auto"/>
        </w:rPr>
      </w:pPr>
    </w:p>
    <w:p>
      <w:pPr>
        <w:ind w:left="644"/>
        <w:spacing w:after="0"/>
        <w:tabs>
          <w:tab w:leader="none" w:pos="1824" w:val="left"/>
        </w:tabs>
        <w:rPr>
          <w:sz w:val="20"/>
          <w:szCs w:val="20"/>
          <w:color w:val="auto"/>
        </w:rPr>
      </w:pPr>
      <w:r>
        <w:rPr>
          <w:rFonts w:ascii="Times New Roman" w:cs="Times New Roman" w:eastAsia="Times New Roman" w:hAnsi="Times New Roman"/>
          <w:sz w:val="22"/>
          <w:szCs w:val="22"/>
          <w:color w:val="010000"/>
        </w:rPr>
        <w:t>Section 2.9</w:t>
      </w:r>
      <w:r>
        <w:rPr>
          <w:sz w:val="20"/>
          <w:szCs w:val="20"/>
          <w:color w:val="auto"/>
        </w:rPr>
        <w:tab/>
      </w:r>
      <w:r>
        <w:rPr>
          <w:rFonts w:ascii="Times New Roman" w:cs="Times New Roman" w:eastAsia="Times New Roman" w:hAnsi="Times New Roman"/>
          <w:sz w:val="21"/>
          <w:szCs w:val="21"/>
          <w:u w:val="single" w:color="auto"/>
          <w:color w:val="auto"/>
        </w:rPr>
        <w:t>Submission of Information by Director Nominees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left="4" w:right="360" w:firstLine="1292"/>
        <w:spacing w:after="0" w:line="295" w:lineRule="auto"/>
        <w:tabs>
          <w:tab w:leader="none" w:pos="1837" w:val="left"/>
        </w:tabs>
        <w:numPr>
          <w:ilvl w:val="1"/>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be eligible to be a nominee for election or re-election as a director of the Corporation, a person must deliver to the Secretary of the Corporation at the principal executive offices of the Corporation the following information:</w:t>
      </w:r>
    </w:p>
    <w:p>
      <w:pPr>
        <w:spacing w:after="0" w:line="175" w:lineRule="exact"/>
        <w:rPr>
          <w:rFonts w:ascii="Times New Roman" w:cs="Times New Roman" w:eastAsia="Times New Roman" w:hAnsi="Times New Roman"/>
          <w:sz w:val="21"/>
          <w:szCs w:val="21"/>
          <w:color w:val="010000"/>
        </w:rPr>
      </w:pPr>
    </w:p>
    <w:p>
      <w:pPr>
        <w:ind w:left="4" w:firstLine="1940"/>
        <w:spacing w:after="0" w:line="258" w:lineRule="auto"/>
        <w:tabs>
          <w:tab w:leader="none" w:pos="2476" w:val="left"/>
        </w:tabs>
        <w:numPr>
          <w:ilvl w:val="2"/>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written representation and agreement, which shall be signed by such person and pursuant to which such person shall represent and agree that such person: (A) consents to serving as a director if elected and to being named as a nominee in a proxy statement and form of proxy relating to the meeting at which directors are to be elected, and currently intends to serve as a director for the full term for which such person is standing for election; (B) is not and will not become a party to any agreement, arrangement or understanding with, and has not given any commitment or assurance to, any person or entity: (1) as to how the person, if elected as a director, will act or vote on any issue or question that has not been disclosed to the Corporation; or (2) that could limit or interfere with the person’s ability to comply, if elected as a director, with such person’s fiduciary duties under applicable law; (C)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and</w:t>
      </w:r>
    </w:p>
    <w:p>
      <w:pPr>
        <w:spacing w:after="0" w:line="8" w:lineRule="exact"/>
        <w:rPr>
          <w:rFonts w:ascii="Times New Roman" w:cs="Times New Roman" w:eastAsia="Times New Roman" w:hAnsi="Times New Roman"/>
          <w:sz w:val="21"/>
          <w:szCs w:val="21"/>
          <w:color w:val="010000"/>
        </w:rPr>
      </w:pPr>
    </w:p>
    <w:p>
      <w:pPr>
        <w:ind w:left="4" w:right="200" w:hanging="4"/>
        <w:spacing w:after="0" w:line="251" w:lineRule="auto"/>
        <w:tabs>
          <w:tab w:leader="none" w:pos="35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request therefor); and</w:t>
      </w:r>
    </w:p>
    <w:p>
      <w:pPr>
        <w:spacing w:after="0" w:line="219" w:lineRule="exact"/>
        <w:rPr>
          <w:rFonts w:ascii="Times New Roman" w:cs="Times New Roman" w:eastAsia="Times New Roman" w:hAnsi="Times New Roman"/>
          <w:sz w:val="22"/>
          <w:szCs w:val="22"/>
          <w:color w:val="auto"/>
        </w:rPr>
      </w:pPr>
    </w:p>
    <w:p>
      <w:pPr>
        <w:ind w:left="4" w:right="20" w:firstLine="1940"/>
        <w:spacing w:after="0" w:line="251" w:lineRule="auto"/>
        <w:tabs>
          <w:tab w:leader="none" w:pos="2482" w:val="left"/>
        </w:tabs>
        <w:numPr>
          <w:ilvl w:val="2"/>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completed and signed questionnaires prepared by the Corporation (including those questionnaires required of the Corporation’s directors and any other questionnaire the Corporation determines is necessary or advisable to assess whether a nominee will satisfy any qualifications or requirements imposed by the Certificate of Incorporation or these Bylaws, any law, rule, regulation or listing standard that may be applicable to the Corporation, and the Corporation’s corporate governance policies and guidelines) (all of the foregoing, “</w:t>
      </w:r>
      <w:r>
        <w:rPr>
          <w:rFonts w:ascii="Times New Roman" w:cs="Times New Roman" w:eastAsia="Times New Roman" w:hAnsi="Times New Roman"/>
          <w:sz w:val="22"/>
          <w:szCs w:val="22"/>
          <w:u w:val="single" w:color="auto"/>
          <w:color w:val="auto"/>
        </w:rPr>
        <w:t>Questionnaires</w:t>
      </w:r>
      <w:r>
        <w:rPr>
          <w:rFonts w:ascii="Times New Roman" w:cs="Times New Roman" w:eastAsia="Times New Roman" w:hAnsi="Times New Roman"/>
          <w:sz w:val="22"/>
          <w:szCs w:val="22"/>
          <w:color w:val="auto"/>
        </w:rPr>
        <w:t>”). The Questionnaires will be promptly provided following a request therefor.</w:t>
      </w:r>
    </w:p>
    <w:p>
      <w:pPr>
        <w:spacing w:after="0" w:line="289" w:lineRule="exact"/>
        <w:rPr>
          <w:rFonts w:ascii="Times New Roman" w:cs="Times New Roman" w:eastAsia="Times New Roman" w:hAnsi="Times New Roman"/>
          <w:sz w:val="22"/>
          <w:szCs w:val="22"/>
          <w:color w:val="010000"/>
        </w:rPr>
      </w:pPr>
    </w:p>
    <w:p>
      <w:pPr>
        <w:ind w:left="4" w:right="100" w:firstLine="1292"/>
        <w:spacing w:after="0" w:line="252" w:lineRule="auto"/>
        <w:tabs>
          <w:tab w:leader="none" w:pos="1835"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nominee for election or re-election as a director of the Corporation shall also provide to the Corporation such other information as it may reasonably request. The Corporation may request such additional information as necessary to permit the Corporation to determine the eligibility of such person to serve as a director of the Corporation, including information relevant to a determination whether such person can be considered an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24"/>
          </w:cols>
          <w:pgMar w:left="436" w:top="1440" w:right="339" w:bottom="1440" w:gutter="0" w:footer="0" w:header="0"/>
        </w:sectPr>
      </w:pPr>
    </w:p>
    <w:bookmarkStart w:id="93" w:name="page94"/>
    <w:bookmarkEnd w:id="93"/>
    <w:p>
      <w:pPr>
        <w:spacing w:after="0" w:line="171" w:lineRule="exact"/>
        <w:rPr>
          <w:sz w:val="20"/>
          <w:szCs w:val="20"/>
          <w:color w:val="auto"/>
        </w:rPr>
      </w:pPr>
    </w:p>
    <w:p>
      <w:pPr>
        <w:ind w:left="5" w:right="220" w:firstLine="1292"/>
        <w:spacing w:after="0" w:line="251" w:lineRule="auto"/>
        <w:tabs>
          <w:tab w:leader="none" w:pos="1838"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 stockholder has submitted notice of an intent to nominate a candidate for election or re-election as a director pursuant to Section 2.10, all written and signed representations and agreements and all completed and signed Questionnaires described in Section 2.9(a) above shall be provided to the Corporation at the same time as such notice, and the additional information described in Section 2.9(b) above shall be considered timely if provided to the Corporation promptly upon request by the Corporation, but in any event within five business days after such request. All information provided pursuant to this Section 2.9 shall be deemed part of the stockholder’s notice submitted pursuant to Section 2.10.</w:t>
      </w:r>
    </w:p>
    <w:p>
      <w:pPr>
        <w:spacing w:after="0" w:line="208" w:lineRule="exact"/>
        <w:rPr>
          <w:rFonts w:ascii="Times New Roman" w:cs="Times New Roman" w:eastAsia="Times New Roman" w:hAnsi="Times New Roman"/>
          <w:sz w:val="22"/>
          <w:szCs w:val="22"/>
          <w:color w:val="010000"/>
        </w:rPr>
      </w:pPr>
    </w:p>
    <w:p>
      <w:pPr>
        <w:ind w:left="5" w:firstLine="1292"/>
        <w:spacing w:after="0" w:line="250" w:lineRule="auto"/>
        <w:tabs>
          <w:tab w:leader="none" w:pos="1836"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if any information or communication submitted pursuant to this Section 2.9 is inaccurate or incomplete in any material respect (as determined by the Board of Directors (or any authorized committee thereof)) such information shall be deemed not to have been provided in accordance with this Section 2.9. Upon written request of the Secretary, the stockholder giving notice of an intent to nominate a candidate for election shall provide, within five business days after delivery of such request (or such longer period as may be specified in such request), (i) written verification, reasonably satisfactory to the Corporation, to demonstrate the accuracy of any information submitted and (ii) a written affirmation of any information submitted as of an earlier date. If such stockholder fails to provide such written verification or affirmation within such period, the information as to which written verification or affirmation was requested may be deemed not to have been provided in accordance with this Section 2.9.</w:t>
      </w:r>
    </w:p>
    <w:p>
      <w:pPr>
        <w:spacing w:after="0" w:line="220" w:lineRule="exact"/>
        <w:rPr>
          <w:sz w:val="20"/>
          <w:szCs w:val="20"/>
          <w:color w:val="auto"/>
        </w:rPr>
      </w:pPr>
    </w:p>
    <w:p>
      <w:pPr>
        <w:ind w:left="645"/>
        <w:spacing w:after="0"/>
        <w:tabs>
          <w:tab w:leader="none" w:pos="1925" w:val="left"/>
        </w:tabs>
        <w:rPr>
          <w:sz w:val="20"/>
          <w:szCs w:val="20"/>
          <w:color w:val="auto"/>
        </w:rPr>
      </w:pPr>
      <w:r>
        <w:rPr>
          <w:rFonts w:ascii="Times New Roman" w:cs="Times New Roman" w:eastAsia="Times New Roman" w:hAnsi="Times New Roman"/>
          <w:sz w:val="22"/>
          <w:szCs w:val="22"/>
          <w:color w:val="010000"/>
        </w:rPr>
        <w:t>Section 2.10</w:t>
      </w:r>
      <w:r>
        <w:rPr>
          <w:sz w:val="20"/>
          <w:szCs w:val="20"/>
          <w:color w:val="auto"/>
        </w:rPr>
        <w:tab/>
      </w:r>
      <w:r>
        <w:rPr>
          <w:rFonts w:ascii="Times New Roman" w:cs="Times New Roman" w:eastAsia="Times New Roman" w:hAnsi="Times New Roman"/>
          <w:sz w:val="21"/>
          <w:szCs w:val="21"/>
          <w:u w:val="single" w:color="auto"/>
          <w:color w:val="auto"/>
        </w:rPr>
        <w:t>Notice of Stockholder Business and Nominations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left="1945" w:hanging="648"/>
        <w:spacing w:after="0"/>
        <w:tabs>
          <w:tab w:leader="none" w:pos="1945"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010000"/>
        </w:rPr>
      </w:pPr>
    </w:p>
    <w:p>
      <w:pPr>
        <w:ind w:left="5" w:right="60" w:firstLine="1939"/>
        <w:spacing w:after="0" w:line="259" w:lineRule="auto"/>
        <w:tabs>
          <w:tab w:leader="none" w:pos="2477" w:val="left"/>
        </w:tabs>
        <w:numPr>
          <w:ilvl w:val="2"/>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Nominations of persons for election to the Board of Directors and the proposal of business other than nominations to be considered by the stockholders may be made at an annual meeting of stockholders only: (A) pursuant to the Corporation’s notice of meeting (or any supplement thereto); (B) by or at the direction of the Board of Directors (or any authorized committee thereof); or (C) by any stockholder of the Corporation who is a stockholder of record at the time the notice provided for in this Section 2.10(a) is delivered to the Secretary of the Corporation, who is entitled to vote at the meeting and who complies with the notice procedures set forth in this Section 2.10(a). For the avoidance of doubt, the foregoing clause</w:t>
      </w:r>
    </w:p>
    <w:p>
      <w:pPr>
        <w:spacing w:after="0" w:line="1" w:lineRule="exact"/>
        <w:rPr>
          <w:rFonts w:ascii="Times New Roman" w:cs="Times New Roman" w:eastAsia="Times New Roman" w:hAnsi="Times New Roman"/>
          <w:sz w:val="21"/>
          <w:szCs w:val="21"/>
          <w:color w:val="010000"/>
        </w:rPr>
      </w:pPr>
    </w:p>
    <w:p>
      <w:pPr>
        <w:ind w:left="5" w:right="60" w:hanging="5"/>
        <w:spacing w:after="0" w:line="251" w:lineRule="auto"/>
        <w:tabs>
          <w:tab w:leader="none" w:pos="34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the exclusive means for a stockholder to make nominations or propose other business at an annual meeting of stockholders (other than a proposal included in the Corporation’s proxy statement pursuant to and in compliance with Rule 14a-8 under the Exchange Act).</w:t>
      </w:r>
    </w:p>
    <w:p>
      <w:pPr>
        <w:spacing w:after="0" w:line="287" w:lineRule="exact"/>
        <w:rPr>
          <w:rFonts w:ascii="Times New Roman" w:cs="Times New Roman" w:eastAsia="Times New Roman" w:hAnsi="Times New Roman"/>
          <w:sz w:val="22"/>
          <w:szCs w:val="22"/>
          <w:color w:val="auto"/>
        </w:rPr>
      </w:pPr>
    </w:p>
    <w:p>
      <w:pPr>
        <w:ind w:left="5" w:right="120" w:firstLine="1939"/>
        <w:spacing w:after="0" w:line="256" w:lineRule="auto"/>
        <w:tabs>
          <w:tab w:leader="none" w:pos="2483" w:val="left"/>
        </w:tabs>
        <w:numPr>
          <w:ilvl w:val="2"/>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nominations or other business to be properly brought before an annual meeting by a stockholder pursuant to clause (C) of the foregoing paragraph, the stockholder must have given timely notice thereof in writing to the Secretary of the Corporation and, in the case of business other than nominations, such business must be a proper subject for stockholder action. To be timely, a stockholder’s notice must be delivered to the Secretary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5"/>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05"/>
          </w:cols>
          <w:pgMar w:left="435" w:top="1440" w:right="359" w:bottom="1440" w:gutter="0" w:footer="0" w:header="0"/>
        </w:sectPr>
      </w:pPr>
    </w:p>
    <w:bookmarkStart w:id="94" w:name="page95"/>
    <w:bookmarkEnd w:id="94"/>
    <w:p>
      <w:pPr>
        <w:spacing w:after="0" w:line="17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color w:val="auto"/>
        </w:rPr>
        <w:t xml:space="preserve">the principal executive offices of the Corporation not later than the close of business (as defined in Section 2.10(c)(ii) below) on the 90th day nor earlier than the close of business on the 120th day prior to the first anniversary of the preceding year’s annual meeting (which date of the preceding year’s annual meeting shall, for purposes of the Corporation’s first annual meeting of stockholders after its shares of common stock are first publicly traded, be deemed to have occurred on September 24, 2020);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that the date of the annual meeting is more than 30 days before or more than 30 days after such 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date on which public announcement (as defined in Section 2.10(c)(ii) below) of the date of such meeting is first made by the Corporation.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a stockholder’s notice as described above. The number of nominees a stockholder may nominate for election at the annual meeting on such stockholder’s behalf (or in the case of a stockholder giving the notice on behalf of a beneficial owner, the number of nominees a stockholder may nominate for election at the annual meeting on behalf of the beneficial owner) shall not exceed the number of directors to be elected at such annual meeting. Such stockholder’s notice shall set forth:</w:t>
      </w:r>
    </w:p>
    <w:p>
      <w:pPr>
        <w:spacing w:after="0" w:line="239" w:lineRule="exact"/>
        <w:rPr>
          <w:sz w:val="20"/>
          <w:szCs w:val="20"/>
          <w:color w:val="auto"/>
        </w:rPr>
      </w:pPr>
    </w:p>
    <w:p>
      <w:pPr>
        <w:ind w:firstLine="2587"/>
        <w:spacing w:after="0" w:line="251" w:lineRule="auto"/>
        <w:tabs>
          <w:tab w:leader="none" w:pos="3121"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to each person whom the stockholder proposes to nominate for election or re-election as a director: (1) a written statement, not to exceed 500 words, in support of such person; (2) all information relating to such person that is required to be disclosed in solicitations of proxies for election of directors in an election contest, or is otherwise required, in each case pursuant to and in accordance with Regulation 14A under the Exchange Act; and (3) the information required to be submitted by nominees pursuant to Section 2.9 above, including, within the time period specified in Section 2.9(c) above, all completed and signed Questionnaires, which will be promptly provided following a request therefor;</w:t>
      </w:r>
    </w:p>
    <w:p>
      <w:pPr>
        <w:spacing w:after="0" w:line="221" w:lineRule="exact"/>
        <w:rPr>
          <w:rFonts w:ascii="Times New Roman" w:cs="Times New Roman" w:eastAsia="Times New Roman" w:hAnsi="Times New Roman"/>
          <w:sz w:val="22"/>
          <w:szCs w:val="22"/>
          <w:color w:val="010000"/>
        </w:rPr>
      </w:pPr>
    </w:p>
    <w:p>
      <w:pPr>
        <w:ind w:right="40" w:firstLine="2587"/>
        <w:spacing w:after="0" w:line="251" w:lineRule="auto"/>
        <w:tabs>
          <w:tab w:leader="none" w:pos="3123"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substantial interest (within the meaning of Item 5 of Schedule 14A under the Exchange Act) in such business of such stockholder and the beneficial owner (within the meaning of Section 13(d) of the Exchange Act), if any, on whose behalf the proposal is made;</w:t>
      </w:r>
    </w:p>
    <w:p>
      <w:pPr>
        <w:spacing w:after="0" w:line="221" w:lineRule="exact"/>
        <w:rPr>
          <w:rFonts w:ascii="Times New Roman" w:cs="Times New Roman" w:eastAsia="Times New Roman" w:hAnsi="Times New Roman"/>
          <w:sz w:val="22"/>
          <w:szCs w:val="22"/>
          <w:color w:val="010000"/>
        </w:rPr>
      </w:pPr>
    </w:p>
    <w:p>
      <w:pPr>
        <w:ind w:right="100" w:firstLine="2587"/>
        <w:spacing w:after="0" w:line="271" w:lineRule="auto"/>
        <w:tabs>
          <w:tab w:leader="none" w:pos="3123"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to the stockholder giving the notice and the beneficial owner, if any, on whose behalf the nomination is made or the other business is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20"/>
          </w:cols>
          <w:pgMar w:left="440" w:top="1440" w:right="339" w:bottom="1440" w:gutter="0" w:footer="0" w:header="0"/>
        </w:sectPr>
      </w:pPr>
    </w:p>
    <w:bookmarkStart w:id="95" w:name="page96"/>
    <w:bookmarkEnd w:id="95"/>
    <w:p>
      <w:pPr>
        <w:spacing w:after="0" w:line="158" w:lineRule="exact"/>
        <w:rPr>
          <w:sz w:val="20"/>
          <w:szCs w:val="20"/>
          <w:color w:val="auto"/>
        </w:rPr>
      </w:pPr>
    </w:p>
    <w:p>
      <w:pPr>
        <w:ind w:right="560" w:firstLine="3236"/>
        <w:spacing w:after="0" w:line="271" w:lineRule="auto"/>
        <w:tabs>
          <w:tab w:leader="none" w:pos="3775"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name and address of such stockholder, as they appear on the Corporation’s books, and the name and address of such beneficial owner;</w:t>
      </w:r>
    </w:p>
    <w:p>
      <w:pPr>
        <w:spacing w:after="0" w:line="198" w:lineRule="exact"/>
        <w:rPr>
          <w:rFonts w:ascii="Times New Roman" w:cs="Times New Roman" w:eastAsia="Times New Roman" w:hAnsi="Times New Roman"/>
          <w:sz w:val="22"/>
          <w:szCs w:val="22"/>
          <w:color w:val="010000"/>
        </w:rPr>
      </w:pPr>
    </w:p>
    <w:p>
      <w:pPr>
        <w:ind w:right="40" w:firstLine="3236"/>
        <w:spacing w:after="0" w:line="253" w:lineRule="auto"/>
        <w:tabs>
          <w:tab w:leader="none" w:pos="3775"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class or series and number of shares of stock of the Corporation which are owned of record by such stockholder and such beneficial owner as of the date of the notice, and a representation that the stockholder will notify the Corporation in writing within five business days after the record date for such meeting of the class or series and number of shares of stock of the Corporation owned of record by the stockholder and such beneficial owner as of the record date for the meeting; and</w:t>
      </w:r>
    </w:p>
    <w:p>
      <w:pPr>
        <w:spacing w:after="0" w:line="219" w:lineRule="exact"/>
        <w:rPr>
          <w:rFonts w:ascii="Times New Roman" w:cs="Times New Roman" w:eastAsia="Times New Roman" w:hAnsi="Times New Roman"/>
          <w:sz w:val="22"/>
          <w:szCs w:val="22"/>
          <w:color w:val="010000"/>
        </w:rPr>
      </w:pPr>
    </w:p>
    <w:p>
      <w:pPr>
        <w:ind w:left="3780" w:hanging="544"/>
        <w:spacing w:after="0"/>
        <w:tabs>
          <w:tab w:leader="none" w:pos="3780"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representation that the stockholder (or a qualified representative of the</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stockholder) intends to appear at the meeting to make such nomination or propose such business;</w:t>
      </w:r>
    </w:p>
    <w:p>
      <w:pPr>
        <w:spacing w:after="0" w:line="303" w:lineRule="exact"/>
        <w:rPr>
          <w:rFonts w:ascii="Times New Roman" w:cs="Times New Roman" w:eastAsia="Times New Roman" w:hAnsi="Times New Roman"/>
          <w:sz w:val="22"/>
          <w:szCs w:val="22"/>
          <w:color w:val="010000"/>
        </w:rPr>
      </w:pPr>
    </w:p>
    <w:p>
      <w:pPr>
        <w:ind w:right="160" w:firstLine="2588"/>
        <w:spacing w:after="0" w:line="253" w:lineRule="auto"/>
        <w:tabs>
          <w:tab w:leader="none" w:pos="3121"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to the stockholder giving the notice or, if the notice is given on behalf of a beneficial owner on whose behalf the nomination is made or the other business is proposed, as to such beneficial owner, and if such stockholder or beneficial owner is an entity, as to each individual who is a director, executive officer, general partner or managing member of such entity or of any other entity that has or shares control of such entity (any such individual or entity, a “</w:t>
      </w:r>
      <w:r>
        <w:rPr>
          <w:rFonts w:ascii="Times New Roman" w:cs="Times New Roman" w:eastAsia="Times New Roman" w:hAnsi="Times New Roman"/>
          <w:sz w:val="22"/>
          <w:szCs w:val="22"/>
          <w:u w:val="single" w:color="auto"/>
          <w:color w:val="auto"/>
        </w:rPr>
        <w:t>control person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right="120" w:firstLine="3236"/>
        <w:spacing w:after="0" w:line="265" w:lineRule="auto"/>
        <w:tabs>
          <w:tab w:leader="none" w:pos="3775"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class or series and number of shares of stock of the Corporation which are beneficially owned (as defined in Section 2.10(c)(ii) below) by such stockholder or beneficial owner and by any control person as of the date of the notice, and a representation that the stockholder will notify the Corporation in writing within five business days after the record date for such meeting of the class or series and number of shares of stock of the Corporation beneficially owned by such stockholder or beneficial owner and by any control person as of the record date for the meeting;</w:t>
      </w:r>
    </w:p>
    <w:p>
      <w:pPr>
        <w:spacing w:after="0" w:line="205" w:lineRule="exact"/>
        <w:rPr>
          <w:rFonts w:ascii="Times New Roman" w:cs="Times New Roman" w:eastAsia="Times New Roman" w:hAnsi="Times New Roman"/>
          <w:sz w:val="21"/>
          <w:szCs w:val="21"/>
          <w:color w:val="010000"/>
        </w:rPr>
      </w:pPr>
    </w:p>
    <w:p>
      <w:pPr>
        <w:ind w:firstLine="3236"/>
        <w:spacing w:after="0" w:line="249" w:lineRule="auto"/>
        <w:tabs>
          <w:tab w:leader="none" w:pos="3775"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description of (x) any plans or proposals which such stockholder, beneficial owner, if any, or control person may have with respect to securities of the Corporation that would be required to be disclosed pursuant to Item 4 of Exchange Act Schedule 13D and (y) any agreement, arrangement or understanding with respect to the nomination or other business between or among such stockholder, beneficial owner, if any, or control person and any other person, including, without limitation any agreements that would be required to be disclosed pursuant to Item 5 or Item 6 of Exchange Act Schedule 13D, which description shall include, in addition to all other information, information identifying all parties thereto (in the case of either clause (x) or (y), regardless of whether the requirement to file a Schedule 13D is applicable) and a representation that the stockholder will notify the Corporation in writing within five business days after the record date for such meeting of any such plans or proposals with respect to securities of the Corporation or any such agreement, arrangement or understanding in effect as of the record date for the meeting;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00"/>
          </w:cols>
          <w:pgMar w:left="440" w:top="1440" w:right="359" w:bottom="1440" w:gutter="0" w:footer="0" w:header="0"/>
        </w:sectPr>
      </w:pPr>
    </w:p>
    <w:bookmarkStart w:id="96" w:name="page97"/>
    <w:bookmarkEnd w:id="96"/>
    <w:p>
      <w:pPr>
        <w:spacing w:after="0" w:line="90" w:lineRule="exact"/>
        <w:rPr>
          <w:sz w:val="20"/>
          <w:szCs w:val="20"/>
          <w:color w:val="auto"/>
        </w:rPr>
      </w:pPr>
    </w:p>
    <w:p>
      <w:pPr>
        <w:ind w:firstLine="3235"/>
        <w:spacing w:after="0" w:line="248" w:lineRule="auto"/>
        <w:tabs>
          <w:tab w:leader="none" w:pos="3775"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description (which description shall include, in addition to all other information, information identifying all parties thereto) of any agreement, arrangement or understanding (including, without limitation, any option, warrant, forward contract, swap, contract of sale, or other derivative or similar agreement or short positions, profit interests, options, hedging or pledging transactions, voting rights, dividend rights, and/or borrowed or loaned shares), whether the instrument or agreement is to be settled with shares or with cash based on the notional amount or value of outstanding shares of stock of the Corporation, that has been entered into as of the date of the stockholder’s notice by, or on behalf of, such stockholder, beneficial owner, if any, or control person, the effect or intent of which is to mitigate loss, manage risk or benefit from changes in the share price of any class or series of the Corporation’s stock, or maintain, increase or decrease the voting power of the stockholder, beneficial owner, if any, or control person with respect to securities of the Corporation, and a representation that the stockholder will notify the Corporation in writing within five business days after the record date for such meeting of any such agreement, arrangement or understanding in effect as of the record date for the meeting;</w:t>
      </w:r>
    </w:p>
    <w:p>
      <w:pPr>
        <w:spacing w:after="0" w:line="215" w:lineRule="exact"/>
        <w:rPr>
          <w:rFonts w:ascii="Times New Roman" w:cs="Times New Roman" w:eastAsia="Times New Roman" w:hAnsi="Times New Roman"/>
          <w:sz w:val="22"/>
          <w:szCs w:val="22"/>
          <w:color w:val="010000"/>
        </w:rPr>
      </w:pPr>
    </w:p>
    <w:p>
      <w:pPr>
        <w:ind w:right="100" w:firstLine="3236"/>
        <w:spacing w:after="0" w:line="253" w:lineRule="auto"/>
        <w:tabs>
          <w:tab w:leader="none" w:pos="3775"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performance-related fees (other than an asset- based fee) that such stockholder, beneficial owner, if any, or control person is directly or indirectly entitled to based on any increase or decrease in the value of shares of the Corporation or in any agreement, arrangement or understanding under clause (a)(ii)(D)(3) of this Section 2.10 and a representation that the stockholder will notify the Corporation in writing within five business days after the record date for such meeting of any performance-related fees in effect as of the record date for the meeting;</w:t>
      </w:r>
    </w:p>
    <w:p>
      <w:pPr>
        <w:spacing w:after="0" w:line="286" w:lineRule="exact"/>
        <w:rPr>
          <w:rFonts w:ascii="Times New Roman" w:cs="Times New Roman" w:eastAsia="Times New Roman" w:hAnsi="Times New Roman"/>
          <w:sz w:val="22"/>
          <w:szCs w:val="22"/>
          <w:color w:val="010000"/>
        </w:rPr>
      </w:pPr>
    </w:p>
    <w:p>
      <w:pPr>
        <w:ind w:right="20" w:firstLine="3235"/>
        <w:spacing w:after="0" w:line="248" w:lineRule="auto"/>
        <w:tabs>
          <w:tab w:leader="none" w:pos="3775"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representation as to whether the stockholder, beneficial owner, if any, control person or any other participant (as defined in Item 4 of Schedule 14A under the Exchange Act) will engage in a solicitation with respect to such nomination or proposal and, if so, whether or not such solicitation will be conducted as an exempt solicitation under Rule 14a-2(b) of the Exchange Act, the name of each participant in such solicitation and (x) in the case of a proposal of business other than nominations, whether such person or group intends to deliver, through means satisfying each of the conditions that would be applicable to the Corporation under either Exchange Act Rule 14a-16(a) or Exchange Act Rule 14a-16(n), a proxy statement and form of proxy to holders (including any beneficial owners pursuant to Rule 14b-1 and Rule 14b-2 of the Exchange Act) of at least the percentage of the Corporation’s voting shares required under applicable law to carry the proposal or (y) in the case of any solicitation that is subject to Rule 14a-19 of the Exchange Act, confirming that such person or group will deliver, through means satisfying each of the conditions that would be applicable to the Corporation under either Exchange Act Rule 14a-16(a) or Exchange Act Rule 14a-16(n), a proxy statement and form of proxy to holders (including any beneficial owners pursuant to Rule 14b-1 and Rule 14b-2 of the Exchange Act) of at least 67% of the voting power of the Corporation’s stock entitled to vote generally in the election of directors ;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00"/>
          </w:cols>
          <w:pgMar w:left="440" w:top="1440" w:right="359" w:bottom="1440" w:gutter="0" w:footer="0" w:header="0"/>
        </w:sectPr>
      </w:pPr>
    </w:p>
    <w:bookmarkStart w:id="97" w:name="page98"/>
    <w:bookmarkEnd w:id="97"/>
    <w:p>
      <w:pPr>
        <w:spacing w:after="0" w:line="90" w:lineRule="exact"/>
        <w:rPr>
          <w:sz w:val="20"/>
          <w:szCs w:val="20"/>
          <w:color w:val="auto"/>
        </w:rPr>
      </w:pPr>
    </w:p>
    <w:p>
      <w:pPr>
        <w:ind w:right="100" w:firstLine="3235"/>
        <w:spacing w:after="0" w:line="250" w:lineRule="auto"/>
        <w:tabs>
          <w:tab w:leader="none" w:pos="3775" w:val="left"/>
        </w:tabs>
        <w:numPr>
          <w:ilvl w:val="2"/>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representation that promptly after soliciting the stockholders referred to in the representation required under clause (a)(ii)(D)(5)(y) of this Section 2.10, and no later than the 10th day before such meeting of stockholders, such stockholder or beneficial owner will provide the Corporation with documents, which may take the form of a certified statement and documentation from a proxy solicitor, specifically demonstrating that the necessary steps have been taken to deliver a proxy statement and form of proxy to holders of such percentage of the Corporation’s stock.</w:t>
      </w:r>
    </w:p>
    <w:p>
      <w:pPr>
        <w:spacing w:after="0" w:line="221" w:lineRule="exact"/>
        <w:rPr>
          <w:rFonts w:ascii="Times New Roman" w:cs="Times New Roman" w:eastAsia="Times New Roman" w:hAnsi="Times New Roman"/>
          <w:sz w:val="22"/>
          <w:szCs w:val="22"/>
          <w:color w:val="010000"/>
        </w:rPr>
      </w:pPr>
    </w:p>
    <w:p>
      <w:pPr>
        <w:ind w:right="80" w:firstLine="1939"/>
        <w:spacing w:after="0" w:line="250" w:lineRule="auto"/>
        <w:tabs>
          <w:tab w:leader="none" w:pos="2484" w:val="left"/>
        </w:tabs>
        <w:numPr>
          <w:ilvl w:val="1"/>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in Section 2.10(a)(ii) above or Section 2.10(b) below to the contrary, if the record date for determining the stockholders entitled to vote at any meeting of stockholders is different from the record date for determining the stockholders entitled to notice of the meeting, a stockholder’s notice required by this Section 2.10 shall set forth a representation that the stockholder will notify the Corporation in writing within five business days after the record date for determining the stockholders entitled to vote at the meeting, or by the opening of business on the date of the meeting (whichever is earlier), of the information required under this Section 2.10(a), and such information when provided to the Corporation shall be current as of the record date for determining the stockholders entitled to vote at the meeting.</w:t>
      </w:r>
    </w:p>
    <w:p>
      <w:pPr>
        <w:spacing w:after="0" w:line="301" w:lineRule="exact"/>
        <w:rPr>
          <w:rFonts w:ascii="Times New Roman" w:cs="Times New Roman" w:eastAsia="Times New Roman" w:hAnsi="Times New Roman"/>
          <w:sz w:val="22"/>
          <w:szCs w:val="22"/>
          <w:color w:val="010000"/>
        </w:rPr>
      </w:pPr>
    </w:p>
    <w:p>
      <w:pPr>
        <w:jc w:val="both"/>
        <w:ind w:right="480" w:firstLine="1940"/>
        <w:spacing w:after="0" w:line="252" w:lineRule="auto"/>
        <w:tabs>
          <w:tab w:leader="none" w:pos="2472" w:val="left"/>
        </w:tabs>
        <w:numPr>
          <w:ilvl w:val="1"/>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Section 2.10(a) shall not apply to a proposal proposed to be made by a stockholder if the stockholder has notified the Corporation of his or her intention to present the proposal at an annual or special meeting only pursuant to and in compliance with Rule 14a-8 under the Exchange Act and such proposal has been included in a proxy statement that has been prepared by the Corporation to solicit proxies for such meeting.</w:t>
      </w:r>
    </w:p>
    <w:p>
      <w:pPr>
        <w:spacing w:after="0" w:line="219" w:lineRule="exact"/>
        <w:rPr>
          <w:rFonts w:ascii="Times New Roman" w:cs="Times New Roman" w:eastAsia="Times New Roman" w:hAnsi="Times New Roman"/>
          <w:sz w:val="22"/>
          <w:szCs w:val="22"/>
          <w:color w:val="010000"/>
        </w:rPr>
      </w:pPr>
    </w:p>
    <w:p>
      <w:pPr>
        <w:ind w:right="60" w:firstLine="1940"/>
        <w:spacing w:after="0" w:line="249" w:lineRule="auto"/>
        <w:tabs>
          <w:tab w:leader="none" w:pos="2479" w:val="left"/>
        </w:tabs>
        <w:numPr>
          <w:ilvl w:val="1"/>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in this Section 2.10(a) to the contrary, in the event that the number of directors to be elected to the Board of Directors at an annual meeting is increased and there is no public announcement by the Corporation naming all of the nominees for director or specifying the size of the increased Board of Directors made by the Corporation at least 10 days prior to the last day a stockholder may deliver a notice in accordance with Section 2.10(a)(ii) above, a stockholder’s notice required by this Section 2.10(a) shall also be considered timely, but only with respect to nominees for any new positions created by such increase, if it shall be delivered to the Secretary of the Corporation at the principal executive offices of the Corporation not later than the close of business on the 10th day following the day on which such public announcement is first made by the Corporation.</w:t>
      </w:r>
    </w:p>
    <w:p>
      <w:pPr>
        <w:spacing w:after="0" w:line="222" w:lineRule="exact"/>
        <w:rPr>
          <w:rFonts w:ascii="Times New Roman" w:cs="Times New Roman" w:eastAsia="Times New Roman" w:hAnsi="Times New Roman"/>
          <w:sz w:val="22"/>
          <w:szCs w:val="22"/>
          <w:color w:val="010000"/>
        </w:rPr>
      </w:pPr>
    </w:p>
    <w:p>
      <w:pPr>
        <w:ind w:firstLine="1292"/>
        <w:spacing w:after="0" w:line="251" w:lineRule="auto"/>
        <w:tabs>
          <w:tab w:leader="none" w:pos="1831"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Special Meeting</w:t>
      </w:r>
      <w:r>
        <w:rPr>
          <w:rFonts w:ascii="Times New Roman" w:cs="Times New Roman" w:eastAsia="Times New Roman" w:hAnsi="Times New Roman"/>
          <w:sz w:val="22"/>
          <w:szCs w:val="22"/>
          <w:color w:val="auto"/>
        </w:rPr>
        <w:t xml:space="preserve">. Nominations of persons for election to the Board of Directors may be made at a special meeting of stockholders at which directors are to be elected pursuant to the Corporation’s notice of meeting: (i) by or at the direction of the Board of Directors (or any authorized committee thereof); or (ii)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one or more directors are to be elected at such meeting, by any stockholder of the Corporation who is a stockholder of record at the time the notice provided for in this Section 2.10(b) is delivered to the Secretary of the Corporation, who is entitled to vote at the meeting and upon such election and who delivers notice thereof in writing setting forth the information required by Section 2.10(a)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80"/>
          </w:cols>
          <w:pgMar w:left="440" w:top="1440" w:right="379" w:bottom="1440" w:gutter="0" w:footer="0" w:header="0"/>
        </w:sectPr>
      </w:pPr>
    </w:p>
    <w:bookmarkStart w:id="98" w:name="page99"/>
    <w:bookmarkEnd w:id="98"/>
    <w:p>
      <w:pPr>
        <w:spacing w:after="0" w:line="9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provides the additional information required by Section 2.9 above. In the event the Corporation calls a special meeting of stockholders for the purpose of electing one or more directors to the Board of Directors, any stockholder entitled to vote in such election of directors may nominate a person or persons (as the case may be) for election to such position(s) as specified in the Corporation’s notice of meeting, if the notice required by this Section 2.10(b)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date on which public announcement of the date of the special meeting and of the nominees proposed by the Board of Directors to be elected at such meeting is first made by the Corporation. The number of nominees a stockholder may nominate for election at the special meeting on such stockholder’s own behalf (or in the case of a stockholder giving the notice on behalf of a beneficial owner, the number of nominees a stockholder may nominate for election at the annual meeting on behalf of such beneficial owner) shall not exceed the number of directors to be elected at such special meeting. In no event shall an adjournment, recess or postponement of a special meeting commence a new time period (or extend any time period) for the giving of a stockholder’s notice as described above.</w:t>
      </w:r>
    </w:p>
    <w:p>
      <w:pPr>
        <w:spacing w:after="0" w:line="233" w:lineRule="exact"/>
        <w:rPr>
          <w:sz w:val="20"/>
          <w:szCs w:val="20"/>
          <w:color w:val="auto"/>
        </w:rPr>
      </w:pPr>
    </w:p>
    <w:p>
      <w:pPr>
        <w:ind w:left="1940" w:hanging="648"/>
        <w:spacing w:after="0"/>
        <w:tabs>
          <w:tab w:leader="none" w:pos="1940"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firstLine="1940"/>
        <w:spacing w:after="0" w:line="259" w:lineRule="auto"/>
        <w:tabs>
          <w:tab w:leader="none" w:pos="2472"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otherwise required by law, only such persons who are nominated in accordance with the procedures set forth in this Section 2.10 shall be eligible to be elected at any meeting of stockholders of the Corporation to serve as directors and only such other business shall be conducted at a meeting of stockholders as shall have been brought before the meeting in accordance with the procedures set forth in this Section 2.10. Notwithstanding any other provision of these Bylaws, a stockholder (and any beneficial owner on whose behalf a nomination is made or other business is proposed, and if such stockholder or beneficial owner is an entity, any control person), shall also comply with all applicable requirements of the Exchange Act and the rules and regulations thereunder with respect to the matters set forth in this Section 2.10;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references in these Bylaws to the Exchange Act or the rules and regulations promulgated thereunder are not intended to and shall not limit any requirements applicable to nominations or proposals as to any other business to be considered pursuant to this Section 2.10. The Chairperson of the Board, chairperson of the meeting, or any other person designated by the Board shall determine whether a nomination or any other business proposed to be brought before the meeting was made or proposed, as the case may be, in accordance with the procedures set forth in this Section 2.10 (including whether a stockholder or beneficial owner solicited (or is part of a group which solicited) or did not so solicit, as the case may be, proxies in compliance with such stockholder’s representation as required by clauses (a)(ii)(D)(5) of this Section 2.10 or complied or did not comply with the requirements of Rule 14a-19 under the Exchange Act). If any proposed nomination or other business is not in compliance with this Section 2.10, including due to a failure to comply with the requirements of Rule 14a-19 under the Exchange Act, then except as otherwise required by law, the chairperson of the meeting shall declare that such nomination shall be disregarded or that such other business shall not be transacted, notwithstanding that votes and proxies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00"/>
          </w:cols>
          <w:pgMar w:left="440" w:top="1440" w:right="359" w:bottom="1440" w:gutter="0" w:footer="0" w:header="0"/>
        </w:sectPr>
      </w:pPr>
    </w:p>
    <w:bookmarkStart w:id="99" w:name="page100"/>
    <w:bookmarkEnd w:id="99"/>
    <w:p>
      <w:pPr>
        <w:spacing w:after="0" w:line="306" w:lineRule="exact"/>
        <w:rPr>
          <w:sz w:val="20"/>
          <w:szCs w:val="20"/>
          <w:color w:val="auto"/>
        </w:rPr>
      </w:pPr>
    </w:p>
    <w:p>
      <w:pPr>
        <w:ind w:left="4"/>
        <w:spacing w:after="0" w:line="247" w:lineRule="auto"/>
        <w:rPr>
          <w:sz w:val="20"/>
          <w:szCs w:val="20"/>
          <w:color w:val="auto"/>
        </w:rPr>
      </w:pPr>
      <w:r>
        <w:rPr>
          <w:rFonts w:ascii="Times New Roman" w:cs="Times New Roman" w:eastAsia="Times New Roman" w:hAnsi="Times New Roman"/>
          <w:sz w:val="22"/>
          <w:szCs w:val="22"/>
          <w:color w:val="auto"/>
        </w:rPr>
        <w:t>respect of any such nomination or other business have been received by the Corporation (which votes and proxies shall be disregarded) and notwithstanding that the proposal or nomination is set forth in the notice of meeting. In furtherance and not by way of limitation of the foregoing provisions of this Section 2.10, unless otherwise required by law, or otherwise determined by the Chairperson of the Board of Directors, the Board of Directors or the chairperson of the meeting, or any other person designated by the Board, (A) if the stockholder does not provide the information required under Section 2.9 or Section 2.10(a) or (b) to the Corporation within the time frames specified herein or (B) if the stockholder (or a qualified representative of the stockholder) does not appear at the annual or special meeting of stockholders of the Corporation to present a nomination or other business, any such nomination shall be disregarded and/or such other business shall not be transacted, notwithstanding that votes and proxies in respect of any such nomination or other business may have been received by the Corporation (which votes and proxies shall be disregarded). To be considered a qualified representative of a stockholder for purposes of these Bylaws, a person must be a duly authorized officer, manager or partner of such stockholder or authorized by a writing executed by such stockholder (or a reliable reproduction of the writing) delivered to the Corporation prior to the making of such nomination or proposal at such meeting (and in any event not fewer than five days before the meeting) stating that such person is authorized to act for such stockholder as proxy at the meeting of stockholders.</w:t>
      </w:r>
    </w:p>
    <w:p>
      <w:pPr>
        <w:spacing w:after="0" w:line="230" w:lineRule="exact"/>
        <w:rPr>
          <w:sz w:val="20"/>
          <w:szCs w:val="20"/>
          <w:color w:val="auto"/>
        </w:rPr>
      </w:pPr>
    </w:p>
    <w:p>
      <w:pPr>
        <w:ind w:left="4" w:right="60" w:firstLine="1940"/>
        <w:spacing w:after="0" w:line="248" w:lineRule="auto"/>
        <w:tabs>
          <w:tab w:leader="none" w:pos="2482"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Section 2.10, the “</w:t>
      </w:r>
      <w:r>
        <w:rPr>
          <w:rFonts w:ascii="Times New Roman" w:cs="Times New Roman" w:eastAsia="Times New Roman" w:hAnsi="Times New Roman"/>
          <w:sz w:val="22"/>
          <w:szCs w:val="22"/>
          <w:u w:val="single" w:color="auto"/>
          <w:color w:val="auto"/>
        </w:rPr>
        <w:t>close of business</w:t>
      </w:r>
      <w:r>
        <w:rPr>
          <w:rFonts w:ascii="Times New Roman" w:cs="Times New Roman" w:eastAsia="Times New Roman" w:hAnsi="Times New Roman"/>
          <w:sz w:val="22"/>
          <w:szCs w:val="22"/>
          <w:color w:val="auto"/>
        </w:rPr>
        <w:t>” shall mean 6:00 p.m. local time at the principal executive offices of the Corporation on any calendar day, whether or not the day is a business day, and a “</w:t>
      </w:r>
      <w:r>
        <w:rPr>
          <w:rFonts w:ascii="Times New Roman" w:cs="Times New Roman" w:eastAsia="Times New Roman" w:hAnsi="Times New Roman"/>
          <w:sz w:val="22"/>
          <w:szCs w:val="22"/>
          <w:u w:val="single" w:color="auto"/>
          <w:color w:val="auto"/>
        </w:rPr>
        <w:t>public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announcement</w:t>
      </w:r>
      <w:r>
        <w:rPr>
          <w:rFonts w:ascii="Times New Roman" w:cs="Times New Roman" w:eastAsia="Times New Roman" w:hAnsi="Times New Roman"/>
          <w:sz w:val="22"/>
          <w:szCs w:val="22"/>
          <w:color w:val="auto"/>
        </w:rPr>
        <w:t>” shall mean disclosure in a press release reported by the Dow Jones News Service, Associated Press or a comparable national news service or in a document publicly filed by the Corporation with the Securities and Exchange Commission pursuant to Sections 13, 14 or 15(d) of the Exchange Act. For purposes of clause (a)(ii)(D)(1) of this Section 2.10, shares shall be treated as “</w:t>
      </w:r>
      <w:r>
        <w:rPr>
          <w:rFonts w:ascii="Times New Roman" w:cs="Times New Roman" w:eastAsia="Times New Roman" w:hAnsi="Times New Roman"/>
          <w:sz w:val="22"/>
          <w:szCs w:val="22"/>
          <w:u w:val="single" w:color="auto"/>
          <w:color w:val="auto"/>
        </w:rPr>
        <w:t>beneficially owned</w:t>
      </w:r>
      <w:r>
        <w:rPr>
          <w:rFonts w:ascii="Times New Roman" w:cs="Times New Roman" w:eastAsia="Times New Roman" w:hAnsi="Times New Roman"/>
          <w:sz w:val="22"/>
          <w:szCs w:val="22"/>
          <w:color w:val="auto"/>
        </w:rPr>
        <w:t>”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and/or (C) investment power with respect to such shares, including the power to dispose of, or to direct the disposition of, such shares.</w:t>
      </w:r>
    </w:p>
    <w:p>
      <w:pPr>
        <w:spacing w:after="0" w:line="229" w:lineRule="exact"/>
        <w:rPr>
          <w:rFonts w:ascii="Times New Roman" w:cs="Times New Roman" w:eastAsia="Times New Roman" w:hAnsi="Times New Roman"/>
          <w:sz w:val="22"/>
          <w:szCs w:val="22"/>
          <w:color w:val="010000"/>
        </w:rPr>
      </w:pPr>
    </w:p>
    <w:p>
      <w:pPr>
        <w:ind w:left="2584" w:hanging="640"/>
        <w:spacing w:after="0"/>
        <w:tabs>
          <w:tab w:leader="none" w:pos="2584"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Nothing in this Section 2.10 shall be deemed to affect any rights</w:t>
      </w:r>
    </w:p>
    <w:p>
      <w:pPr>
        <w:spacing w:after="0" w:line="27" w:lineRule="exact"/>
        <w:rPr>
          <w:rFonts w:ascii="Times New Roman" w:cs="Times New Roman" w:eastAsia="Times New Roman" w:hAnsi="Times New Roman"/>
          <w:sz w:val="22"/>
          <w:szCs w:val="22"/>
          <w:color w:val="010000"/>
        </w:rPr>
      </w:pPr>
    </w:p>
    <w:p>
      <w:pPr>
        <w:ind w:left="4" w:right="180" w:hanging="4"/>
        <w:spacing w:after="0" w:line="245" w:lineRule="auto"/>
        <w:tabs>
          <w:tab w:leader="none" w:pos="35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stockholders to request inclusion of proposals in the Corporation’s proxy statement pursuant to Rule 14a-8 promulgated under the Exchange Act or (B) of the holders of any series of Preferred Stock to elect directors pursuant to any applicable provisions of the Certificate of Incorporation (including any Preferred Stock Designation).</w:t>
      </w:r>
    </w:p>
    <w:p>
      <w:pPr>
        <w:spacing w:after="0" w:line="227" w:lineRule="exact"/>
        <w:rPr>
          <w:rFonts w:ascii="Times New Roman" w:cs="Times New Roman" w:eastAsia="Times New Roman" w:hAnsi="Times New Roman"/>
          <w:sz w:val="22"/>
          <w:szCs w:val="22"/>
          <w:color w:val="auto"/>
        </w:rPr>
      </w:pPr>
    </w:p>
    <w:p>
      <w:pPr>
        <w:ind w:left="4" w:right="200" w:firstLine="1940"/>
        <w:spacing w:after="0" w:line="271" w:lineRule="auto"/>
        <w:tabs>
          <w:tab w:leader="none" w:pos="2476"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stockholder directly or indirectly soliciting proxies from other stockholders must use a proxy card color other than white, which shall be reserved for the exclusive use for solicitation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24"/>
          </w:cols>
          <w:pgMar w:left="436" w:top="1440" w:right="339" w:bottom="1440" w:gutter="0" w:footer="0" w:header="0"/>
        </w:sectPr>
      </w:pPr>
    </w:p>
    <w:bookmarkStart w:id="100" w:name="page101"/>
    <w:bookmarkEnd w:id="100"/>
    <w:p>
      <w:pPr>
        <w:spacing w:after="0" w:line="333" w:lineRule="exact"/>
        <w:rPr>
          <w:sz w:val="20"/>
          <w:szCs w:val="20"/>
          <w:color w:val="auto"/>
        </w:rPr>
      </w:pPr>
    </w:p>
    <w:p>
      <w:pPr>
        <w:ind w:right="300"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2.11 </w:t>
      </w:r>
      <w:r>
        <w:rPr>
          <w:rFonts w:ascii="Times New Roman" w:cs="Times New Roman" w:eastAsia="Times New Roman" w:hAnsi="Times New Roman"/>
          <w:sz w:val="22"/>
          <w:szCs w:val="22"/>
          <w:u w:val="single" w:color="auto"/>
          <w:color w:val="000000"/>
        </w:rPr>
        <w:t>No Action by Written Consent</w:t>
      </w:r>
      <w:r>
        <w:rPr>
          <w:rFonts w:ascii="Times New Roman" w:cs="Times New Roman" w:eastAsia="Times New Roman" w:hAnsi="Times New Roman"/>
          <w:sz w:val="22"/>
          <w:szCs w:val="22"/>
          <w:color w:val="000000"/>
        </w:rPr>
        <w:t>. Except as otherwise provided for or fixed pursuant to the Certificate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Incorporation (including any Preferred Stock Designation), no action that is required or permitted to be taken by the stockholders of the Corporation may be effected by consent of stockholders in lieu of a meeting of stockholders.</w:t>
      </w:r>
    </w:p>
    <w:p>
      <w:pPr>
        <w:spacing w:after="0" w:line="208"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Section 2.12 </w:t>
      </w:r>
      <w:r>
        <w:rPr>
          <w:rFonts w:ascii="Times New Roman" w:cs="Times New Roman" w:eastAsia="Times New Roman" w:hAnsi="Times New Roman"/>
          <w:sz w:val="22"/>
          <w:szCs w:val="22"/>
          <w:u w:val="single" w:color="auto"/>
          <w:color w:val="000000"/>
        </w:rPr>
        <w:t>Inspectors of Election</w:t>
      </w:r>
      <w:r>
        <w:rPr>
          <w:rFonts w:ascii="Times New Roman" w:cs="Times New Roman" w:eastAsia="Times New Roman" w:hAnsi="Times New Roman"/>
          <w:sz w:val="22"/>
          <w:szCs w:val="22"/>
          <w:color w:val="000000"/>
        </w:rPr>
        <w:t>. Before any meeting of stockholders, the Corporation may, and shall, if required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law, appoint one or more inspectors of election to act at the meeting and make a written report thereof. Inspectors may be employees of the Corporation. The Corporation may designate one or more persons as alternate inspectors to replace any inspector who fails to act. If no inspector or alternate is able to act at a meeting of stockholders, the chairperson of the meeting may, and shall, if required by law, appoint one or more inspectors to act at the meeting. Each inspector, before entering upon the discharge of his or her duties, shall take and sign an oath faithfully to execute the duties of inspector with strict impartiality and according to the best of his or her ability. Inspectors need not be stockholders. No director or nominee for the office of director at an election shall be appointed as an inspector at such election.</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Such inspectors shall:</w:t>
      </w:r>
    </w:p>
    <w:p>
      <w:pPr>
        <w:spacing w:after="0" w:line="260" w:lineRule="exact"/>
        <w:rPr>
          <w:sz w:val="20"/>
          <w:szCs w:val="20"/>
          <w:color w:val="auto"/>
        </w:rPr>
      </w:pPr>
    </w:p>
    <w:p>
      <w:pPr>
        <w:ind w:right="1000" w:firstLine="1292"/>
        <w:spacing w:after="0" w:line="271" w:lineRule="auto"/>
        <w:tabs>
          <w:tab w:leader="none" w:pos="1833"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determine the number of shares outstanding and the voting power of each, the number of shares represented at the meeting, the existence of a quorum, and the validity of proxies and ballots;</w:t>
      </w:r>
    </w:p>
    <w:p>
      <w:pPr>
        <w:spacing w:after="0" w:line="198" w:lineRule="exact"/>
        <w:rPr>
          <w:rFonts w:ascii="Times New Roman" w:cs="Times New Roman" w:eastAsia="Times New Roman" w:hAnsi="Times New Roman"/>
          <w:sz w:val="22"/>
          <w:szCs w:val="22"/>
          <w:color w:val="010000"/>
        </w:rPr>
      </w:pPr>
    </w:p>
    <w:p>
      <w:pPr>
        <w:ind w:right="480" w:firstLine="1292"/>
        <w:spacing w:after="0" w:line="271" w:lineRule="auto"/>
        <w:tabs>
          <w:tab w:leader="none" w:pos="1831"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determine and retain for a reasonable period a record of the disposition of any challenges made to any determination by the inspectors;</w:t>
      </w:r>
    </w:p>
    <w:p>
      <w:pPr>
        <w:spacing w:after="0" w:line="198" w:lineRule="exact"/>
        <w:rPr>
          <w:rFonts w:ascii="Times New Roman" w:cs="Times New Roman" w:eastAsia="Times New Roman" w:hAnsi="Times New Roman"/>
          <w:sz w:val="22"/>
          <w:szCs w:val="22"/>
          <w:color w:val="010000"/>
        </w:rPr>
      </w:pPr>
    </w:p>
    <w:p>
      <w:pPr>
        <w:ind w:left="1820" w:hanging="528"/>
        <w:spacing w:after="0"/>
        <w:tabs>
          <w:tab w:leader="none" w:pos="1820"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count and tabulate all votes and ballots; and</w:t>
      </w:r>
    </w:p>
    <w:p>
      <w:pPr>
        <w:spacing w:after="0" w:line="260" w:lineRule="exact"/>
        <w:rPr>
          <w:rFonts w:ascii="Times New Roman" w:cs="Times New Roman" w:eastAsia="Times New Roman" w:hAnsi="Times New Roman"/>
          <w:sz w:val="22"/>
          <w:szCs w:val="22"/>
          <w:color w:val="010000"/>
        </w:rPr>
      </w:pPr>
    </w:p>
    <w:p>
      <w:pPr>
        <w:ind w:left="1820" w:hanging="528"/>
        <w:spacing w:after="0"/>
        <w:tabs>
          <w:tab w:leader="none" w:pos="1820"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certify their determination of the number of shares represented at the meeting, and their count of all votes</w:t>
      </w:r>
    </w:p>
    <w:p>
      <w:pPr>
        <w:spacing w:after="0" w:line="27"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and ballots.</w:t>
      </w:r>
    </w:p>
    <w:p>
      <w:pPr>
        <w:spacing w:after="0" w:line="29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2.13 </w:t>
      </w:r>
      <w:r>
        <w:rPr>
          <w:rFonts w:ascii="Times New Roman" w:cs="Times New Roman" w:eastAsia="Times New Roman" w:hAnsi="Times New Roman"/>
          <w:sz w:val="22"/>
          <w:szCs w:val="22"/>
          <w:u w:val="single" w:color="auto"/>
          <w:color w:val="000000"/>
        </w:rPr>
        <w:t>Meetings by Remote Communications</w:t>
      </w:r>
      <w:r>
        <w:rPr>
          <w:rFonts w:ascii="Times New Roman" w:cs="Times New Roman" w:eastAsia="Times New Roman" w:hAnsi="Times New Roman"/>
          <w:sz w:val="22"/>
          <w:szCs w:val="22"/>
          <w:color w:val="000000"/>
        </w:rPr>
        <w:t>. The Board of Directors may, in its sole discretion, determine that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 meeting of stockholders shall not be held at any place, but may instead be held solely by means of remote communication in accordance with Section 211(a)(2) of the DGCL. If authorized by the Board of Directors in its sole discretion, and subject to such guidelines and procedures as the Board of Directors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means of remote communication,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00"/>
          </w:cols>
          <w:pgMar w:left="440" w:top="1440" w:right="359" w:bottom="1440" w:gutter="0" w:footer="0" w:header="0"/>
        </w:sectPr>
      </w:pPr>
    </w:p>
    <w:bookmarkStart w:id="101" w:name="page102"/>
    <w:bookmarkEnd w:id="101"/>
    <w:p>
      <w:pPr>
        <w:spacing w:after="0" w:line="158" w:lineRule="exact"/>
        <w:rPr>
          <w:sz w:val="20"/>
          <w:szCs w:val="20"/>
          <w:color w:val="auto"/>
        </w:rPr>
      </w:pPr>
    </w:p>
    <w:p>
      <w:pPr>
        <w:ind w:left="4" w:right="260"/>
        <w:spacing w:after="0" w:line="266" w:lineRule="auto"/>
        <w:rPr>
          <w:sz w:val="20"/>
          <w:szCs w:val="20"/>
          <w:color w:val="auto"/>
        </w:rPr>
      </w:pPr>
      <w:r>
        <w:rPr>
          <w:rFonts w:ascii="Times New Roman" w:cs="Times New Roman" w:eastAsia="Times New Roman" w:hAnsi="Times New Roman"/>
          <w:sz w:val="21"/>
          <w:szCs w:val="21"/>
          <w:color w:val="auto"/>
        </w:rPr>
        <w:t>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2" w:lineRule="exact"/>
        <w:rPr>
          <w:sz w:val="20"/>
          <w:szCs w:val="20"/>
          <w:color w:val="auto"/>
        </w:rPr>
      </w:pPr>
    </w:p>
    <w:p>
      <w:pPr>
        <w:ind w:left="4" w:right="40" w:hanging="4"/>
        <w:spacing w:after="0" w:line="261" w:lineRule="auto"/>
        <w:tabs>
          <w:tab w:leader="none" w:pos="38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stockholder or proxyholder votes or takes other action at the meeting by means of remote communication, a record of such vote or other action shall be maintained by the Corporation.</w:t>
      </w:r>
    </w:p>
    <w:p>
      <w:pPr>
        <w:spacing w:after="0" w:line="195" w:lineRule="exact"/>
        <w:rPr>
          <w:sz w:val="20"/>
          <w:szCs w:val="20"/>
          <w:color w:val="auto"/>
        </w:rPr>
      </w:pPr>
    </w:p>
    <w:p>
      <w:pPr>
        <w:ind w:left="4" w:right="40" w:firstLine="648"/>
        <w:spacing w:after="0" w:line="262" w:lineRule="auto"/>
        <w:rPr>
          <w:sz w:val="20"/>
          <w:szCs w:val="20"/>
          <w:color w:val="auto"/>
        </w:rPr>
      </w:pPr>
      <w:r>
        <w:rPr>
          <w:rFonts w:ascii="Times New Roman" w:cs="Times New Roman" w:eastAsia="Times New Roman" w:hAnsi="Times New Roman"/>
          <w:sz w:val="21"/>
          <w:szCs w:val="21"/>
          <w:color w:val="010000"/>
        </w:rPr>
        <w:t xml:space="preserve">Section 2.14 </w:t>
      </w:r>
      <w:r>
        <w:rPr>
          <w:rFonts w:ascii="Times New Roman" w:cs="Times New Roman" w:eastAsia="Times New Roman" w:hAnsi="Times New Roman"/>
          <w:sz w:val="21"/>
          <w:szCs w:val="21"/>
          <w:u w:val="single" w:color="auto"/>
          <w:color w:val="000000"/>
        </w:rPr>
        <w:t>Delivery to the Corporation</w:t>
      </w:r>
      <w:r>
        <w:rPr>
          <w:rFonts w:ascii="Times New Roman" w:cs="Times New Roman" w:eastAsia="Times New Roman" w:hAnsi="Times New Roman"/>
          <w:sz w:val="21"/>
          <w:szCs w:val="21"/>
          <w:color w:val="000000"/>
        </w:rPr>
        <w:t>. Whenever Section 2.9 or Section 2.10 of this Article II requires one or more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persons (including a record or beneficial owner of stock) to deliver a document or information (other than a document authorizing another person to act for a stockholder by proxy at a meeting of stockholders pursuant to Section 212 of the DGCL)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shall be delivered exclusively by hand (including, without limitation, overnight courier service) or by certified or registered mail, return receipt requested For the avoidance of doubt, the Corporation expressly opts out of Section 116 of the DGCL with respect to the delivery of information and documents (other than a document authorizing another person to act for a stockholder by proxy at a meeting of stockholders pursuant to Section 212 of the DGCL) to the Corporation required by this Article II.</w:t>
      </w:r>
    </w:p>
    <w:p>
      <w:pPr>
        <w:spacing w:after="0" w:line="168"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b w:val="1"/>
          <w:bCs w:val="1"/>
          <w:color w:val="010000"/>
        </w:rPr>
        <w:t>ARTICLE III</w:t>
      </w:r>
    </w:p>
    <w:p>
      <w:pPr>
        <w:spacing w:after="0" w:line="32"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196" w:lineRule="exact"/>
        <w:rPr>
          <w:sz w:val="20"/>
          <w:szCs w:val="20"/>
          <w:color w:val="auto"/>
        </w:rPr>
      </w:pPr>
    </w:p>
    <w:p>
      <w:pPr>
        <w:ind w:left="4"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Section 3.1 </w:t>
      </w:r>
      <w:r>
        <w:rPr>
          <w:rFonts w:ascii="Times New Roman" w:cs="Times New Roman" w:eastAsia="Times New Roman" w:hAnsi="Times New Roman"/>
          <w:sz w:val="22"/>
          <w:szCs w:val="22"/>
          <w:u w:val="single" w:color="auto"/>
          <w:color w:val="000000"/>
        </w:rPr>
        <w:t>Powers</w:t>
      </w:r>
      <w:r>
        <w:rPr>
          <w:rFonts w:ascii="Times New Roman" w:cs="Times New Roman" w:eastAsia="Times New Roman" w:hAnsi="Times New Roman"/>
          <w:sz w:val="22"/>
          <w:szCs w:val="22"/>
          <w:color w:val="000000"/>
        </w:rPr>
        <w:t>. Except as otherwise required by the DGCL or as provided in the Certificate of Incorporation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(including any Preferred Stock Designation), the business and affairs of the Corporation shall be managed by or under the direction of the Board of Directors. In addition to the powers and authorities these Bylaws expressly confer upon it, the Board of Directors may exercise all such powers of the Corporation and do all such lawful acts and things as are not by law, the Certificate of Incorporation (including any Preferred Stock Designation) or these Bylaws required to be exercised or done by the stockholders.</w:t>
      </w:r>
    </w:p>
    <w:p>
      <w:pPr>
        <w:spacing w:after="0" w:line="222" w:lineRule="exact"/>
        <w:rPr>
          <w:sz w:val="20"/>
          <w:szCs w:val="20"/>
          <w:color w:val="auto"/>
        </w:rPr>
      </w:pPr>
    </w:p>
    <w:p>
      <w:pPr>
        <w:ind w:left="4" w:right="16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3.2 </w:t>
      </w:r>
      <w:r>
        <w:rPr>
          <w:rFonts w:ascii="Times New Roman" w:cs="Times New Roman" w:eastAsia="Times New Roman" w:hAnsi="Times New Roman"/>
          <w:sz w:val="22"/>
          <w:szCs w:val="22"/>
          <w:u w:val="single" w:color="auto"/>
          <w:color w:val="000000"/>
        </w:rPr>
        <w:t>Number and Election</w:t>
      </w:r>
      <w:r>
        <w:rPr>
          <w:rFonts w:ascii="Times New Roman" w:cs="Times New Roman" w:eastAsia="Times New Roman" w:hAnsi="Times New Roman"/>
          <w:sz w:val="22"/>
          <w:szCs w:val="22"/>
          <w:color w:val="000000"/>
        </w:rPr>
        <w:t>. Except as otherwise provided for or fixed pursuant to the Certificate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Incorporation (including any Preferred Stock Designation), the Board of Directors shall consist of such number of directors as shall be determined from time to time solely by resolution adopted by a majority of the directors then in office;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the directors then in office are not less than one-third of the total number of directors then authorized. At any meeting of stockholders at which directors are to be elected, directors shall be elected by a plurality of the votes cast. Directors need not be stockholders unless so required by the Certificate of Incorporation (including any Preferred Stock Designation) or these Bylaws, wherein other qualifications for directors may be prescribed.</w:t>
      </w:r>
    </w:p>
    <w:p>
      <w:pPr>
        <w:spacing w:after="0" w:line="221" w:lineRule="exact"/>
        <w:rPr>
          <w:sz w:val="20"/>
          <w:szCs w:val="20"/>
          <w:color w:val="auto"/>
        </w:rPr>
      </w:pPr>
    </w:p>
    <w:p>
      <w:pPr>
        <w:ind w:left="4" w:right="200"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3.3 </w:t>
      </w:r>
      <w:r>
        <w:rPr>
          <w:rFonts w:ascii="Times New Roman" w:cs="Times New Roman" w:eastAsia="Times New Roman" w:hAnsi="Times New Roman"/>
          <w:sz w:val="22"/>
          <w:szCs w:val="22"/>
          <w:u w:val="single" w:color="auto"/>
          <w:color w:val="000000"/>
        </w:rPr>
        <w:t>Vacancies and Newly Created Directorships</w:t>
      </w:r>
      <w:r>
        <w:rPr>
          <w:rFonts w:ascii="Times New Roman" w:cs="Times New Roman" w:eastAsia="Times New Roman" w:hAnsi="Times New Roman"/>
          <w:sz w:val="22"/>
          <w:szCs w:val="22"/>
          <w:color w:val="000000"/>
        </w:rPr>
        <w:t>. Subject to the rights of the holders of any outstanding series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Preferred Stock, and unless otherwise required by law, newly created directorships resulting from any increase in the authorized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124"/>
          </w:cols>
          <w:pgMar w:left="436" w:top="1440" w:right="339" w:bottom="1440" w:gutter="0" w:footer="0" w:header="0"/>
        </w:sectPr>
      </w:pPr>
    </w:p>
    <w:bookmarkStart w:id="102" w:name="page103"/>
    <w:bookmarkEnd w:id="102"/>
    <w:p>
      <w:pPr>
        <w:spacing w:after="0" w:line="9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2"/>
          <w:szCs w:val="22"/>
          <w:color w:val="auto"/>
        </w:rPr>
        <w:t xml:space="preserve">and any vacancies in the Board of Directors resulting from death, resignation, retirement, disqualification, removal from office or other cause shall be filled solely by the affirmative vote of a majority of the remaining directors then in office, even though less than a quorum, or by the sole remaining director, and any director so chosen shall hold office until the next election of the class for which such director shall have been chosen and until his or her successor shall have been duly elected and qualified or until any such director’s earlier death, resignation, removal, retirement or disqualification;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commencing with the third annual meeting of stockholders following the completion of the Corporation’s initial public offering, directors of each class the term of which shall then or thereafter expire shall be elected to hold office for a one-year term and until the election and qualification of their respective successors in office or until any such director’s earlier death, resignation, removal, retirement or disqualification. No decrease in the authorized number of directors shall shorten the term of any incumbent director.</w:t>
      </w:r>
    </w:p>
    <w:p>
      <w:pPr>
        <w:spacing w:after="0" w:line="231"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Section 3.4 </w:t>
      </w:r>
      <w:r>
        <w:rPr>
          <w:rFonts w:ascii="Times New Roman" w:cs="Times New Roman" w:eastAsia="Times New Roman" w:hAnsi="Times New Roman"/>
          <w:sz w:val="22"/>
          <w:szCs w:val="22"/>
          <w:u w:val="single" w:color="auto"/>
          <w:color w:val="000000"/>
        </w:rPr>
        <w:t>Resignations</w:t>
      </w:r>
      <w:r>
        <w:rPr>
          <w:rFonts w:ascii="Times New Roman" w:cs="Times New Roman" w:eastAsia="Times New Roman" w:hAnsi="Times New Roman"/>
          <w:sz w:val="22"/>
          <w:szCs w:val="22"/>
          <w:color w:val="000000"/>
        </w:rPr>
        <w:t>. Any director may resign at any time upon notice given in writing or by electronic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transmission to the Board of Directors, the Chairperson of the Board of Directors or the Secretary of the Corporation. Such resignation shall take effect upon delivery, unless the resignation specifies a later effective date or time or an effective date or time determined upon the happening of an event or events. Unless otherwise specified therein, the acceptance of such resignation shall not be necessary to make it effective.</w:t>
      </w:r>
    </w:p>
    <w:p>
      <w:pPr>
        <w:spacing w:after="0" w:line="219"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Section 3.5 </w:t>
      </w:r>
      <w:r>
        <w:rPr>
          <w:rFonts w:ascii="Times New Roman" w:cs="Times New Roman" w:eastAsia="Times New Roman" w:hAnsi="Times New Roman"/>
          <w:sz w:val="22"/>
          <w:szCs w:val="22"/>
          <w:u w:val="single" w:color="auto"/>
          <w:color w:val="000000"/>
        </w:rPr>
        <w:t>Regular Meetings</w:t>
      </w:r>
      <w:r>
        <w:rPr>
          <w:rFonts w:ascii="Times New Roman" w:cs="Times New Roman" w:eastAsia="Times New Roman" w:hAnsi="Times New Roman"/>
          <w:sz w:val="22"/>
          <w:szCs w:val="22"/>
          <w:color w:val="000000"/>
        </w:rPr>
        <w:t>. Regular meetings of the Board of Directors shall be held at such place or places, within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without the State of Delaware, on such date or dates and at such time or times, as shall have been established by the Board of Directors and publicized among all directors. A notice of each regular meeting shall not be required.</w:t>
      </w:r>
    </w:p>
    <w:p>
      <w:pPr>
        <w:spacing w:after="0" w:line="21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Section 3.6 </w:t>
      </w:r>
      <w:r>
        <w:rPr>
          <w:rFonts w:ascii="Times New Roman" w:cs="Times New Roman" w:eastAsia="Times New Roman" w:hAnsi="Times New Roman"/>
          <w:sz w:val="22"/>
          <w:szCs w:val="22"/>
          <w:u w:val="single" w:color="auto"/>
          <w:color w:val="000000"/>
        </w:rPr>
        <w:t>Special Meetings</w:t>
      </w:r>
      <w:r>
        <w:rPr>
          <w:rFonts w:ascii="Times New Roman" w:cs="Times New Roman" w:eastAsia="Times New Roman" w:hAnsi="Times New Roman"/>
          <w:sz w:val="22"/>
          <w:szCs w:val="22"/>
          <w:color w:val="000000"/>
        </w:rPr>
        <w:t>. Special meetings of the Board of Directors for any purpose or purposes may be called at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time by the Chairperson of the Board of Directors, the Chief Executive Officer (if separate and serving as a director) or a majority of the directors then in office. The person or persons authorized to call special meetings of the Board of Directors may fix the place, within or without the State of Delaware, date and time of such meetings.</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2"/>
          <w:szCs w:val="22"/>
          <w:color w:val="auto"/>
        </w:rPr>
        <w:t>Notice of each such meeting shall be given to each director, if by mail, addressed to such director at his or her residence or usual place of business, at least five days before the day on which such meeting is to be held, or shall be sent to such director by electronic transmission, or be delivered personally or by telephone, in each case at least 24 hours prior to the time set for such meeting.</w:t>
      </w:r>
    </w:p>
    <w:p>
      <w:pPr>
        <w:spacing w:after="0" w:line="3"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2"/>
          <w:szCs w:val="22"/>
          <w:color w:val="auto"/>
        </w:rPr>
        <w:t>A notice of special meeting need not state the purpose of such meeting, and, unless indicated in the notice thereof, any and all business may be transacted at a special meeting.</w:t>
      </w:r>
    </w:p>
    <w:p>
      <w:pPr>
        <w:spacing w:after="0" w:line="21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Section 3.7 </w:t>
      </w:r>
      <w:r>
        <w:rPr>
          <w:rFonts w:ascii="Times New Roman" w:cs="Times New Roman" w:eastAsia="Times New Roman" w:hAnsi="Times New Roman"/>
          <w:sz w:val="22"/>
          <w:szCs w:val="22"/>
          <w:u w:val="single" w:color="auto"/>
          <w:color w:val="000000"/>
        </w:rPr>
        <w:t>Remote Participation in Meetings</w:t>
      </w:r>
      <w:r>
        <w:rPr>
          <w:rFonts w:ascii="Times New Roman" w:cs="Times New Roman" w:eastAsia="Times New Roman" w:hAnsi="Times New Roman"/>
          <w:sz w:val="22"/>
          <w:szCs w:val="22"/>
          <w:color w:val="000000"/>
        </w:rPr>
        <w:t>. Members of the Board of Directors, or of any committee thereof, may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100"/>
          </w:cols>
          <w:pgMar w:left="440" w:top="1440" w:right="359" w:bottom="1440" w:gutter="0" w:footer="0" w:header="0"/>
        </w:sectPr>
      </w:pPr>
    </w:p>
    <w:bookmarkStart w:id="103" w:name="page104"/>
    <w:bookmarkEnd w:id="103"/>
    <w:p>
      <w:pPr>
        <w:spacing w:after="0" w:line="200" w:lineRule="exact"/>
        <w:rPr>
          <w:sz w:val="20"/>
          <w:szCs w:val="20"/>
          <w:color w:val="auto"/>
        </w:rPr>
      </w:pPr>
    </w:p>
    <w:p>
      <w:pPr>
        <w:spacing w:after="0" w:line="201"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21"/>
          <w:szCs w:val="21"/>
          <w:color w:val="010000"/>
        </w:rPr>
        <w:t xml:space="preserve">Section 3.8 </w:t>
      </w:r>
      <w:r>
        <w:rPr>
          <w:rFonts w:ascii="Times New Roman" w:cs="Times New Roman" w:eastAsia="Times New Roman" w:hAnsi="Times New Roman"/>
          <w:sz w:val="21"/>
          <w:szCs w:val="21"/>
          <w:u w:val="single" w:color="auto"/>
          <w:color w:val="000000"/>
        </w:rPr>
        <w:t>Quorum and Voting</w:t>
      </w:r>
      <w:r>
        <w:rPr>
          <w:rFonts w:ascii="Times New Roman" w:cs="Times New Roman" w:eastAsia="Times New Roman" w:hAnsi="Times New Roman"/>
          <w:sz w:val="21"/>
          <w:szCs w:val="21"/>
          <w:color w:val="000000"/>
        </w:rPr>
        <w:t>. Except as otherwise required by law, the Certificate of Incorporation or these Bylaws,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 majority of the total number of directors then authorized shall constitute a quorum for the transaction of business at any meeting of the Board of Directors, and the vote of a majority of the directors present at a duly held meeting at which a quorum is present shall be the act of the Board of Directors. The chairperson of the meeting or a majority of the directors present may adjourn the meeting to another time and place whether or not a quorum is present. At any adjourned meeting at which a quorum is present, any business may be transacted which might have been transacted at the meeting as originally called.</w:t>
      </w:r>
    </w:p>
    <w:p>
      <w:pPr>
        <w:spacing w:after="0" w:line="209"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Section 3.9 </w:t>
      </w:r>
      <w:r>
        <w:rPr>
          <w:rFonts w:ascii="Times New Roman" w:cs="Times New Roman" w:eastAsia="Times New Roman" w:hAnsi="Times New Roman"/>
          <w:sz w:val="22"/>
          <w:szCs w:val="22"/>
          <w:u w:val="single" w:color="auto"/>
          <w:color w:val="000000"/>
        </w:rPr>
        <w:t>Action by Consent Without a Meeting</w:t>
      </w:r>
      <w:r>
        <w:rPr>
          <w:rFonts w:ascii="Times New Roman" w:cs="Times New Roman" w:eastAsia="Times New Roman" w:hAnsi="Times New Roman"/>
          <w:sz w:val="22"/>
          <w:szCs w:val="22"/>
          <w:color w:val="000000"/>
        </w:rPr>
        <w:t>. Unless otherwise restricted by the Certificate of Incorporation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these Bylaws, any action required or permitted to be taken at any meeting of the Board of Directors, or any committee thereof, may be taken without a meeting,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all members of the Board of Directors or committee, as the case may be, consent in writing or by electronic transmission to such action. After an action is taken, the consent or consents relating thereto shall be filed with the minutes or proceedings of the Board of Directors or committee in the same paper or electronic form as the minutes are maintained.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23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Section 3.10 </w:t>
      </w:r>
      <w:r>
        <w:rPr>
          <w:rFonts w:ascii="Times New Roman" w:cs="Times New Roman" w:eastAsia="Times New Roman" w:hAnsi="Times New Roman"/>
          <w:sz w:val="22"/>
          <w:szCs w:val="22"/>
          <w:u w:val="single" w:color="auto"/>
          <w:color w:val="000000"/>
        </w:rPr>
        <w:t>Chairperson of the Board</w:t>
      </w:r>
      <w:r>
        <w:rPr>
          <w:rFonts w:ascii="Times New Roman" w:cs="Times New Roman" w:eastAsia="Times New Roman" w:hAnsi="Times New Roman"/>
          <w:sz w:val="22"/>
          <w:szCs w:val="22"/>
          <w:color w:val="000000"/>
        </w:rPr>
        <w:t>. The Chairperson of the Board shall preside at meetings of stockholders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accordance with Section 2.4(a) above and at meetings of directors and shall perform such other duties as the Board of Directors may from time to time determine. If the Chairperson of the Board is not present at a meeting of the Board of Directors, the Chief Executive Officer (if separate and serving as a director) or another director chosen by or in the manner provided by the Board of Directors shall preside.</w:t>
      </w:r>
    </w:p>
    <w:p>
      <w:pPr>
        <w:spacing w:after="0" w:line="165"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3.11 </w:t>
      </w:r>
      <w:r>
        <w:rPr>
          <w:rFonts w:ascii="Times New Roman" w:cs="Times New Roman" w:eastAsia="Times New Roman" w:hAnsi="Times New Roman"/>
          <w:sz w:val="22"/>
          <w:szCs w:val="22"/>
          <w:u w:val="single" w:color="auto"/>
          <w:color w:val="000000"/>
        </w:rPr>
        <w:t>Rules and Regulations</w:t>
      </w:r>
      <w:r>
        <w:rPr>
          <w:rFonts w:ascii="Times New Roman" w:cs="Times New Roman" w:eastAsia="Times New Roman" w:hAnsi="Times New Roman"/>
          <w:sz w:val="22"/>
          <w:szCs w:val="22"/>
          <w:color w:val="000000"/>
        </w:rPr>
        <w:t>. The Board of Directors shall adopt such rules and regulations not inconsistent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with the provisions of law, the Certificate of Incorporation or these Bylaws for the conduct of its meetings and management of the affairs of the Corporation as the Board of Directors shall deem proper.</w:t>
      </w:r>
    </w:p>
    <w:p>
      <w:pPr>
        <w:spacing w:after="0" w:line="208" w:lineRule="exact"/>
        <w:rPr>
          <w:sz w:val="20"/>
          <w:szCs w:val="20"/>
          <w:color w:val="auto"/>
        </w:rPr>
      </w:pPr>
    </w:p>
    <w:p>
      <w:pPr>
        <w:jc w:val="both"/>
        <w:ind w:right="500" w:firstLine="648"/>
        <w:spacing w:after="0" w:line="275" w:lineRule="auto"/>
        <w:rPr>
          <w:sz w:val="20"/>
          <w:szCs w:val="20"/>
          <w:color w:val="auto"/>
        </w:rPr>
      </w:pPr>
      <w:r>
        <w:rPr>
          <w:rFonts w:ascii="Times New Roman" w:cs="Times New Roman" w:eastAsia="Times New Roman" w:hAnsi="Times New Roman"/>
          <w:sz w:val="21"/>
          <w:szCs w:val="21"/>
          <w:color w:val="010000"/>
        </w:rPr>
        <w:t xml:space="preserve">Section 3.12 </w:t>
      </w:r>
      <w:r>
        <w:rPr>
          <w:rFonts w:ascii="Times New Roman" w:cs="Times New Roman" w:eastAsia="Times New Roman" w:hAnsi="Times New Roman"/>
          <w:sz w:val="21"/>
          <w:szCs w:val="21"/>
          <w:u w:val="single" w:color="auto"/>
          <w:color w:val="000000"/>
        </w:rPr>
        <w:t>Fees and Compensation of Directors</w:t>
      </w:r>
      <w:r>
        <w:rPr>
          <w:rFonts w:ascii="Times New Roman" w:cs="Times New Roman" w:eastAsia="Times New Roman" w:hAnsi="Times New Roman"/>
          <w:sz w:val="21"/>
          <w:szCs w:val="21"/>
          <w:color w:val="000000"/>
        </w:rPr>
        <w:t>. Unless otherwise restricted by the Certificate of Incorporation,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directors may receive such compensation, if any, for their services on the Board of Directors and its committees, and such reimbursement of expenses, as may be fixed or determined by resolution of the Board of Directors.</w:t>
      </w:r>
    </w:p>
    <w:p>
      <w:pPr>
        <w:spacing w:after="0" w:line="196"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Section 3.13 </w:t>
      </w:r>
      <w:r>
        <w:rPr>
          <w:rFonts w:ascii="Times New Roman" w:cs="Times New Roman" w:eastAsia="Times New Roman" w:hAnsi="Times New Roman"/>
          <w:sz w:val="22"/>
          <w:szCs w:val="22"/>
          <w:u w:val="single" w:color="auto"/>
          <w:color w:val="000000"/>
        </w:rPr>
        <w:t>Emergency Bylaws</w:t>
      </w:r>
      <w:r>
        <w:rPr>
          <w:rFonts w:ascii="Times New Roman" w:cs="Times New Roman" w:eastAsia="Times New Roman" w:hAnsi="Times New Roman"/>
          <w:sz w:val="22"/>
          <w:szCs w:val="22"/>
          <w:color w:val="000000"/>
        </w:rPr>
        <w:t>. This Section 3.13 shall be operative during any emergency condition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contemplated by Section 110 of the DGCL (an “</w:t>
      </w:r>
      <w:r>
        <w:rPr>
          <w:rFonts w:ascii="Times New Roman" w:cs="Times New Roman" w:eastAsia="Times New Roman" w:hAnsi="Times New Roman"/>
          <w:sz w:val="22"/>
          <w:szCs w:val="22"/>
          <w:u w:val="single" w:color="auto"/>
          <w:color w:val="000000"/>
        </w:rPr>
        <w:t>Emergency</w:t>
      </w:r>
      <w:r>
        <w:rPr>
          <w:rFonts w:ascii="Times New Roman" w:cs="Times New Roman" w:eastAsia="Times New Roman" w:hAnsi="Times New Roman"/>
          <w:sz w:val="22"/>
          <w:szCs w:val="22"/>
          <w:color w:val="000000"/>
        </w:rPr>
        <w:t>”), notwithstanding any different or conflicting provisions in these Bylaws, the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120"/>
          </w:cols>
          <w:pgMar w:left="440" w:top="1440" w:right="339" w:bottom="1440" w:gutter="0" w:footer="0" w:header="0"/>
        </w:sectPr>
      </w:pPr>
    </w:p>
    <w:bookmarkStart w:id="104" w:name="page105"/>
    <w:bookmarkEnd w:id="104"/>
    <w:p>
      <w:pPr>
        <w:spacing w:after="0" w:line="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Incorporation or the DGCL. In the event of any Emergency, or other similar emergency condition, if a quorum cannot be readily convened for a meeting, the director or directors in attendance at a meeting of the Board of Directors or a standing committee thereof shall constitute a quorum. Such director or directors in attendance may further take action to appoint one or more of themselves or other directors to membership on any standing or temporary committees of the Board of Directors as they shall deem necessary and appropriate. Except as the Board of Directors may otherwise determine, during any Emergency, the Corporation and its directors and officers, may exercise any authority and take any action or measure contemplated by Section 110 of the DGCL.</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010000"/>
        </w:rPr>
        <w:t>ARTICLE IV</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COMMITTEES</w:t>
      </w:r>
    </w:p>
    <w:p>
      <w:pPr>
        <w:spacing w:after="0" w:line="196"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Section 4.1 </w:t>
      </w:r>
      <w:r>
        <w:rPr>
          <w:rFonts w:ascii="Times New Roman" w:cs="Times New Roman" w:eastAsia="Times New Roman" w:hAnsi="Times New Roman"/>
          <w:sz w:val="22"/>
          <w:szCs w:val="22"/>
          <w:u w:val="single" w:color="auto"/>
          <w:color w:val="000000"/>
        </w:rPr>
        <w:t>Committees of the Board of Directors</w:t>
      </w:r>
      <w:r>
        <w:rPr>
          <w:rFonts w:ascii="Times New Roman" w:cs="Times New Roman" w:eastAsia="Times New Roman" w:hAnsi="Times New Roman"/>
          <w:sz w:val="22"/>
          <w:szCs w:val="22"/>
          <w:color w:val="000000"/>
        </w:rPr>
        <w:t>. The Board of Directors may designate one or more committees,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such committee to consist of one or more of the directors of the Corporation. The Board of Directors may designate one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permitted by law and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w:t>
      </w:r>
    </w:p>
    <w:p>
      <w:pPr>
        <w:spacing w:after="0" w:line="228" w:lineRule="exact"/>
        <w:rPr>
          <w:sz w:val="20"/>
          <w:szCs w:val="20"/>
          <w:color w:val="auto"/>
        </w:rPr>
      </w:pPr>
    </w:p>
    <w:p>
      <w:pPr>
        <w:ind w:right="60"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Section 4.2 </w:t>
      </w:r>
      <w:r>
        <w:rPr>
          <w:rFonts w:ascii="Times New Roman" w:cs="Times New Roman" w:eastAsia="Times New Roman" w:hAnsi="Times New Roman"/>
          <w:sz w:val="22"/>
          <w:szCs w:val="22"/>
          <w:u w:val="single" w:color="auto"/>
          <w:color w:val="000000"/>
        </w:rPr>
        <w:t>Meetings and Action of Committees</w:t>
      </w:r>
      <w:r>
        <w:rPr>
          <w:rFonts w:ascii="Times New Roman" w:cs="Times New Roman" w:eastAsia="Times New Roman" w:hAnsi="Times New Roman"/>
          <w:sz w:val="22"/>
          <w:szCs w:val="22"/>
          <w:color w:val="000000"/>
        </w:rPr>
        <w:t>. Unless the Board of Directors provides otherwise by resolution,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committee of the Board of Directors may adopt, alter and repeal such rules and regulations not inconsistent with the provisions of law, the Certificate of Incorporation or these Bylaws for the conduct of its meetings as such committee may deem proper. A majority of the directors then serving on a committee shall constitute a quorum for the transaction of business by the committee except as otherwise required by law, the Certificate of Incorporation or these Bylaws, and except as otherwise provided in a resolution of the Board of Directors;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in no case shall a quorum be less than one-third of the directors then serving on the committee. Unless the Certificate of Incorporation, these Bylaws or a resolution of the Board of Directors requires a greater number, the vote of a majority of the members of a committee present at a meeting at which a quorum is present shall be the act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080"/>
          </w:cols>
          <w:pgMar w:left="440" w:top="1440" w:right="379" w:bottom="1440" w:gutter="0" w:footer="0" w:header="0"/>
        </w:sectPr>
      </w:pPr>
    </w:p>
    <w:bookmarkStart w:id="105" w:name="page106"/>
    <w:bookmarkEnd w:id="105"/>
    <w:p>
      <w:pPr>
        <w:spacing w:after="0" w:line="3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010000"/>
        </w:rPr>
        <w:t>ARTICLE V</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19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1"/>
          <w:szCs w:val="21"/>
          <w:color w:val="010000"/>
        </w:rPr>
        <w:t xml:space="preserve">Section 5.1 </w:t>
      </w:r>
      <w:r>
        <w:rPr>
          <w:rFonts w:ascii="Times New Roman" w:cs="Times New Roman" w:eastAsia="Times New Roman" w:hAnsi="Times New Roman"/>
          <w:sz w:val="21"/>
          <w:szCs w:val="21"/>
          <w:u w:val="single" w:color="auto"/>
          <w:color w:val="000000"/>
        </w:rPr>
        <w:t>Officers</w:t>
      </w:r>
      <w:r>
        <w:rPr>
          <w:rFonts w:ascii="Times New Roman" w:cs="Times New Roman" w:eastAsia="Times New Roman" w:hAnsi="Times New Roman"/>
          <w:sz w:val="21"/>
          <w:szCs w:val="21"/>
          <w:color w:val="000000"/>
        </w:rPr>
        <w:t>. The officers of the Corporation shall consist of one or more Chief Executive Officers and a</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Secretary. The Board of Directors, in its sole discretion, may also elect one or more Chief Financial Officers, Chief Operating Officers, Presidents, Treasurers, Controllers, Assistant Secretaries, Assistant Treasurers and such other officers as the Board of Directors may from time to time determine, each of whom shall be elected by the Board of Directors, each to have such authority, functions or duties as set forth in these Bylaws or as determined by the Board of Directors. To the extent not so set forth or determined, each such officer shall have such authority, functions or duties as those that generally pertain to their respective offices, subject to the control of the Board of Directors. Each officer shall be elected by the Board of Directors and shall hold office for such term as may be prescribed by the Board of Directors and until such person’s successor shall have been duly elected and qualified, or until such person’s earlier death, disqualification, resignation or removal. Any number of offices may be held by the same person;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that no officer shall execute, acknowledge or verify any instrument in more than one capacity if such instrument is required by law, the Certificate of Incorporation or these Bylaws to be executed, acknowledged or verified by two or more officers. The Board of Directors may determine to leave any office vacant.</w:t>
      </w:r>
    </w:p>
    <w:p>
      <w:pPr>
        <w:spacing w:after="0" w:line="210" w:lineRule="exact"/>
        <w:rPr>
          <w:sz w:val="20"/>
          <w:szCs w:val="20"/>
          <w:color w:val="auto"/>
        </w:rPr>
      </w:pPr>
    </w:p>
    <w:p>
      <w:pPr>
        <w:jc w:val="both"/>
        <w:ind w:right="140"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Section 5.2 </w:t>
      </w:r>
      <w:r>
        <w:rPr>
          <w:rFonts w:ascii="Times New Roman" w:cs="Times New Roman" w:eastAsia="Times New Roman" w:hAnsi="Times New Roman"/>
          <w:sz w:val="22"/>
          <w:szCs w:val="22"/>
          <w:u w:val="single" w:color="auto"/>
          <w:color w:val="000000"/>
        </w:rPr>
        <w:t>Compensation</w:t>
      </w:r>
      <w:r>
        <w:rPr>
          <w:rFonts w:ascii="Times New Roman" w:cs="Times New Roman" w:eastAsia="Times New Roman" w:hAnsi="Times New Roman"/>
          <w:sz w:val="22"/>
          <w:szCs w:val="22"/>
          <w:color w:val="000000"/>
        </w:rPr>
        <w:t>. The salaries of the officers of the Corporation and the manner and time of the payment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such salaries shall be fixed and determined by the Board of Directors or by a duly authorized officer and may be altered by the Board of Directors from time to time as it deems appropriate, subject to the rights, if any, of such officers under any contract of employment.</w:t>
      </w:r>
    </w:p>
    <w:p>
      <w:pPr>
        <w:spacing w:after="0" w:line="20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5.3 </w:t>
      </w:r>
      <w:r>
        <w:rPr>
          <w:rFonts w:ascii="Times New Roman" w:cs="Times New Roman" w:eastAsia="Times New Roman" w:hAnsi="Times New Roman"/>
          <w:sz w:val="22"/>
          <w:szCs w:val="22"/>
          <w:u w:val="single" w:color="auto"/>
          <w:color w:val="000000"/>
        </w:rPr>
        <w:t>Removal, Resignation and Vacancies</w:t>
      </w:r>
      <w:r>
        <w:rPr>
          <w:rFonts w:ascii="Times New Roman" w:cs="Times New Roman" w:eastAsia="Times New Roman" w:hAnsi="Times New Roman"/>
          <w:sz w:val="22"/>
          <w:szCs w:val="22"/>
          <w:color w:val="000000"/>
        </w:rPr>
        <w:t>. Any officer of the Corporation may be removed, with or without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cause, by the Board of Directors or by a duly authorized officer, without prejudice to the rights, if any, of such officer under any contract to which he or she is a party. Any officer may resign at any time upon notice given in writing or by electronic transmission to the Corporation, without prejudice to the rights, if any, of the Corporation under any contract to which such officer is a party. If any vacancy occurs in any office of the Corporation, the Board of Directors may elect a successor to fill such vacancy for the remainder of the unexpired term and until a successor shall have been duly elected and qualified, or such office may be left vacant.</w:t>
      </w:r>
    </w:p>
    <w:p>
      <w:pPr>
        <w:spacing w:after="0" w:line="22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Section 5.4 </w:t>
      </w:r>
      <w:r>
        <w:rPr>
          <w:rFonts w:ascii="Times New Roman" w:cs="Times New Roman" w:eastAsia="Times New Roman" w:hAnsi="Times New Roman"/>
          <w:sz w:val="22"/>
          <w:szCs w:val="22"/>
          <w:u w:val="single" w:color="auto"/>
          <w:color w:val="000000"/>
        </w:rPr>
        <w:t>Chief Executive Officer</w:t>
      </w:r>
      <w:r>
        <w:rPr>
          <w:rFonts w:ascii="Times New Roman" w:cs="Times New Roman" w:eastAsia="Times New Roman" w:hAnsi="Times New Roman"/>
          <w:sz w:val="22"/>
          <w:szCs w:val="22"/>
          <w:color w:val="000000"/>
        </w:rPr>
        <w:t>. The Chief Executive Officer shall have general supervision and direction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business and affairs of the Corporation, shall be responsible for corporate policy and strategy, and shall report directly to the Board of Directors. Unless otherwise provided in these Bylaws or determined by the Board of Directors, all other officers of the Corporation shall report directly to the Chief Executive Officer or as otherwise determined by the Chief Executive Officer. For the avoidance of doubt, to the extent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120"/>
          </w:cols>
          <w:pgMar w:left="440" w:top="1440" w:right="339" w:bottom="1440" w:gutter="0" w:footer="0" w:header="0"/>
        </w:sectPr>
      </w:pPr>
    </w:p>
    <w:bookmarkStart w:id="106" w:name="page107"/>
    <w:bookmarkEnd w:id="106"/>
    <w:p>
      <w:pPr>
        <w:spacing w:after="0" w:line="9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appoints more than one Chief Executive Officer, reference to each “Chief Executive Officer” in these Bylaws means any Chief Executive Officer acting alone.</w:t>
      </w:r>
    </w:p>
    <w:p>
      <w:pPr>
        <w:spacing w:after="0" w:line="198"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21"/>
          <w:szCs w:val="21"/>
          <w:color w:val="010000"/>
        </w:rPr>
        <w:t xml:space="preserve">Section 5.5 </w:t>
      </w:r>
      <w:r>
        <w:rPr>
          <w:rFonts w:ascii="Times New Roman" w:cs="Times New Roman" w:eastAsia="Times New Roman" w:hAnsi="Times New Roman"/>
          <w:sz w:val="21"/>
          <w:szCs w:val="21"/>
          <w:u w:val="single" w:color="auto"/>
          <w:color w:val="000000"/>
        </w:rPr>
        <w:t>Chief Financial Officer</w:t>
      </w:r>
      <w:r>
        <w:rPr>
          <w:rFonts w:ascii="Times New Roman" w:cs="Times New Roman" w:eastAsia="Times New Roman" w:hAnsi="Times New Roman"/>
          <w:sz w:val="21"/>
          <w:szCs w:val="21"/>
          <w:color w:val="000000"/>
        </w:rPr>
        <w:t>. The Chief Financial Officer shall exercise all the powers and perform the duties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office of the chief financial officer and in general have overall supervision of the financial operations of the Corporation. The Chief Financial Officer shall, when requested, counsel with and advise the other officers of the Corporation and shall perform such other duties as the Board of Directors or the Chief Executive Officer may from time to time determine.</w:t>
      </w:r>
    </w:p>
    <w:p>
      <w:pPr>
        <w:spacing w:after="0" w:line="204"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1"/>
          <w:szCs w:val="21"/>
          <w:color w:val="010000"/>
        </w:rPr>
        <w:t xml:space="preserve">Section 5.6 </w:t>
      </w:r>
      <w:r>
        <w:rPr>
          <w:rFonts w:ascii="Times New Roman" w:cs="Times New Roman" w:eastAsia="Times New Roman" w:hAnsi="Times New Roman"/>
          <w:sz w:val="21"/>
          <w:szCs w:val="21"/>
          <w:u w:val="single" w:color="auto"/>
          <w:color w:val="000000"/>
        </w:rPr>
        <w:t>Chief Operating Officer</w:t>
      </w:r>
      <w:r>
        <w:rPr>
          <w:rFonts w:ascii="Times New Roman" w:cs="Times New Roman" w:eastAsia="Times New Roman" w:hAnsi="Times New Roman"/>
          <w:sz w:val="21"/>
          <w:szCs w:val="21"/>
          <w:color w:val="000000"/>
        </w:rPr>
        <w:t>. The Chief Operating Officer shall have general responsibility for the management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and control of the operations of the Corporation. The Chief Operating Officer shall, when requested, counsel with and advise the other officers of the Corporation and shall perform such other duties as the Board of Directors or the Chief Executive Officer may from time to time determine. For the avoidance of doubt, to the extent the Board appoints more than one Chief Operating Officer, reference to each “Chief Operating Officer” in these Bylaws means any Chief Operating Officer acting alone.</w:t>
      </w:r>
    </w:p>
    <w:p>
      <w:pPr>
        <w:spacing w:after="0" w:line="2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010000"/>
        </w:rPr>
        <w:t xml:space="preserve">Section 5.7 </w:t>
      </w:r>
      <w:r>
        <w:rPr>
          <w:rFonts w:ascii="Times New Roman" w:cs="Times New Roman" w:eastAsia="Times New Roman" w:hAnsi="Times New Roman"/>
          <w:sz w:val="22"/>
          <w:szCs w:val="22"/>
          <w:u w:val="single" w:color="auto"/>
          <w:color w:val="000000"/>
        </w:rPr>
        <w:t>President</w:t>
      </w:r>
      <w:r>
        <w:rPr>
          <w:rFonts w:ascii="Times New Roman" w:cs="Times New Roman" w:eastAsia="Times New Roman" w:hAnsi="Times New Roman"/>
          <w:sz w:val="22"/>
          <w:szCs w:val="22"/>
          <w:color w:val="000000"/>
        </w:rPr>
        <w:t>. The President shall have such powers and perform such duties as from time to time may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prescribed for him or her by the Board of Directors or are incident to the office of President.</w:t>
      </w:r>
    </w:p>
    <w:p>
      <w:pPr>
        <w:spacing w:after="0" w:line="171" w:lineRule="exact"/>
        <w:rPr>
          <w:sz w:val="20"/>
          <w:szCs w:val="20"/>
          <w:color w:val="auto"/>
        </w:rPr>
      </w:pPr>
    </w:p>
    <w:p>
      <w:pPr>
        <w:jc w:val="center"/>
        <w:ind w:right="300"/>
        <w:spacing w:after="0"/>
        <w:tabs>
          <w:tab w:leader="none" w:pos="200" w:val="left"/>
        </w:tabs>
        <w:rPr>
          <w:sz w:val="20"/>
          <w:szCs w:val="20"/>
          <w:color w:val="auto"/>
        </w:rPr>
      </w:pPr>
      <w:r>
        <w:rPr>
          <w:rFonts w:ascii="Times New Roman" w:cs="Times New Roman" w:eastAsia="Times New Roman" w:hAnsi="Times New Roman"/>
          <w:sz w:val="22"/>
          <w:szCs w:val="22"/>
          <w:color w:val="010000"/>
        </w:rPr>
        <w:t>Section 5.8</w:t>
      </w:r>
      <w:r>
        <w:rPr>
          <w:sz w:val="20"/>
          <w:szCs w:val="20"/>
          <w:color w:val="auto"/>
        </w:rPr>
        <w:tab/>
      </w:r>
      <w:r>
        <w:rPr>
          <w:rFonts w:ascii="Times New Roman" w:cs="Times New Roman" w:eastAsia="Times New Roman" w:hAnsi="Times New Roman"/>
          <w:sz w:val="21"/>
          <w:szCs w:val="21"/>
          <w:u w:val="single" w:color="auto"/>
          <w:color w:val="auto"/>
        </w:rPr>
        <w:t>Treasurer</w:t>
      </w:r>
      <w:r>
        <w:rPr>
          <w:rFonts w:ascii="Times New Roman" w:cs="Times New Roman" w:eastAsia="Times New Roman" w:hAnsi="Times New Roman"/>
          <w:sz w:val="21"/>
          <w:szCs w:val="21"/>
          <w:color w:val="auto"/>
        </w:rPr>
        <w:t>. The Treasurer shall supervise and be responsible for all the funds and securities of the</w:t>
      </w:r>
    </w:p>
    <w:p>
      <w:pPr>
        <w:spacing w:after="0" w:line="29"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2"/>
          <w:szCs w:val="22"/>
          <w:color w:val="auto"/>
        </w:rPr>
        <w:t>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the Board of Directors, the Chief Executive Officer or the Chief Financial Officer may from time to time determine.</w:t>
      </w:r>
    </w:p>
    <w:p>
      <w:pPr>
        <w:spacing w:after="0" w:line="208"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21"/>
          <w:szCs w:val="21"/>
          <w:color w:val="010000"/>
        </w:rPr>
        <w:t xml:space="preserve">Section 5.9 </w:t>
      </w:r>
      <w:r>
        <w:rPr>
          <w:rFonts w:ascii="Times New Roman" w:cs="Times New Roman" w:eastAsia="Times New Roman" w:hAnsi="Times New Roman"/>
          <w:sz w:val="21"/>
          <w:szCs w:val="21"/>
          <w:u w:val="single" w:color="auto"/>
          <w:color w:val="000000"/>
        </w:rPr>
        <w:t>Controller</w:t>
      </w:r>
      <w:r>
        <w:rPr>
          <w:rFonts w:ascii="Times New Roman" w:cs="Times New Roman" w:eastAsia="Times New Roman" w:hAnsi="Times New Roman"/>
          <w:sz w:val="21"/>
          <w:szCs w:val="21"/>
          <w:color w:val="000000"/>
        </w:rPr>
        <w:t>. The Controller shall be the chief accounting officer of the Corporation. The Controller shall,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when requested, counsel with and advise the other officers of the Corporation and shall perform such other duties as the Board of Directors, the Chief Executive Officer, the Chief Financial Officer or the Treasurer may from time to time determine.</w:t>
      </w:r>
    </w:p>
    <w:p>
      <w:pPr>
        <w:spacing w:after="0" w:line="19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5.10 </w:t>
      </w:r>
      <w:r>
        <w:rPr>
          <w:rFonts w:ascii="Times New Roman" w:cs="Times New Roman" w:eastAsia="Times New Roman" w:hAnsi="Times New Roman"/>
          <w:sz w:val="22"/>
          <w:szCs w:val="22"/>
          <w:u w:val="single" w:color="auto"/>
          <w:color w:val="000000"/>
        </w:rPr>
        <w:t>Secretary</w:t>
      </w:r>
      <w:r>
        <w:rPr>
          <w:rFonts w:ascii="Times New Roman" w:cs="Times New Roman" w:eastAsia="Times New Roman" w:hAnsi="Times New Roman"/>
          <w:sz w:val="22"/>
          <w:szCs w:val="22"/>
          <w:color w:val="000000"/>
        </w:rPr>
        <w:t>. The powers and duties of the Secretary are: (i) to act as Secretary at all meetings of the Board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Directors, of the committees of the Board of Directors and of the stockholders and to record the proceedings of such meetings in a book or books to be kept for that purpose; (ii) to see that all notices required to be given by the Corporation are duly given and served; (iii) to act as custodian of the seal of the Corporation and affix the seal or cause it to be affixed to all certificates of stock of the Corporation and to all documents,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120"/>
          </w:cols>
          <w:pgMar w:left="440" w:top="1440" w:right="339" w:bottom="1440" w:gutter="0" w:footer="0" w:header="0"/>
        </w:sectPr>
      </w:pPr>
    </w:p>
    <w:bookmarkStart w:id="107" w:name="page108"/>
    <w:bookmarkEnd w:id="107"/>
    <w:p>
      <w:pPr>
        <w:spacing w:after="0" w:line="9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execution of which on behalf of the Corporation under its seal is duly authorized in accordance with the provisions of these Bylaws; (iv) to have charge of the books, records and papers of the Corporation and see that the reports, statements and other documents required by law to be kept and filed are properly kept and filed; and (v) to perform all of the duties incident to the office of Secretary. The Secretary shall, when requested, counsel with and advise the other officers of the Corporation and shall perform such other duties as the Board of Directors, the Chief Executive Officer or the Chief Operating Officer may from time to time determine.</w:t>
      </w:r>
    </w:p>
    <w:p>
      <w:pPr>
        <w:spacing w:after="0" w:line="222"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5.11 </w:t>
      </w:r>
      <w:r>
        <w:rPr>
          <w:rFonts w:ascii="Times New Roman" w:cs="Times New Roman" w:eastAsia="Times New Roman" w:hAnsi="Times New Roman"/>
          <w:sz w:val="22"/>
          <w:szCs w:val="22"/>
          <w:u w:val="single" w:color="auto"/>
          <w:color w:val="000000"/>
        </w:rPr>
        <w:t>Additional Matters</w:t>
      </w:r>
      <w:r>
        <w:rPr>
          <w:rFonts w:ascii="Times New Roman" w:cs="Times New Roman" w:eastAsia="Times New Roman" w:hAnsi="Times New Roman"/>
          <w:sz w:val="22"/>
          <w:szCs w:val="22"/>
          <w:color w:val="000000"/>
        </w:rPr>
        <w:t>. The Chief Executive Officer and the Chief Financial Officer of the Corporation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have the authority to designate employees of the Corporation to have the title of Vice President, Assistant Vice President, Assistant Treasurer or Assistant Secretary. Any employee so designated shall have the powers and duties determined by the officer making such designation. The persons upon whom such titles are conferred shall not be deemed officers of the Corporation unless elected by the Board of Directors.</w:t>
      </w:r>
    </w:p>
    <w:p>
      <w:pPr>
        <w:spacing w:after="0" w:line="2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Section 5.12 </w:t>
      </w:r>
      <w:r>
        <w:rPr>
          <w:rFonts w:ascii="Times New Roman" w:cs="Times New Roman" w:eastAsia="Times New Roman" w:hAnsi="Times New Roman"/>
          <w:sz w:val="22"/>
          <w:szCs w:val="22"/>
          <w:u w:val="single" w:color="auto"/>
          <w:color w:val="000000"/>
        </w:rPr>
        <w:t>Checks; Drafts; Evidences of Indebtedness</w:t>
      </w:r>
      <w:r>
        <w:rPr>
          <w:rFonts w:ascii="Times New Roman" w:cs="Times New Roman" w:eastAsia="Times New Roman" w:hAnsi="Times New Roman"/>
          <w:sz w:val="22"/>
          <w:szCs w:val="22"/>
          <w:color w:val="000000"/>
        </w:rPr>
        <w:t>. From time to time, the Board of Directors shall determine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method, and designate (or authorize officers of the Corporation to designate) the person or persons who shall have authority, to sign or endorse all checks, drafts, other orders for payment of money and notes, bonds, debentures or other evidences of indebtedness that are issued in the name of or payable by the Corporation, and only the persons so authorized shall sign or endorse such instruments.</w:t>
      </w:r>
    </w:p>
    <w:p>
      <w:pPr>
        <w:spacing w:after="0" w:line="21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1"/>
          <w:szCs w:val="21"/>
          <w:color w:val="010000"/>
        </w:rPr>
        <w:t xml:space="preserve">Section 5.13 </w:t>
      </w:r>
      <w:r>
        <w:rPr>
          <w:rFonts w:ascii="Times New Roman" w:cs="Times New Roman" w:eastAsia="Times New Roman" w:hAnsi="Times New Roman"/>
          <w:sz w:val="21"/>
          <w:szCs w:val="21"/>
          <w:u w:val="single" w:color="auto"/>
          <w:color w:val="000000"/>
        </w:rPr>
        <w:t>Corporate Contracts and Instruments; How Executed</w:t>
      </w:r>
      <w:r>
        <w:rPr>
          <w:rFonts w:ascii="Times New Roman" w:cs="Times New Roman" w:eastAsia="Times New Roman" w:hAnsi="Times New Roman"/>
          <w:sz w:val="21"/>
          <w:szCs w:val="21"/>
          <w:color w:val="000000"/>
        </w:rPr>
        <w:t>. Except as otherwise provided in these Bylaws,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Board of Directors may determine the method, and designate (or authorize officers of the Corporation to designate) the person or persons who shall have authority to enter into any contract or execute any instrument in the name of and on behalf of the Corporation. Such authority may be general or confined to specific instances. Unless so authorized, or within the power incident to a person’s office or other position with the Corporation, no person shall have any power or authority to bind the Corporation by any contract or engagement or to pledge its credit or to render it liable for any purpose or for any amount.</w:t>
      </w:r>
    </w:p>
    <w:p>
      <w:pPr>
        <w:spacing w:after="0" w:line="196"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Section 5.14 </w:t>
      </w:r>
      <w:r>
        <w:rPr>
          <w:rFonts w:ascii="Times New Roman" w:cs="Times New Roman" w:eastAsia="Times New Roman" w:hAnsi="Times New Roman"/>
          <w:sz w:val="22"/>
          <w:szCs w:val="22"/>
          <w:u w:val="single" w:color="auto"/>
          <w:color w:val="000000"/>
        </w:rPr>
        <w:t>Signature Authority</w:t>
      </w:r>
      <w:r>
        <w:rPr>
          <w:rFonts w:ascii="Times New Roman" w:cs="Times New Roman" w:eastAsia="Times New Roman" w:hAnsi="Times New Roman"/>
          <w:sz w:val="22"/>
          <w:szCs w:val="22"/>
          <w:color w:val="000000"/>
        </w:rPr>
        <w:t>. Unless otherwise determined by the Board of Directors or otherwise provided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law or these Bylaws, contracts, evidences of indebtedness and other instruments or documents of the Corporation may be executed, signed or endorsed: (i) by the Chief Executive Officer or the Chief Operating Officer; or (ii) by the Chief Financial Officer, President, Treasurer, Secretary or Controller, in each case only with regard to such instruments or documents that pertain to or relate to such person’s duties or business functions.</w:t>
      </w:r>
    </w:p>
    <w:p>
      <w:pPr>
        <w:spacing w:after="0" w:line="2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Section 5.15 </w:t>
      </w:r>
      <w:r>
        <w:rPr>
          <w:rFonts w:ascii="Times New Roman" w:cs="Times New Roman" w:eastAsia="Times New Roman" w:hAnsi="Times New Roman"/>
          <w:sz w:val="22"/>
          <w:szCs w:val="22"/>
          <w:u w:val="single" w:color="auto"/>
          <w:color w:val="000000"/>
        </w:rPr>
        <w:t>Action with Respect to Securities of Other Corporations or Entities</w:t>
      </w:r>
      <w:r>
        <w:rPr>
          <w:rFonts w:ascii="Times New Roman" w:cs="Times New Roman" w:eastAsia="Times New Roman" w:hAnsi="Times New Roman"/>
          <w:sz w:val="22"/>
          <w:szCs w:val="22"/>
          <w:color w:val="000000"/>
        </w:rPr>
        <w:t>. The Chief Executive Officer or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other officer of the Corporation authorized by the Board of Directors or the Chief Executive Officer is authorized to vote, represent, and exercise on behalf of the Corporation all rights incident to any and all shares or other equity interests of any other corporation or entity or corporations or entities, standing in the name of the Corporation.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080"/>
          </w:cols>
          <w:pgMar w:left="440" w:top="1440" w:right="379" w:bottom="1440" w:gutter="0" w:footer="0" w:header="0"/>
        </w:sectPr>
      </w:pPr>
    </w:p>
    <w:bookmarkStart w:id="108" w:name="page109"/>
    <w:bookmarkEnd w:id="108"/>
    <w:p>
      <w:pPr>
        <w:spacing w:after="0" w:line="9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authority herein granted may be exercised either by such person directly or by any other person authorized to do so by proxy or power of attorney duly executed by the person having such authority.</w:t>
      </w:r>
    </w:p>
    <w:p>
      <w:pPr>
        <w:spacing w:after="0" w:line="198"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Section 5.16 </w:t>
      </w:r>
      <w:r>
        <w:rPr>
          <w:rFonts w:ascii="Times New Roman" w:cs="Times New Roman" w:eastAsia="Times New Roman" w:hAnsi="Times New Roman"/>
          <w:sz w:val="22"/>
          <w:szCs w:val="22"/>
          <w:u w:val="single" w:color="auto"/>
          <w:color w:val="000000"/>
        </w:rPr>
        <w:t>Delegation</w:t>
      </w:r>
      <w:r>
        <w:rPr>
          <w:rFonts w:ascii="Times New Roman" w:cs="Times New Roman" w:eastAsia="Times New Roman" w:hAnsi="Times New Roman"/>
          <w:sz w:val="22"/>
          <w:szCs w:val="22"/>
          <w:color w:val="000000"/>
        </w:rPr>
        <w:t>. The Board of Directors may from time to time delegate the powers or duties of any officer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other officers or agents, notwithstanding the foregoing provisions of this Article V.</w:t>
      </w:r>
    </w:p>
    <w:p>
      <w:pPr>
        <w:spacing w:after="0" w:line="1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010000"/>
        </w:rPr>
        <w:t>ARTICLE VI</w:t>
      </w:r>
    </w:p>
    <w:p>
      <w:pPr>
        <w:spacing w:after="0" w:line="32" w:lineRule="exact"/>
        <w:rPr>
          <w:sz w:val="20"/>
          <w:szCs w:val="20"/>
          <w:color w:val="auto"/>
        </w:rPr>
      </w:pPr>
    </w:p>
    <w:p>
      <w:pPr>
        <w:ind w:left="640" w:right="2660" w:firstLine="1936"/>
        <w:spacing w:after="0" w:line="453" w:lineRule="auto"/>
        <w:rPr>
          <w:sz w:val="20"/>
          <w:szCs w:val="20"/>
          <w:color w:val="auto"/>
        </w:rPr>
      </w:pPr>
      <w:r>
        <w:rPr>
          <w:rFonts w:ascii="Times New Roman" w:cs="Times New Roman" w:eastAsia="Times New Roman" w:hAnsi="Times New Roman"/>
          <w:sz w:val="22"/>
          <w:szCs w:val="22"/>
          <w:b w:val="1"/>
          <w:bCs w:val="1"/>
          <w:color w:val="auto"/>
        </w:rPr>
        <w:t xml:space="preserve">INDEMNIFICATION AND ADVANCEMENT OF EXPENSES </w:t>
      </w:r>
      <w:r>
        <w:rPr>
          <w:rFonts w:ascii="Times New Roman" w:cs="Times New Roman" w:eastAsia="Times New Roman" w:hAnsi="Times New Roman"/>
          <w:sz w:val="22"/>
          <w:szCs w:val="22"/>
          <w:color w:val="010000"/>
        </w:rPr>
        <w:t xml:space="preserve">Section 6.1 </w:t>
      </w:r>
      <w:r>
        <w:rPr>
          <w:rFonts w:ascii="Times New Roman" w:cs="Times New Roman" w:eastAsia="Times New Roman" w:hAnsi="Times New Roman"/>
          <w:sz w:val="22"/>
          <w:szCs w:val="22"/>
          <w:u w:val="single" w:color="auto"/>
          <w:color w:val="000000"/>
        </w:rPr>
        <w:t>Right to Indemnification</w:t>
      </w:r>
      <w:r>
        <w:rPr>
          <w:rFonts w:ascii="Times New Roman" w:cs="Times New Roman" w:eastAsia="Times New Roman" w:hAnsi="Times New Roman"/>
          <w:sz w:val="22"/>
          <w:szCs w:val="22"/>
          <w:color w:val="000000"/>
        </w:rPr>
        <w:t>.</w:t>
      </w:r>
    </w:p>
    <w:p>
      <w:pPr>
        <w:spacing w:after="0" w:line="7" w:lineRule="exact"/>
        <w:rPr>
          <w:sz w:val="20"/>
          <w:szCs w:val="20"/>
          <w:color w:val="auto"/>
        </w:rPr>
      </w:pPr>
    </w:p>
    <w:p>
      <w:pPr>
        <w:ind w:firstLine="1292"/>
        <w:spacing w:after="0" w:line="259" w:lineRule="auto"/>
        <w:tabs>
          <w:tab w:leader="none" w:pos="1833"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person who was or is a party or is threatened to be made a party to, or was or is otherwise involved in, any action, suit, arbitration, alternative dispute resolution mechanism, investigation, inquiry, judicial, administrative or legislative hearing, or any other threatened, pending or completed proceeding, whether brought by or in the right of the Corporation or otherwise, including any and all appeals, whether of a civil, criminal, administrative, legislative, investigative or other nature (hereinafter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by reason of the fact that he or she is or was a director or officer (as defined below) of the Corporation or while a director or officer of the Corporation is or was serving at the request of the Corporation as a director, officer, employee, agent, fiduciary or trustee of another corporation or of a partnership, joint venture, trust or other enterprise, including service with respect to an employee benefit plan and with respect to StepStone Group Holdings LLC (the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Partner</w:t>
      </w:r>
      <w:r>
        <w:rPr>
          <w:rFonts w:ascii="Times New Roman" w:cs="Times New Roman" w:eastAsia="Times New Roman" w:hAnsi="Times New Roman"/>
          <w:sz w:val="21"/>
          <w:szCs w:val="21"/>
          <w:color w:val="auto"/>
        </w:rPr>
        <w:t>”) and StepStone Group LP (the “</w:t>
      </w:r>
      <w:r>
        <w:rPr>
          <w:rFonts w:ascii="Times New Roman" w:cs="Times New Roman" w:eastAsia="Times New Roman" w:hAnsi="Times New Roman"/>
          <w:sz w:val="21"/>
          <w:szCs w:val="21"/>
          <w:u w:val="single" w:color="auto"/>
          <w:color w:val="auto"/>
        </w:rPr>
        <w:t>Partnership</w:t>
      </w:r>
      <w:r>
        <w:rPr>
          <w:rFonts w:ascii="Times New Roman" w:cs="Times New Roman" w:eastAsia="Times New Roman" w:hAnsi="Times New Roman"/>
          <w:sz w:val="21"/>
          <w:szCs w:val="21"/>
          <w:color w:val="auto"/>
        </w:rPr>
        <w:t>”) (hereinafter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or by reason of anything done or not done by him or her in any such capacity, shall be indemnified and held harmless by the Corporation to the fullest extent authorized by the DGCL, as the same exists or may hereafter be amended, against all expense, liability and loss (including attorneys’ fees, judgments, fines, ERISA excise taxes, penalties and amounts paid in settlement by or on behalf of the indemnitee) actually and reasonably incurred by such indemnitee in connection therewith, all on the terms and conditions set forth in these Bylaws;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except as otherwise required by law or provided in Section 6.3 with respect to suits to enforce rights under this Article VI, the Corporation shall indemnify any such indemnitee in connection with a proceeding, or part thereof, voluntarily initiated by such indemnitee (including claims and counterclaims, whether such counterclaims are asserted by: (i) such indemnitee; or (ii) the Corporation in a proceeding initiated by such indemnitee) only if such proceeding, or part thereof, was authorized or ratified by the Board of Directors or the Board of Directors otherwise determines that indemnification or advancement of expenses is appropriate. Any reference to an officer of the Corporation in this Article VI shall be deemed to refer exclusively to the Chief Executive Officer(s) and Secretary and any Chief Financial Officer, Chief Operating Officer, President, Chief Accounting Officer, Treasurer, Controller, Assistant Secretary, Assistant Treasurer or other officer of the Corporation appointed by the Board of Directors pursuant to Section 5.1, and any reference to an officer of any other enterprise shall be deemed to refer exclusively to an officer appointed by the board of directors or equivalent governing body of such other enterprise pursuant to the certificate of incorporation and bylaws (or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080"/>
          </w:cols>
          <w:pgMar w:left="440" w:top="1440" w:right="379" w:bottom="1440" w:gutter="0" w:footer="0" w:header="0"/>
        </w:sectPr>
      </w:pPr>
    </w:p>
    <w:bookmarkStart w:id="109" w:name="page110"/>
    <w:bookmarkEnd w:id="109"/>
    <w:p>
      <w:pPr>
        <w:spacing w:after="0" w:line="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organizational documents) of such other enterprise. The fact that any person who is or was an employee of the Corporation or an employee of any other enterprise has been given or has used the title of “Vice President” or any other title that could be construed to suggest or imply that such person is or may be an officer of the Corporation or of such other enterprise shall not, by itself, result in such person being constituted as, or being deemed to be, an officer of the Corporation or of such other enterprise for purposes of this Article VI.</w:t>
      </w:r>
    </w:p>
    <w:p>
      <w:pPr>
        <w:spacing w:after="0" w:line="302" w:lineRule="exact"/>
        <w:rPr>
          <w:sz w:val="20"/>
          <w:szCs w:val="20"/>
          <w:color w:val="auto"/>
        </w:rPr>
      </w:pPr>
    </w:p>
    <w:p>
      <w:pPr>
        <w:ind w:firstLine="1292"/>
        <w:spacing w:after="0" w:line="259" w:lineRule="auto"/>
        <w:tabs>
          <w:tab w:leader="none" w:pos="1831" w:val="left"/>
        </w:tabs>
        <w:numPr>
          <w:ilvl w:val="0"/>
          <w:numId w:val="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receive indemnification under this Section 6.1, an indemnitee shall submit a written request to the Secretary of the Corporation. Such request shall include documentation or information that is necessary to determine the entitlement of the indemnitee to indemnification and that is reasonably available to the indemnitee. Upon receipt by the Secretary of the Corporation of such a written request, the entitlement of the indemnitee to indemnification shall be determined by the following person or persons who shall be empowered to make such determination, as selected by the Board of Directors (except with respect to clause (v) of this Section 6.1(b)): (i) the Board of Directors by a majority vote of the directors who are not parties to such proceeding, whether or not such majority constitutes a quorum; (ii) a committee of such directors designated by a majority vote of such directors, whether or not such majority constitutes a quorum; (iii) if there are no such directors, or if such directors so direct, by independent legal counsel in a written opinion to the Board of Directors, a copy of which shall be delivered to the indemnitee; (iv) the stockholders of the Corporation; or (v) in the event that a change of control (as defined below) has occurred, by independent legal counsel in a written opinion to the Board of Directors, a copy of which shall be delivered to the indemnitee. The determination of entitlement to indemnification shall be made and, unless a contrary determination is made, such indemnification shall be paid in full by the Corporation not later than 60 days after receipt by the Secretary of the Corporation of a written request for indemnification. For purposes of this Section 6.1(b), a “</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will be deemed to have occurred if, with respect to any particular 24-month period, the individuals who, at the beginning of such 24-month period, constituted the Board of Directors (the “</w:t>
      </w:r>
      <w:r>
        <w:rPr>
          <w:rFonts w:ascii="Times New Roman" w:cs="Times New Roman" w:eastAsia="Times New Roman" w:hAnsi="Times New Roman"/>
          <w:sz w:val="21"/>
          <w:szCs w:val="21"/>
          <w:u w:val="single" w:color="auto"/>
          <w:color w:val="auto"/>
        </w:rPr>
        <w:t>incumbent board</w:t>
      </w:r>
      <w:r>
        <w:rPr>
          <w:rFonts w:ascii="Times New Roman" w:cs="Times New Roman" w:eastAsia="Times New Roman" w:hAnsi="Times New Roman"/>
          <w:sz w:val="21"/>
          <w:szCs w:val="21"/>
          <w:color w:val="auto"/>
        </w:rPr>
        <w:t xml:space="preserve">”), cease for any reason to constitute at least a majority of the Board of Directors;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individual becoming a director subsequent to the beginning of such 24-month period whose election, or nomination for election by the stockholders of the Corporation,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spacing w:after="0" w:line="207"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22"/>
          <w:szCs w:val="22"/>
          <w:color w:val="010000"/>
        </w:rPr>
        <w:t>Section 6.2</w:t>
      </w:r>
      <w:r>
        <w:rPr>
          <w:sz w:val="20"/>
          <w:szCs w:val="20"/>
          <w:color w:val="auto"/>
        </w:rPr>
        <w:tab/>
      </w:r>
      <w:r>
        <w:rPr>
          <w:rFonts w:ascii="Times New Roman" w:cs="Times New Roman" w:eastAsia="Times New Roman" w:hAnsi="Times New Roman"/>
          <w:sz w:val="21"/>
          <w:szCs w:val="21"/>
          <w:u w:val="single" w:color="auto"/>
          <w:color w:val="auto"/>
        </w:rPr>
        <w:t>Right to Advancement of Expenses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right="20" w:firstLine="1292"/>
        <w:spacing w:after="0" w:line="263" w:lineRule="auto"/>
        <w:tabs>
          <w:tab w:leader="none" w:pos="1833"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addition to the right to indemnification conferred in Section 6.1, an indemnitee shall, to the fullest extent permitted by law, also have the right to be paid by the Corporation the expenses (including attorneys’ fees) incurred by indemnitee in defending any proceeding in advance of its final disposition (hereinafter an “</w:t>
      </w:r>
      <w:r>
        <w:rPr>
          <w:rFonts w:ascii="Times New Roman" w:cs="Times New Roman" w:eastAsia="Times New Roman" w:hAnsi="Times New Roman"/>
          <w:sz w:val="22"/>
          <w:szCs w:val="22"/>
          <w:u w:val="single" w:color="auto"/>
          <w:color w:val="auto"/>
        </w:rPr>
        <w:t>advancement of expenses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120"/>
          </w:cols>
          <w:pgMar w:left="440" w:top="1440" w:right="339" w:bottom="1440" w:gutter="0" w:footer="0" w:header="0"/>
        </w:sectPr>
      </w:pPr>
    </w:p>
    <w:bookmarkStart w:id="110" w:name="page111"/>
    <w:bookmarkEnd w:id="110"/>
    <w:p>
      <w:pPr>
        <w:spacing w:after="0" w:line="9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 advancement of expenses shall be made only upon delivery to the Corporation of an undertaking (hereinafter an “</w:t>
      </w:r>
      <w:r>
        <w:rPr>
          <w:rFonts w:ascii="Times New Roman" w:cs="Times New Roman" w:eastAsia="Times New Roman" w:hAnsi="Times New Roman"/>
          <w:sz w:val="22"/>
          <w:szCs w:val="22"/>
          <w:u w:val="single" w:color="auto"/>
          <w:color w:val="auto"/>
        </w:rPr>
        <w:t>undertaking</w:t>
      </w:r>
      <w:r>
        <w:rPr>
          <w:rFonts w:ascii="Times New Roman" w:cs="Times New Roman" w:eastAsia="Times New Roman" w:hAnsi="Times New Roman"/>
          <w:sz w:val="22"/>
          <w:szCs w:val="22"/>
          <w:color w:val="auto"/>
        </w:rPr>
        <w:t>”), by or on behalf of such indemnitee, to repay all amounts so advanced if it shall ultimately be determined by final judicial decision of a court of competent jurisdiction from which there is no further right to appeal (hereinafter a “</w:t>
      </w:r>
      <w:r>
        <w:rPr>
          <w:rFonts w:ascii="Times New Roman" w:cs="Times New Roman" w:eastAsia="Times New Roman" w:hAnsi="Times New Roman"/>
          <w:sz w:val="22"/>
          <w:szCs w:val="22"/>
          <w:u w:val="single" w:color="auto"/>
          <w:color w:val="auto"/>
        </w:rPr>
        <w:t>final adjudication</w:t>
      </w:r>
      <w:r>
        <w:rPr>
          <w:rFonts w:ascii="Times New Roman" w:cs="Times New Roman" w:eastAsia="Times New Roman" w:hAnsi="Times New Roman"/>
          <w:sz w:val="22"/>
          <w:szCs w:val="22"/>
          <w:color w:val="auto"/>
        </w:rPr>
        <w:t>”) that such indemnitee is not entitled to be indemnified for such expenses under this Article VI or otherwise.</w:t>
      </w:r>
    </w:p>
    <w:p>
      <w:pPr>
        <w:spacing w:after="0" w:line="221" w:lineRule="exact"/>
        <w:rPr>
          <w:sz w:val="20"/>
          <w:szCs w:val="20"/>
          <w:color w:val="auto"/>
        </w:rPr>
      </w:pPr>
    </w:p>
    <w:p>
      <w:pPr>
        <w:ind w:firstLine="1292"/>
        <w:spacing w:after="0" w:line="272" w:lineRule="auto"/>
        <w:tabs>
          <w:tab w:leader="none" w:pos="1831" w:val="left"/>
        </w:tabs>
        <w:numPr>
          <w:ilvl w:val="0"/>
          <w:numId w:val="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receive an advancement of expenses under this Section 6.2, an indemnitee shall submit a written request to the Secretary of the Corporation. Such request shall reasonably evidence the expenses incurred by the indemnitee and shall include or be accompanied by the undertaking required by Section 6.2(a). Each such advancement of expenses shall be made within 20 days after the receipt by the Secretary of the Corporation of a written request for advancement of expenses.</w:t>
      </w:r>
    </w:p>
    <w:p>
      <w:pPr>
        <w:spacing w:after="0" w:line="201" w:lineRule="exact"/>
        <w:rPr>
          <w:rFonts w:ascii="Times New Roman" w:cs="Times New Roman" w:eastAsia="Times New Roman" w:hAnsi="Times New Roman"/>
          <w:sz w:val="21"/>
          <w:szCs w:val="21"/>
          <w:color w:val="010000"/>
        </w:rPr>
      </w:pPr>
    </w:p>
    <w:p>
      <w:pPr>
        <w:ind w:right="200" w:firstLine="1292"/>
        <w:spacing w:after="0" w:line="248" w:lineRule="auto"/>
        <w:tabs>
          <w:tab w:leader="none" w:pos="1833"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Section 6.2(a), the Corporation shall not make or continue to make advancements of expenses to an indemnitee (except by reason of the fact that the indemnitee is or was a director of the Corporation or, while a director of the Corporation, is or was serving at the request of the Corporation as a director, officer, employee or agent of another enterprise, in which event this Section 6.2(c) shall not apply) if a determination is reasonably made that the facts known at the time such determination is made demonstrate clearly and convincingly that the indemnitee acted in bad faith or in a manner that the indemnitee did not reasonably believe to be in or not opposed to the best interests of the Corporation, or, with respect to any criminal proceeding, that the indemnitee had reasonable cause to believe his or her conduct was unlawful. Such determination shall be made: (i) by the Board of Directors by a majority vote of directors who are not parties to such proceeding, whether or not such majority constitutes a quorum; (ii) by a committee of such directors designated by a majority vote of such directors, whether or not such majority constitutes a quorum; or (iii) if there are no such directors, or if such directors so direct, by independent legal counsel in a written opinion to the Board of Directors, a copy of which shall be delivered to the indemnitee.</w:t>
      </w:r>
    </w:p>
    <w:p>
      <w:pPr>
        <w:spacing w:after="0" w:line="225"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Section 6.3 </w:t>
      </w:r>
      <w:r>
        <w:rPr>
          <w:rFonts w:ascii="Times New Roman" w:cs="Times New Roman" w:eastAsia="Times New Roman" w:hAnsi="Times New Roman"/>
          <w:sz w:val="22"/>
          <w:szCs w:val="22"/>
          <w:u w:val="single" w:color="auto"/>
          <w:color w:val="000000"/>
        </w:rPr>
        <w:t>Right of Indemnitee to Bring Suit</w:t>
      </w:r>
      <w:r>
        <w:rPr>
          <w:rFonts w:ascii="Times New Roman" w:cs="Times New Roman" w:eastAsia="Times New Roman" w:hAnsi="Times New Roman"/>
          <w:sz w:val="22"/>
          <w:szCs w:val="22"/>
          <w:color w:val="000000"/>
        </w:rPr>
        <w:t>. In the event that a determination is made that the indemnitee is not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entitled to indemnification or if payment is not timely made following a determination of entitlement to indemnification pursuant to Section 6.1(b) or if an advancement of expenses is not timely made under Section 6.2(b), the indemnitee may at any time thereafter bring suit against the Corporation in a court of competent jurisdiction in the State of Delaware seeking an adjudication of entitlement to such indemnification or advancement of expenses. If successful in whole or in part in any such suit, or in a suit brought by the Corporation to recover an advancement of expenses pursuant to the terms of an undertaking, the indemnitee shall be entitled to be paid also the expense of prosecuting or defending such suit to the fullest extent permitted by law. In any suit brought by the indemnitee to enforce a right to indemnification hereunder (but not in a suit brought by the indemnitee to enforce a right to an advancement of expenses) it shall be a defense that the indemnitee has not met any applicable standard of conduct for indemnification set forth in the DGCL. Further,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120"/>
          </w:cols>
          <w:pgMar w:left="440" w:top="1440" w:right="339" w:bottom="1440" w:gutter="0" w:footer="0" w:header="0"/>
        </w:sectPr>
      </w:pPr>
    </w:p>
    <w:bookmarkStart w:id="111" w:name="page112"/>
    <w:bookmarkEnd w:id="111"/>
    <w:p>
      <w:pPr>
        <w:spacing w:after="0" w:line="9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2"/>
          <w:szCs w:val="22"/>
          <w:color w:val="auto"/>
        </w:rPr>
        <w:t>any suit brought by the Corporation to recover an advancement of expenses pursuant to the terms of an undertaking, the Corporation shall be entitled to recover such expenses upon a final adjudication that the indemnitee has not met any applicable standard of conduct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applicable law, this Article VI or otherwise shall be on the Corporation.</w:t>
      </w:r>
    </w:p>
    <w:p>
      <w:pPr>
        <w:spacing w:after="0" w:line="233"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Section 6.4 </w:t>
      </w:r>
      <w:r>
        <w:rPr>
          <w:rFonts w:ascii="Times New Roman" w:cs="Times New Roman" w:eastAsia="Times New Roman" w:hAnsi="Times New Roman"/>
          <w:sz w:val="22"/>
          <w:szCs w:val="22"/>
          <w:u w:val="single" w:color="auto"/>
          <w:color w:val="000000"/>
        </w:rPr>
        <w:t>Non-Exclusivity of Rights</w:t>
      </w:r>
      <w:r>
        <w:rPr>
          <w:rFonts w:ascii="Times New Roman" w:cs="Times New Roman" w:eastAsia="Times New Roman" w:hAnsi="Times New Roman"/>
          <w:sz w:val="22"/>
          <w:szCs w:val="22"/>
          <w:color w:val="000000"/>
        </w:rPr>
        <w:t>. The rights to indemnification and to the advancement of expenses conferred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Article VI shall not be exclusive of any other right which any person may have or hereafter acquire under any law, agreement (including any partnership agreement or limited liability company agreement), vote of stockholders or disinterested directors, provisions of a certificate of incorporation or bylaws, or otherwise.</w:t>
      </w:r>
    </w:p>
    <w:p>
      <w:pPr>
        <w:spacing w:after="0" w:line="220" w:lineRule="exact"/>
        <w:rPr>
          <w:sz w:val="20"/>
          <w:szCs w:val="20"/>
          <w:color w:val="auto"/>
        </w:rPr>
      </w:pPr>
    </w:p>
    <w:p>
      <w:pPr>
        <w:ind w:right="560" w:firstLine="648"/>
        <w:spacing w:after="0" w:line="268" w:lineRule="auto"/>
        <w:rPr>
          <w:sz w:val="20"/>
          <w:szCs w:val="20"/>
          <w:color w:val="auto"/>
        </w:rPr>
      </w:pPr>
      <w:r>
        <w:rPr>
          <w:rFonts w:ascii="Times New Roman" w:cs="Times New Roman" w:eastAsia="Times New Roman" w:hAnsi="Times New Roman"/>
          <w:sz w:val="21"/>
          <w:szCs w:val="21"/>
          <w:color w:val="010000"/>
        </w:rPr>
        <w:t xml:space="preserve">Section 6.5 </w:t>
      </w:r>
      <w:r>
        <w:rPr>
          <w:rFonts w:ascii="Times New Roman" w:cs="Times New Roman" w:eastAsia="Times New Roman" w:hAnsi="Times New Roman"/>
          <w:sz w:val="21"/>
          <w:szCs w:val="21"/>
          <w:u w:val="single" w:color="auto"/>
          <w:color w:val="000000"/>
        </w:rPr>
        <w:t>Insurance</w:t>
      </w:r>
      <w:r>
        <w:rPr>
          <w:rFonts w:ascii="Times New Roman" w:cs="Times New Roman" w:eastAsia="Times New Roman" w:hAnsi="Times New Roman"/>
          <w:sz w:val="21"/>
          <w:szCs w:val="21"/>
          <w:color w:val="000000"/>
        </w:rPr>
        <w:t>. The Corporation may maintain insurance, at its expense, to protect itself and any director,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officer, employee, agent or fiduciary of the Corporation or another corporation, partnership, joint venture, trust or other enterprise, including the General Partner and the Partnership, against any expense, liability or loss, whether or not the Corporation would have the power to indemnify such person against such expense, liability or loss under the DGCL.</w:t>
      </w:r>
    </w:p>
    <w:p>
      <w:pPr>
        <w:spacing w:after="0" w:line="204" w:lineRule="exact"/>
        <w:rPr>
          <w:sz w:val="20"/>
          <w:szCs w:val="20"/>
          <w:color w:val="auto"/>
        </w:rPr>
      </w:pPr>
    </w:p>
    <w:p>
      <w:pPr>
        <w:ind w:right="220"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6.6 </w:t>
      </w:r>
      <w:r>
        <w:rPr>
          <w:rFonts w:ascii="Times New Roman" w:cs="Times New Roman" w:eastAsia="Times New Roman" w:hAnsi="Times New Roman"/>
          <w:sz w:val="22"/>
          <w:szCs w:val="22"/>
          <w:u w:val="single" w:color="auto"/>
          <w:color w:val="000000"/>
        </w:rPr>
        <w:t>Indemnification of Employees and Agents of the Corporation</w:t>
      </w:r>
      <w:r>
        <w:rPr>
          <w:rFonts w:ascii="Times New Roman" w:cs="Times New Roman" w:eastAsia="Times New Roman" w:hAnsi="Times New Roman"/>
          <w:sz w:val="22"/>
          <w:szCs w:val="22"/>
          <w:color w:val="000000"/>
        </w:rPr>
        <w:t>. The Corporation may, to the extent and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manner permitted by law, and to the extent authorized from time to time, grant rights to indemnification and to the advancement of expenses to any employee, agent or fiduciary of the Corporation.</w:t>
      </w:r>
    </w:p>
    <w:p>
      <w:pPr>
        <w:spacing w:after="0" w:line="19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Section 6.7 </w:t>
      </w:r>
      <w:r>
        <w:rPr>
          <w:rFonts w:ascii="Times New Roman" w:cs="Times New Roman" w:eastAsia="Times New Roman" w:hAnsi="Times New Roman"/>
          <w:sz w:val="22"/>
          <w:szCs w:val="22"/>
          <w:u w:val="single" w:color="auto"/>
          <w:color w:val="000000"/>
        </w:rPr>
        <w:t>Nature of Rights</w:t>
      </w:r>
      <w:r>
        <w:rPr>
          <w:rFonts w:ascii="Times New Roman" w:cs="Times New Roman" w:eastAsia="Times New Roman" w:hAnsi="Times New Roman"/>
          <w:sz w:val="22"/>
          <w:szCs w:val="22"/>
          <w:color w:val="000000"/>
        </w:rPr>
        <w:t>. The rights conferred upon indemnitees in this Article VI shall be contract rights and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rights shall continue as to an indemnitee who has ceased to be a director or officer and shall inure to the benefit of the indemnitee’s heirs, executors and administrators. Any amendment, alteration or repeal of this Article VI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080"/>
          </w:cols>
          <w:pgMar w:left="440" w:top="1440" w:right="379" w:bottom="1440" w:gutter="0" w:footer="0" w:header="0"/>
        </w:sectPr>
      </w:pPr>
    </w:p>
    <w:bookmarkStart w:id="112" w:name="page113"/>
    <w:bookmarkEnd w:id="112"/>
    <w:p>
      <w:pPr>
        <w:spacing w:after="0" w:line="9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Section 6.8 </w:t>
      </w:r>
      <w:r>
        <w:rPr>
          <w:rFonts w:ascii="Times New Roman" w:cs="Times New Roman" w:eastAsia="Times New Roman" w:hAnsi="Times New Roman"/>
          <w:sz w:val="22"/>
          <w:szCs w:val="22"/>
          <w:u w:val="single" w:color="auto"/>
          <w:color w:val="000000"/>
        </w:rPr>
        <w:t>Settlement of Claims</w:t>
      </w:r>
      <w:r>
        <w:rPr>
          <w:rFonts w:ascii="Times New Roman" w:cs="Times New Roman" w:eastAsia="Times New Roman" w:hAnsi="Times New Roman"/>
          <w:sz w:val="22"/>
          <w:szCs w:val="22"/>
          <w:color w:val="000000"/>
        </w:rPr>
        <w:t>. Notwithstanding anything in this Article VI to the contrary, the Corporation shall not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 liable to indemnify any indemnitee under this Article VI for any amounts paid in settlement of any proceeding effected without the Corporation’s written consent, which consent shall not be unreasonably withheld.</w:t>
      </w:r>
    </w:p>
    <w:p>
      <w:pPr>
        <w:spacing w:after="0" w:line="213"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1"/>
          <w:szCs w:val="21"/>
          <w:color w:val="010000"/>
        </w:rPr>
        <w:t xml:space="preserve">Section 6.9 </w:t>
      </w:r>
      <w:r>
        <w:rPr>
          <w:rFonts w:ascii="Times New Roman" w:cs="Times New Roman" w:eastAsia="Times New Roman" w:hAnsi="Times New Roman"/>
          <w:sz w:val="21"/>
          <w:szCs w:val="21"/>
          <w:u w:val="single" w:color="auto"/>
          <w:color w:val="000000"/>
        </w:rPr>
        <w:t>Subrogation</w:t>
      </w:r>
      <w:r>
        <w:rPr>
          <w:rFonts w:ascii="Times New Roman" w:cs="Times New Roman" w:eastAsia="Times New Roman" w:hAnsi="Times New Roman"/>
          <w:sz w:val="21"/>
          <w:szCs w:val="21"/>
          <w:color w:val="000000"/>
        </w:rPr>
        <w:t>. In the event of payment under this Article VI, the Corporation shall be subrogated to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extent of such payment to all of the rights of recovery of the indemnitee (excluding insurance obtained on the indemnitee’s own behalf), and the indemnitee shall execute all papers required and shall do everything that may be necessary to secure such rights, including the execution of such documents necessary to enable the Corporation effectively to bring suit to enforce such rights.</w:t>
      </w:r>
    </w:p>
    <w:p>
      <w:pPr>
        <w:spacing w:after="0" w:line="204"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Section 6.10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If any provision or provisions of this Article VI shall be held to be invalid, illegal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unenforceable as applied to any person or entity or circumstance for any reason whatsoever, then, to the fullest extent permitted by law: (a) the validity, legality and enforceability of such provision in any other circumstance and of the remaining provisions of this Article VI (including, without limitation, all portions of any paragraph of this Article VI containing any such provision held to be invalid, illegal or unenforceable, that are not by themselves invalid, illegal or unenforceable) and the application of such provision to other persons or entities or circumstances shall not in any way be affected or impaired thereby; and (b) to the fullest extent possible, the provisions of this Article VI (including, without limitation, all portions of any paragraph of this Article VI containing any such provision held to be invalid, illegal or unenforceable, that are not themselves invalid, illegal or unenforceable) shall be construed so as to give effect to the intent of the parties that the Corporation provide protection to the indemnitee to the fullest extent set forth in this Article VI.</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010000"/>
        </w:rPr>
        <w:t>ARTICLE VII</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CAPITAL STOCK</w:t>
      </w:r>
    </w:p>
    <w:p>
      <w:pPr>
        <w:spacing w:after="0" w:line="196" w:lineRule="exact"/>
        <w:rPr>
          <w:sz w:val="20"/>
          <w:szCs w:val="20"/>
          <w:color w:val="auto"/>
        </w:rPr>
      </w:pPr>
    </w:p>
    <w:p>
      <w:pPr>
        <w:jc w:val="center"/>
        <w:ind w:right="180"/>
        <w:spacing w:after="0"/>
        <w:tabs>
          <w:tab w:leader="none" w:pos="200" w:val="left"/>
        </w:tabs>
        <w:rPr>
          <w:sz w:val="20"/>
          <w:szCs w:val="20"/>
          <w:color w:val="auto"/>
        </w:rPr>
      </w:pPr>
      <w:r>
        <w:rPr>
          <w:rFonts w:ascii="Times New Roman" w:cs="Times New Roman" w:eastAsia="Times New Roman" w:hAnsi="Times New Roman"/>
          <w:sz w:val="22"/>
          <w:szCs w:val="22"/>
          <w:color w:val="010000"/>
        </w:rPr>
        <w:t>Section 7.1</w:t>
      </w:r>
      <w:r>
        <w:rPr>
          <w:sz w:val="20"/>
          <w:szCs w:val="20"/>
          <w:color w:val="auto"/>
        </w:rPr>
        <w:tab/>
      </w:r>
      <w:r>
        <w:rPr>
          <w:rFonts w:ascii="Times New Roman" w:cs="Times New Roman" w:eastAsia="Times New Roman" w:hAnsi="Times New Roman"/>
          <w:sz w:val="21"/>
          <w:szCs w:val="21"/>
          <w:u w:val="single" w:color="auto"/>
          <w:color w:val="auto"/>
        </w:rPr>
        <w:t>Certificates of Stock</w:t>
      </w:r>
      <w:r>
        <w:rPr>
          <w:rFonts w:ascii="Times New Roman" w:cs="Times New Roman" w:eastAsia="Times New Roman" w:hAnsi="Times New Roman"/>
          <w:sz w:val="21"/>
          <w:szCs w:val="21"/>
          <w:color w:val="auto"/>
        </w:rPr>
        <w:t>. The shares of the Corporation shall be represented by certificates;</w:t>
      </w:r>
      <w:r>
        <w:rPr>
          <w:rFonts w:ascii="Times New Roman" w:cs="Times New Roman" w:eastAsia="Times New Roman" w:hAnsi="Times New Roman"/>
          <w:sz w:val="21"/>
          <w:szCs w:val="21"/>
          <w:u w:val="single" w:color="auto"/>
          <w:color w:val="auto"/>
        </w:rPr>
        <w:t xml:space="preserve"> provided</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authorized officers of the Corporation certifying the number of shares owned by such holder in the Corporation. Each of the Chief Executive Officer, the Chief Financial Officer, the Chief Operating Officer, the President, the Chief Accounting Officer, the Treasurer, the Controller, the Secretary, or an Assistant Treasurer or Assistant Secretary shall be deemed to have the authority to sign stock certificates. Any or all such signatures may be facsimiles or otherwise electronic signatures.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100"/>
          </w:cols>
          <w:pgMar w:left="440" w:top="1440" w:right="359" w:bottom="1440" w:gutter="0" w:footer="0" w:header="0"/>
        </w:sectPr>
      </w:pPr>
    </w:p>
    <w:bookmarkStart w:id="113" w:name="page114"/>
    <w:bookmarkEnd w:id="113"/>
    <w:p>
      <w:pPr>
        <w:spacing w:after="0" w:line="90"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Section 7.2 </w:t>
      </w:r>
      <w:r>
        <w:rPr>
          <w:rFonts w:ascii="Times New Roman" w:cs="Times New Roman" w:eastAsia="Times New Roman" w:hAnsi="Times New Roman"/>
          <w:sz w:val="22"/>
          <w:szCs w:val="22"/>
          <w:u w:val="single" w:color="auto"/>
          <w:color w:val="000000"/>
        </w:rPr>
        <w:t>Special Designation on Certificates</w:t>
      </w:r>
      <w:r>
        <w:rPr>
          <w:rFonts w:ascii="Times New Roman" w:cs="Times New Roman" w:eastAsia="Times New Roman" w:hAnsi="Times New Roman"/>
          <w:sz w:val="22"/>
          <w:szCs w:val="22"/>
          <w:color w:val="000000"/>
        </w:rPr>
        <w:t>. If the Corporation is authorized to issue more than one class of stock</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7.2 or Sections 151, 156, 202(a) or 218(a) of the DGCL or with respect to this Section 7.2 and Section 151 of the DGCL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21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7.3 </w:t>
      </w:r>
      <w:r>
        <w:rPr>
          <w:rFonts w:ascii="Times New Roman" w:cs="Times New Roman" w:eastAsia="Times New Roman" w:hAnsi="Times New Roman"/>
          <w:sz w:val="22"/>
          <w:szCs w:val="22"/>
          <w:u w:val="single" w:color="auto"/>
          <w:color w:val="000000"/>
        </w:rPr>
        <w:t>Transfers of Stock</w:t>
      </w:r>
      <w:r>
        <w:rPr>
          <w:rFonts w:ascii="Times New Roman" w:cs="Times New Roman" w:eastAsia="Times New Roman" w:hAnsi="Times New Roman"/>
          <w:sz w:val="22"/>
          <w:szCs w:val="22"/>
          <w:color w:val="000000"/>
        </w:rPr>
        <w:t>. Transfers of shares of stock of the Corporation shall be made only on the books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Corporation upon authorization by the registered holder thereof or by such holder’s attorney thereunto authorized by a power of attorney duly executed and filed with the Secretary of the Corporation or a transfer agent for such stock, and if such shares are represented by a certificate, upon surrender of the certificate or certificates for such shares properly endorsed or accompanied by a duly executed stock transfer power and the payment of any taxes thereon;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the Corporation shall be entitled to recognize and enforce any lawful restriction on transfer. Transfers may also be made in any manner authorized by the Corporation (or its authorized transfer agent) and permitted by Section 224 of the DGCL.</w:t>
      </w:r>
    </w:p>
    <w:p>
      <w:pPr>
        <w:spacing w:after="0" w:line="2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7.4 </w:t>
      </w:r>
      <w:r>
        <w:rPr>
          <w:rFonts w:ascii="Times New Roman" w:cs="Times New Roman" w:eastAsia="Times New Roman" w:hAnsi="Times New Roman"/>
          <w:sz w:val="22"/>
          <w:szCs w:val="22"/>
          <w:u w:val="single" w:color="auto"/>
          <w:color w:val="000000"/>
        </w:rPr>
        <w:t>Lost Certificates</w:t>
      </w:r>
      <w:r>
        <w:rPr>
          <w:rFonts w:ascii="Times New Roman" w:cs="Times New Roman" w:eastAsia="Times New Roman" w:hAnsi="Times New Roman"/>
          <w:sz w:val="22"/>
          <w:szCs w:val="22"/>
          <w:color w:val="000000"/>
        </w:rPr>
        <w:t>. The Corporation may issue a new share certificate or uncertificated shares in the place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certificate theretofore issued by it, alleged to have been lost, stolen or destroyed, and the Corporation may require the owner of the lost, stolen or destroyed certificate or the owner’s legal representative to give the Corporation a bond (or other adequate security) sufficient to indemnify it against any claim that may be made against it (including any expense or liability) on account of the alleged loss, theft or destruction of any such certificate or the issuance of such new certificate or uncertificated shares. The Board of Directors may adopt such other provisions and restrictions with reference to lost certificates, not inconsistent with applicable law, as it shall in its discretion deem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120"/>
          </w:cols>
          <w:pgMar w:left="440" w:top="1440" w:right="339" w:bottom="1440" w:gutter="0" w:footer="0" w:header="0"/>
        </w:sectPr>
      </w:pPr>
    </w:p>
    <w:bookmarkStart w:id="114" w:name="page115"/>
    <w:bookmarkEnd w:id="114"/>
    <w:p>
      <w:pPr>
        <w:spacing w:after="0" w:line="333" w:lineRule="exact"/>
        <w:rPr>
          <w:sz w:val="20"/>
          <w:szCs w:val="20"/>
          <w:color w:val="auto"/>
        </w:rPr>
      </w:pPr>
    </w:p>
    <w:p>
      <w:pPr>
        <w:ind w:right="400"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Section 7.5 </w:t>
      </w:r>
      <w:r>
        <w:rPr>
          <w:rFonts w:ascii="Times New Roman" w:cs="Times New Roman" w:eastAsia="Times New Roman" w:hAnsi="Times New Roman"/>
          <w:sz w:val="22"/>
          <w:szCs w:val="22"/>
          <w:u w:val="single" w:color="auto"/>
          <w:color w:val="000000"/>
        </w:rPr>
        <w:t>Registered Stockholders</w:t>
      </w:r>
      <w:r>
        <w:rPr>
          <w:rFonts w:ascii="Times New Roman" w:cs="Times New Roman" w:eastAsia="Times New Roman" w:hAnsi="Times New Roman"/>
          <w:sz w:val="22"/>
          <w:szCs w:val="22"/>
          <w:color w:val="000000"/>
        </w:rPr>
        <w:t>. The Corporation shall be entitled to recognize the exclusive right of a person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217"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22"/>
          <w:szCs w:val="22"/>
          <w:color w:val="010000"/>
        </w:rPr>
        <w:t>Section 7.6</w:t>
      </w:r>
      <w:r>
        <w:rPr>
          <w:sz w:val="20"/>
          <w:szCs w:val="20"/>
          <w:color w:val="auto"/>
        </w:rPr>
        <w:tab/>
      </w:r>
      <w:r>
        <w:rPr>
          <w:rFonts w:ascii="Times New Roman" w:cs="Times New Roman" w:eastAsia="Times New Roman" w:hAnsi="Times New Roman"/>
          <w:sz w:val="21"/>
          <w:szCs w:val="21"/>
          <w:u w:val="single" w:color="auto"/>
          <w:color w:val="auto"/>
        </w:rPr>
        <w:t>Record Date for Determining Stockholders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firstLine="1292"/>
        <w:spacing w:after="0" w:line="247" w:lineRule="auto"/>
        <w:tabs>
          <w:tab w:leader="none" w:pos="1833"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order that the Corporation may determine the stockholders entitled to notice of any meeting of stockholders or any adjourned meeting, the Board of Directors may fix a record date, which record date shall not precede the date upon which the resolution fixing the record date is adopted by the Board of Directors, and which record date shall, unless otherwise required by law,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adjourned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29" w:lineRule="exact"/>
        <w:rPr>
          <w:rFonts w:ascii="Times New Roman" w:cs="Times New Roman" w:eastAsia="Times New Roman" w:hAnsi="Times New Roman"/>
          <w:sz w:val="22"/>
          <w:szCs w:val="22"/>
          <w:color w:val="010000"/>
        </w:rPr>
      </w:pPr>
    </w:p>
    <w:p>
      <w:pPr>
        <w:ind w:right="100" w:firstLine="1292"/>
        <w:spacing w:after="0" w:line="250" w:lineRule="auto"/>
        <w:tabs>
          <w:tab w:leader="none" w:pos="1831"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shall not be more than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221"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Section 7.7 </w:t>
      </w:r>
      <w:r>
        <w:rPr>
          <w:rFonts w:ascii="Times New Roman" w:cs="Times New Roman" w:eastAsia="Times New Roman" w:hAnsi="Times New Roman"/>
          <w:sz w:val="22"/>
          <w:szCs w:val="22"/>
          <w:u w:val="single" w:color="auto"/>
          <w:color w:val="000000"/>
        </w:rPr>
        <w:t>Regulations</w:t>
      </w:r>
      <w:r>
        <w:rPr>
          <w:rFonts w:ascii="Times New Roman" w:cs="Times New Roman" w:eastAsia="Times New Roman" w:hAnsi="Times New Roman"/>
          <w:sz w:val="22"/>
          <w:szCs w:val="22"/>
          <w:color w:val="000000"/>
        </w:rPr>
        <w:t>. To the extent permitted by applicable law, the Board of Directors may make such additional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rules and regulations as it may deem expedient concerning the issue, transfer and registration of shares of stock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120"/>
          </w:cols>
          <w:pgMar w:left="440" w:top="1440" w:right="339" w:bottom="1440" w:gutter="0" w:footer="0" w:header="0"/>
        </w:sectPr>
      </w:pPr>
    </w:p>
    <w:bookmarkStart w:id="115" w:name="page116"/>
    <w:bookmarkEnd w:id="115"/>
    <w:p>
      <w:pPr>
        <w:spacing w:after="0" w:line="9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1"/>
          <w:szCs w:val="21"/>
          <w:color w:val="010000"/>
        </w:rPr>
        <w:t xml:space="preserve">Section 7.8 </w:t>
      </w:r>
      <w:r>
        <w:rPr>
          <w:rFonts w:ascii="Times New Roman" w:cs="Times New Roman" w:eastAsia="Times New Roman" w:hAnsi="Times New Roman"/>
          <w:sz w:val="21"/>
          <w:szCs w:val="21"/>
          <w:u w:val="single" w:color="auto"/>
          <w:color w:val="000000"/>
        </w:rPr>
        <w:t>Waiver of Notice</w:t>
      </w:r>
      <w:r>
        <w:rPr>
          <w:rFonts w:ascii="Times New Roman" w:cs="Times New Roman" w:eastAsia="Times New Roman" w:hAnsi="Times New Roman"/>
          <w:sz w:val="21"/>
          <w:szCs w:val="21"/>
          <w:color w:val="000000"/>
        </w:rPr>
        <w:t>. Whenever notice is required to be given under any provision of the DGCL or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Certificate of Incorporation or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the Board of Directors or a committee of the Board of Directors need be specified in any written waiver of notice or any waiver by electronic transmission unless so required by the Certificate of Incorporation or these Bylaws.</w:t>
      </w:r>
    </w:p>
    <w:p>
      <w:pPr>
        <w:spacing w:after="0" w:line="1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010000"/>
        </w:rPr>
        <w:t>ARTICLE VIII</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209"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22"/>
          <w:szCs w:val="22"/>
          <w:color w:val="010000"/>
        </w:rPr>
        <w:t>Section 8.1</w:t>
      </w:r>
      <w:r>
        <w:rPr>
          <w:sz w:val="20"/>
          <w:szCs w:val="20"/>
          <w:color w:val="auto"/>
        </w:rPr>
        <w:tab/>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The fiscal year of the Corporation shall be as fixed by the Board of Directors.</w:t>
      </w:r>
    </w:p>
    <w:p>
      <w:pPr>
        <w:spacing w:after="0" w:line="260" w:lineRule="exact"/>
        <w:rPr>
          <w:sz w:val="20"/>
          <w:szCs w:val="20"/>
          <w:color w:val="auto"/>
        </w:rPr>
      </w:pPr>
    </w:p>
    <w:p>
      <w:pPr>
        <w:ind w:right="260"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Section 8.2 </w:t>
      </w:r>
      <w:r>
        <w:rPr>
          <w:rFonts w:ascii="Times New Roman" w:cs="Times New Roman" w:eastAsia="Times New Roman" w:hAnsi="Times New Roman"/>
          <w:sz w:val="22"/>
          <w:szCs w:val="22"/>
          <w:u w:val="single" w:color="auto"/>
          <w:color w:val="000000"/>
        </w:rPr>
        <w:t>Corporate Seal</w:t>
      </w:r>
      <w:r>
        <w:rPr>
          <w:rFonts w:ascii="Times New Roman" w:cs="Times New Roman" w:eastAsia="Times New Roman" w:hAnsi="Times New Roman"/>
          <w:sz w:val="22"/>
          <w:szCs w:val="22"/>
          <w:color w:val="000000"/>
        </w:rPr>
        <w:t>. The Board of Directors may provide a suitable seal, containing the name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Corporation, which seal shall be in the charge of the Secretary of the Corporation. If and when so directed by the Board of Directors or a committee thereof, duplicates of the seal may be kept and used by the Treasurer or by an Assistant Secretary or Assistant Treasurer.</w:t>
      </w:r>
    </w:p>
    <w:p>
      <w:pPr>
        <w:spacing w:after="0" w:line="22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Section 8.3 </w:t>
      </w:r>
      <w:r>
        <w:rPr>
          <w:rFonts w:ascii="Times New Roman" w:cs="Times New Roman" w:eastAsia="Times New Roman" w:hAnsi="Times New Roman"/>
          <w:sz w:val="22"/>
          <w:szCs w:val="22"/>
          <w:u w:val="single" w:color="auto"/>
          <w:color w:val="000000"/>
        </w:rPr>
        <w:t>Reliance upon Books, Reports and Records</w:t>
      </w:r>
      <w:r>
        <w:rPr>
          <w:rFonts w:ascii="Times New Roman" w:cs="Times New Roman" w:eastAsia="Times New Roman" w:hAnsi="Times New Roman"/>
          <w:sz w:val="22"/>
          <w:szCs w:val="22"/>
          <w:color w:val="000000"/>
        </w:rPr>
        <w:t>. Each director and each member of any committee designated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by the Board of Directors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222"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Section 8.4 </w:t>
      </w:r>
      <w:r>
        <w:rPr>
          <w:rFonts w:ascii="Times New Roman" w:cs="Times New Roman" w:eastAsia="Times New Roman" w:hAnsi="Times New Roman"/>
          <w:sz w:val="22"/>
          <w:szCs w:val="22"/>
          <w:u w:val="single" w:color="auto"/>
          <w:color w:val="000000"/>
        </w:rPr>
        <w:t>Subject to Law and Certificate of Incorporation</w:t>
      </w:r>
      <w:r>
        <w:rPr>
          <w:rFonts w:ascii="Times New Roman" w:cs="Times New Roman" w:eastAsia="Times New Roman" w:hAnsi="Times New Roman"/>
          <w:sz w:val="22"/>
          <w:szCs w:val="22"/>
          <w:color w:val="000000"/>
        </w:rPr>
        <w:t>. All powers, duties and responsibilities provided for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these Bylaws, whether or not explicitly so qualified, are qualified by the Certificate of Incorporation (including any Preferred Stock Designation) and applicable law.</w:t>
      </w:r>
    </w:p>
    <w:p>
      <w:pPr>
        <w:spacing w:after="0" w:line="2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Section 8.5 </w:t>
      </w:r>
      <w:r>
        <w:rPr>
          <w:rFonts w:ascii="Times New Roman" w:cs="Times New Roman" w:eastAsia="Times New Roman" w:hAnsi="Times New Roman"/>
          <w:sz w:val="22"/>
          <w:szCs w:val="22"/>
          <w:u w:val="single" w:color="auto"/>
          <w:color w:val="000000"/>
        </w:rPr>
        <w:t>Electronic Signatures, etc</w:t>
      </w:r>
      <w:r>
        <w:rPr>
          <w:rFonts w:ascii="Times New Roman" w:cs="Times New Roman" w:eastAsia="Times New Roman" w:hAnsi="Times New Roman"/>
          <w:sz w:val="22"/>
          <w:szCs w:val="22"/>
          <w:color w:val="000000"/>
        </w:rPr>
        <w:t>. Except as otherwise required by the Certificate of Incorporation (including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otherwise required by any Preferred Stock Designation) or these Bylaws (including, without limitation, as otherwise required by Section 2.14), any document, including, without limitation, any consent, agreement, certificate or instrument, required by the DGCL, the Certificate of Incorporation (including any Preferred Stock Designation) or these Bylaws to be executed by any officer, director, stockholder, employee or agent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100"/>
          </w:cols>
          <w:pgMar w:left="440" w:top="1440" w:right="359" w:bottom="1440" w:gutter="0" w:footer="0" w:header="0"/>
        </w:sectPr>
      </w:pPr>
    </w:p>
    <w:bookmarkStart w:id="116" w:name="page117"/>
    <w:bookmarkEnd w:id="116"/>
    <w:p>
      <w:pPr>
        <w:spacing w:after="0" w:line="17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color w:val="auto"/>
        </w:rPr>
        <w:t>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 The terms “electronic mail,” “electronic mail address,” “electronic signature” and “electronic transmission” as used herein shall have the meanings ascribed thereto in the DGCL.</w:t>
      </w:r>
    </w:p>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010000"/>
        </w:rPr>
        <w:t>ARTICLE IX</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9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Section 9.1 </w:t>
      </w:r>
      <w:r>
        <w:rPr>
          <w:rFonts w:ascii="Times New Roman" w:cs="Times New Roman" w:eastAsia="Times New Roman" w:hAnsi="Times New Roman"/>
          <w:sz w:val="22"/>
          <w:szCs w:val="22"/>
          <w:u w:val="single" w:color="auto"/>
          <w:color w:val="000000"/>
        </w:rPr>
        <w:t>Amendments</w:t>
      </w:r>
      <w:r>
        <w:rPr>
          <w:rFonts w:ascii="Times New Roman" w:cs="Times New Roman" w:eastAsia="Times New Roman" w:hAnsi="Times New Roman"/>
          <w:sz w:val="22"/>
          <w:szCs w:val="22"/>
          <w:color w:val="000000"/>
        </w:rPr>
        <w:t>. In furtherance and not in limitation of the powers conferred by the laws of the State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Delaware, the Board of Directors is expressly authorized to adopt, amend or repeal these Bylaws. Subject to any greater or additional vote provided in the Certificate of Incorporation (including the terms of any Preferred Stock Designation that provides for a greater or lesser vote) or these Bylaws, and in addition to any other vote required by law, the affirmative vote of the holders of at least a majority in voting power of the outstanding stock entitled to vote thereon, voting together as a single class, shall be required for the stockholders to adopt, amend or repeal, or adopt any provision inconsistent with, any provision of these Bylaws.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The foregoing Amended and Restated Bylaws were adopted by the Board of Directors on February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100"/>
          </w:cols>
          <w:pgMar w:left="440" w:top="1440" w:right="35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STEPSTONE GROUP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LONG-TERM INCENTIVE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NOTICE OF GRANT OF AWARD OF RESTRICTED STOCK UNITS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Grant</w:t>
      </w:r>
    </w:p>
    <w:p>
      <w:pPr>
        <w:spacing w:after="0" w:line="183" w:lineRule="exact"/>
        <w:rPr>
          <w:sz w:val="20"/>
          <w:szCs w:val="20"/>
          <w:color w:val="auto"/>
        </w:rPr>
      </w:pPr>
    </w:p>
    <w:p>
      <w:pPr>
        <w:ind w:right="20" w:firstLine="992"/>
        <w:spacing w:after="0" w:line="210" w:lineRule="auto"/>
        <w:rPr>
          <w:sz w:val="20"/>
          <w:szCs w:val="20"/>
          <w:color w:val="auto"/>
        </w:rPr>
      </w:pPr>
      <w:r>
        <w:rPr>
          <w:rFonts w:ascii="Times New Roman" w:cs="Times New Roman" w:eastAsia="Times New Roman" w:hAnsi="Times New Roman"/>
          <w:sz w:val="22"/>
          <w:szCs w:val="22"/>
          <w:color w:val="auto"/>
        </w:rPr>
        <w:t>StepStone Group Inc. (the “Company”) hereby grants to the Participant named below (the “Participant” or “you”) the number of restricted stock units specified below (the “Award”). Each restricted stock unit represents the right to receive one share of the Company’s Class A common stock, par value $0.001 (the “Common Stock”), upon the terms and subject to the conditions set forth in this Grant Notice, the StepStone Group Inc. 2020 Long-Term Incentive Plan (the “Plan”), any Appendix to the Plan applicable to you (the “Appendix”) and the Global Restricted Stock Unit Award Agreement, including the additional general terms and conditions for Participants in countries outside the United States and any special terms and conditions for Participant’s country, all set forth in the addendum attached hereto (the “Addendum” and, together with the Global Restricted Stock Unit Award Agreement, the “Award Agreement”) promulgated under such Plan, each as amended from time to time. Any applicable Appendix shall be treated as part of the Plan for purposes of this Award, and any references to the Plan in this Grant Notice or the Award Agreement shall include the Appendix. Capitalized terms used but not defined herein shall have the meanings given to them in the Plan or the Award Agreement, as the case may be.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Award is granted pursuant to the Plan and is subject to and qualified in its entirety by the Award Agreement:</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22225</wp:posOffset>
            </wp:positionV>
            <wp:extent cx="27686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22225</wp:posOffset>
            </wp:positionV>
            <wp:extent cx="27686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22225</wp:posOffset>
            </wp:positionV>
            <wp:extent cx="27686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22225</wp:posOffset>
            </wp:positionV>
            <wp:extent cx="27686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Vesting Schedule</w:t>
      </w:r>
      <w:r>
        <w:rPr>
          <w:rFonts w:ascii="Times New Roman" w:cs="Times New Roman" w:eastAsia="Times New Roman" w:hAnsi="Times New Roman"/>
          <w:sz w:val="22"/>
          <w:szCs w:val="22"/>
          <w:color w:val="auto"/>
        </w:rPr>
        <w:t>:</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 of the Restricted Stock Units (which is 25% of the total Restricted Stock Units) will vest on</w:t>
            </w:r>
          </w:p>
        </w:tc>
      </w:tr>
      <w:tr>
        <w:trPr>
          <w:trHeight w:val="282"/>
        </w:trPr>
        <w:tc>
          <w:tcPr>
            <w:tcW w:w="240" w:type="dxa"/>
            <w:vAlign w:val="bottom"/>
          </w:tcPr>
          <w:p>
            <w:pPr>
              <w:spacing w:after="0"/>
              <w:rPr>
                <w:sz w:val="24"/>
                <w:szCs w:val="24"/>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[DATE];</w:t>
            </w:r>
          </w:p>
        </w:tc>
        <w:tc>
          <w:tcPr>
            <w:tcW w:w="8240" w:type="dxa"/>
            <w:vAlign w:val="bottom"/>
          </w:tcPr>
          <w:p>
            <w:pPr>
              <w:spacing w:after="0"/>
              <w:rPr>
                <w:sz w:val="24"/>
                <w:szCs w:val="24"/>
                <w:color w:val="auto"/>
              </w:rPr>
            </w:pPr>
          </w:p>
        </w:tc>
      </w:tr>
      <w:tr>
        <w:trPr>
          <w:trHeight w:val="594"/>
        </w:trPr>
        <w:tc>
          <w:tcPr>
            <w:tcW w:w="2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 of the Restricted Stock Units will vest on [DATE];</w:t>
            </w:r>
          </w:p>
        </w:tc>
      </w:tr>
      <w:tr>
        <w:trPr>
          <w:trHeight w:val="608"/>
        </w:trPr>
        <w:tc>
          <w:tcPr>
            <w:tcW w:w="2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 of the Restricted Stock Units will vest on [DATE]; and</w:t>
            </w:r>
          </w:p>
        </w:tc>
      </w:tr>
      <w:tr>
        <w:trPr>
          <w:trHeight w:val="608"/>
        </w:trPr>
        <w:tc>
          <w:tcPr>
            <w:tcW w:w="2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 of the Restricted Stock Units will vest on [DATE];</w:t>
            </w:r>
          </w:p>
        </w:tc>
      </w:tr>
    </w:tbl>
    <w:p>
      <w:pPr>
        <w:spacing w:after="0" w:line="258"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subject in each case to Continuous Service through each such date. If Participant ceases Continuous Service for any or no reason before Participant vests in any portion of the Restricted</w:t>
      </w:r>
    </w:p>
    <w:p>
      <w:pPr>
        <w:sectPr>
          <w:pgSz w:w="11900" w:h="16838" w:orient="portrait"/>
          <w:cols w:equalWidth="0" w:num="1">
            <w:col w:w="11240"/>
          </w:cols>
          <w:pgMar w:left="320" w:top="98" w:right="339" w:bottom="1440" w:gutter="0" w:footer="0" w:header="0"/>
        </w:sectPr>
      </w:pPr>
    </w:p>
    <w:bookmarkStart w:id="118" w:name="page119"/>
    <w:bookmarkEnd w:id="118"/>
    <w:p>
      <w:pPr>
        <w:spacing w:after="0" w:line="17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Stock Units, the unvested Restricted Stock Units will immediately terminate; provided, however, that if Participant’s termination of Continuous Service is due to:</w:t>
      </w:r>
    </w:p>
    <w:p>
      <w:pPr>
        <w:spacing w:after="0" w:line="204" w:lineRule="exact"/>
        <w:rPr>
          <w:sz w:val="20"/>
          <w:szCs w:val="20"/>
          <w:color w:val="auto"/>
        </w:rPr>
      </w:pPr>
    </w:p>
    <w:p>
      <w:pPr>
        <w:ind w:left="1060" w:hanging="589"/>
        <w:spacing w:after="0"/>
        <w:tabs>
          <w:tab w:leader="none" w:pos="10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death or Disability, all of the Restricted Stock Units shall vest in full upon such termination; or</w:t>
      </w:r>
    </w:p>
    <w:p>
      <w:pPr>
        <w:spacing w:after="0" w:line="354" w:lineRule="exact"/>
        <w:rPr>
          <w:rFonts w:ascii="Times New Roman" w:cs="Times New Roman" w:eastAsia="Times New Roman" w:hAnsi="Times New Roman"/>
          <w:sz w:val="22"/>
          <w:szCs w:val="22"/>
          <w:color w:val="auto"/>
        </w:rPr>
      </w:pPr>
    </w:p>
    <w:p>
      <w:pPr>
        <w:ind w:left="1060" w:right="140" w:hanging="589"/>
        <w:spacing w:after="0" w:line="211" w:lineRule="auto"/>
        <w:tabs>
          <w:tab w:leader="none" w:pos="10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termination of employment on or after attaining age 50 and having been employed for at least 15 years as a result of resignation or involuntary resignation other than for Cause at a time when the sum of Participant’s age and the number or Participant’s years of employment is at least 65 (Participant’s “Retirement”), the Restricted Stock Units shall continue to vest in accordance with the vesting schedule set forth above notwithstanding that Participant is no longer providing Continuous Service on each vesting date. The Board or Committee responsible for administering the Plan shall have discretion to determine that a termination of employment that does not meet the foregoing conditions shall nevertheless qualify as a Retirement entitling Participant to continued vesting. Notwithstanding the foregoing, if applicable legislation or case law is enacted or decided which would, in the Company’s sole and absolute discretion, put it at risk of claims, then such vesting treatment upon Participant’s Retirement shall not apply.</w:t>
      </w:r>
    </w:p>
    <w:p>
      <w:pPr>
        <w:spacing w:after="0" w:line="200" w:lineRule="exact"/>
        <w:rPr>
          <w:sz w:val="20"/>
          <w:szCs w:val="20"/>
          <w:color w:val="auto"/>
        </w:rPr>
      </w:pPr>
    </w:p>
    <w:p>
      <w:pPr>
        <w:spacing w:after="0" w:line="303"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22"/>
          <w:szCs w:val="22"/>
          <w:color w:val="auto"/>
        </w:rPr>
        <w:t>However, notwithstanding anything herein to the contrary, the vesting of the Restricted Stock Units shall be subject to any additional vesting acceleration provisions applicable to the Restricted Stock Units contained in the Plan and/or any employment or service agreement, offer letter, severance agreement, or any other agreement between Participant and the Company or any Affiliate or Subsidiary (such agreement, a “Separate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Agreements</w:t>
      </w:r>
    </w:p>
    <w:p>
      <w:pPr>
        <w:spacing w:after="0" w:line="75" w:lineRule="exact"/>
        <w:rPr>
          <w:sz w:val="20"/>
          <w:szCs w:val="20"/>
          <w:color w:val="auto"/>
        </w:rPr>
      </w:pPr>
    </w:p>
    <w:p>
      <w:pPr>
        <w:ind w:right="180"/>
        <w:spacing w:after="0" w:line="225" w:lineRule="auto"/>
        <w:rPr>
          <w:sz w:val="20"/>
          <w:szCs w:val="20"/>
          <w:color w:val="auto"/>
        </w:rPr>
      </w:pPr>
      <w:r>
        <w:rPr>
          <w:rFonts w:ascii="Times New Roman" w:cs="Times New Roman" w:eastAsia="Times New Roman" w:hAnsi="Times New Roman"/>
          <w:sz w:val="22"/>
          <w:szCs w:val="22"/>
          <w:color w:val="auto"/>
        </w:rPr>
        <w:t>By your signature and the Company’s signature below, or by electronic acceptance or authentication in a form authorized by the Company, you and the Company agree that this Award is granted under and governed by the terms of the Plan and the Award Agreement which are attached hereto and incorporated herein by this reference.</w:t>
      </w:r>
    </w:p>
    <w:p>
      <w:pPr>
        <w:spacing w:after="0" w:line="15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You also acknowledge that by providing your signature below or accepting the award via the Company’s electronic acceptance procedure, you expressly agree with the data processing practices described in Section 9 of the Global Restricted Stock Unit Award Agreement and consent to the collection, processing and use of Data by the Company and the transfer of Data to the recipients mentioned in Section 9 of the Global Restricted Stock Unit Award Agreement, including recipients located in countries which do not provide an adequate level of protection from a European (or other non-U.S.) data protection law perspective, for the purposes described in Section 9 of the Global Restricted Stock Unit Award Agreement. You understand that consenting to such collection, processing and use of your Data is a condition of receiving the Award and that you may forfeit the Award if you do not grant (or if you withdraw) such consent. You understand that you may withdraw consent at any time with future effect for any or no reason as described in Section 9 of the Global Restricted Stock Unit Award Agreement.</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7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2"/>
          <w:szCs w:val="22"/>
          <w:color w:val="auto"/>
        </w:rPr>
        <w:t>You further acknowledge that your rights to any Restricted Stock Units will be earned only as you provide Continuous Service to the Company over time, that the grant of this Award is not consideration for service you rendered to the Company prior to the Grant Date, and that nothing herein or the attached documents confers upon you any right to continue your employment or other service relationship with the Company or any Affiliate or Subsidiary for any period of time, nor does it interfere in any way with your right or the Company’s (or any Affiliate’s or Subsidiary’s) right to terminate that relationship at any time, for any reason or no reason, with or without Cause, and with or without advance notice, except as may be required by the terms of a Separate Agreement or in compliance with governing public law.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22"/>
          <w:szCs w:val="22"/>
          <w:color w:val="auto"/>
        </w:rPr>
        <w:t>“COMPANY”</w:t>
      </w:r>
      <w:r>
        <w:rPr>
          <w:sz w:val="20"/>
          <w:szCs w:val="20"/>
          <w:color w:val="auto"/>
        </w:rPr>
        <w:tab/>
      </w:r>
      <w:r>
        <w:rPr>
          <w:rFonts w:ascii="Times New Roman" w:cs="Times New Roman" w:eastAsia="Times New Roman" w:hAnsi="Times New Roman"/>
          <w:sz w:val="22"/>
          <w:szCs w:val="22"/>
          <w:color w:val="auto"/>
        </w:rPr>
        <w:t>“PARTICIPANT”</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StepStone Group Inc.</w:t>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w:t>
      </w:r>
    </w:p>
    <w:p>
      <w:pPr>
        <w:spacing w:after="0" w:line="24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-160020</wp:posOffset>
            </wp:positionV>
            <wp:extent cx="35401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-160020</wp:posOffset>
            </wp:positionV>
            <wp:extent cx="3540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-160020</wp:posOffset>
            </wp:positionV>
            <wp:extent cx="3540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STEPSTONE GROUP INC.</w:t>
      </w:r>
    </w:p>
    <w:p>
      <w:pPr>
        <w:jc w:val="center"/>
        <w:ind w:right="-19"/>
        <w:spacing w:after="0" w:line="204" w:lineRule="auto"/>
        <w:rPr>
          <w:sz w:val="20"/>
          <w:szCs w:val="20"/>
          <w:color w:val="auto"/>
        </w:rPr>
      </w:pPr>
      <w:r>
        <w:rPr>
          <w:rFonts w:ascii="Times New Roman" w:cs="Times New Roman" w:eastAsia="Times New Roman" w:hAnsi="Times New Roman"/>
          <w:sz w:val="22"/>
          <w:szCs w:val="22"/>
          <w:b w:val="1"/>
          <w:bCs w:val="1"/>
          <w:color w:val="auto"/>
        </w:rPr>
        <w:t>2020 LONG-TERM INCENTIVE PLAN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GLOBAL RESTRICTED STOCK UNIT AWARD AGREEMENT</w:t>
      </w:r>
    </w:p>
    <w:p>
      <w:pPr>
        <w:spacing w:after="0" w:line="155"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2"/>
          <w:szCs w:val="22"/>
          <w:color w:val="auto"/>
        </w:rPr>
        <w:t>This Award Agreement is made and entered into by and between StepStone Group Inc., a Delaware corporation (“Company”), and the Participant identified in the Notice of Grant of Award of Restricted Stock Units (“Grant Notice”) which is attached hereto (“Participant”).</w:t>
      </w:r>
    </w:p>
    <w:p>
      <w:pPr>
        <w:spacing w:after="0" w:line="148" w:lineRule="exact"/>
        <w:rPr>
          <w:sz w:val="20"/>
          <w:szCs w:val="20"/>
          <w:color w:val="auto"/>
        </w:rPr>
      </w:pPr>
    </w:p>
    <w:p>
      <w:pPr>
        <w:ind w:firstLine="449"/>
        <w:spacing w:after="0" w:line="221" w:lineRule="auto"/>
        <w:tabs>
          <w:tab w:leader="none" w:pos="819" w:val="left"/>
        </w:tabs>
        <w:numPr>
          <w:ilvl w:val="1"/>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Restricted Stock Units</w:t>
      </w:r>
      <w:r>
        <w:rPr>
          <w:rFonts w:ascii="Times New Roman" w:cs="Times New Roman" w:eastAsia="Times New Roman" w:hAnsi="Times New Roman"/>
          <w:sz w:val="22"/>
          <w:szCs w:val="22"/>
          <w:color w:val="auto"/>
        </w:rPr>
        <w:t>. The Company hereby grants to the Participant named in the Grant Notice an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Restricted Stock Units, subject to all of the terms and conditions in this Award Agreement and the Plan, which are incorporated herein by reference. Restricted Stock Units issued pursuant to a Grant Notice and this Award Agreement are referred to in this Agreement as “Restricted Stock Units” or “RSUs.”</w:t>
      </w:r>
    </w:p>
    <w:p>
      <w:pPr>
        <w:spacing w:after="0" w:line="148" w:lineRule="exact"/>
        <w:rPr>
          <w:rFonts w:ascii="Times New Roman" w:cs="Times New Roman" w:eastAsia="Times New Roman" w:hAnsi="Times New Roman"/>
          <w:sz w:val="22"/>
          <w:szCs w:val="22"/>
          <w:b w:val="1"/>
          <w:bCs w:val="1"/>
          <w:color w:val="auto"/>
        </w:rPr>
      </w:pPr>
    </w:p>
    <w:p>
      <w:pPr>
        <w:ind w:right="120" w:firstLine="449"/>
        <w:spacing w:after="0" w:line="216" w:lineRule="auto"/>
        <w:tabs>
          <w:tab w:leader="none" w:pos="819" w:val="left"/>
        </w:tabs>
        <w:numPr>
          <w:ilvl w:val="1"/>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Company’s Obligation to Pay</w:t>
      </w:r>
      <w:r>
        <w:rPr>
          <w:rFonts w:ascii="Times New Roman" w:cs="Times New Roman" w:eastAsia="Times New Roman" w:hAnsi="Times New Roman"/>
          <w:sz w:val="22"/>
          <w:szCs w:val="22"/>
          <w:color w:val="auto"/>
        </w:rPr>
        <w:t>. Each Restricted Stock Unit represents the right to receive payment on the date it vests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form of one share of the Company’s Common Stock (each, a “Share” and collectively, the “Shares”). Participant will have no right to payment of any Shares on any Restricted Stock Units unless and until the Restricted Stock Units have vested in the manner set forth in the Grant Notice and this Award Agreement. Prior to actual payment of a Share on any vested Restricted Stock Unit, such Restricted Stock Unit will represent an unsecured obligation of the Company, for which there is no trust and no obligation other than to issue Shares as contemplated by this Award Agreement and the Plan.</w:t>
      </w:r>
    </w:p>
    <w:p>
      <w:pPr>
        <w:spacing w:after="0" w:line="145" w:lineRule="exact"/>
        <w:rPr>
          <w:rFonts w:ascii="Times New Roman" w:cs="Times New Roman" w:eastAsia="Times New Roman" w:hAnsi="Times New Roman"/>
          <w:sz w:val="22"/>
          <w:szCs w:val="22"/>
          <w:b w:val="1"/>
          <w:bCs w:val="1"/>
          <w:color w:val="auto"/>
        </w:rPr>
      </w:pPr>
    </w:p>
    <w:p>
      <w:pPr>
        <w:ind w:right="20" w:firstLine="449"/>
        <w:spacing w:after="0" w:line="212" w:lineRule="auto"/>
        <w:tabs>
          <w:tab w:leader="none" w:pos="819" w:val="left"/>
        </w:tabs>
        <w:numPr>
          <w:ilvl w:val="1"/>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Award</w:t>
      </w:r>
      <w:r>
        <w:rPr>
          <w:rFonts w:ascii="Times New Roman" w:cs="Times New Roman" w:eastAsia="Times New Roman" w:hAnsi="Times New Roman"/>
          <w:sz w:val="22"/>
          <w:szCs w:val="22"/>
          <w:color w:val="auto"/>
        </w:rPr>
        <w:t>. The Award shall not be vested as of the Grant Date set forth in the Grant Notice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forfeitable unless and until otherwise vested pursuant to the terms of the Grant Notice and this Award Agreement. After the Grant Date, subject to termination or acceleration as provided in this Award Agreement or any Separate Agreement, the Award shall become vested as described in the Grant Notice with respect to that number of Restricted Stock Units as set forth in the Grant Notice. Restricted Stock Units that have vested and are no longer subject to forfeiture are referred to herein as “Vested RSUs.” Restricted Stock Units awarded hereunder that are not vested and remain subject to forfeiture are referred to herein as “Unvested RSUs.” Notwithstanding anything contained in this Award Agreement to the contrary, upon Participant’s termination of Continuous Service, except as otherwise provided in the Grant Notice or any Separate Agreement or the Addendum, any then Unvested RSUs held by Participant shall be forfeited and canceled as of the date of such termination.</w:t>
      </w:r>
    </w:p>
    <w:p>
      <w:pPr>
        <w:spacing w:after="0" w:line="148" w:lineRule="exact"/>
        <w:rPr>
          <w:rFonts w:ascii="Times New Roman" w:cs="Times New Roman" w:eastAsia="Times New Roman" w:hAnsi="Times New Roman"/>
          <w:sz w:val="22"/>
          <w:szCs w:val="22"/>
          <w:b w:val="1"/>
          <w:bCs w:val="1"/>
          <w:color w:val="auto"/>
        </w:rPr>
      </w:pPr>
    </w:p>
    <w:p>
      <w:pPr>
        <w:ind w:right="100" w:firstLine="449"/>
        <w:spacing w:after="0" w:line="218" w:lineRule="auto"/>
        <w:tabs>
          <w:tab w:leader="none" w:pos="819" w:val="left"/>
        </w:tabs>
        <w:numPr>
          <w:ilvl w:val="1"/>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Unless otherwise provided in a Separate Agreement, upon the occurrence of a Change in Control,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Sections 9(c) and 9(d) of the Plan shall control. In addition, unless otherwise provided in a Separate Agreement, if Participant’s Continuous Service is terminated without Cause or due to Good Reason (as defined below) upon or within the thirteen-month period following a Change in Control, the Award shall vest in full. For purposes hereof, Participant shall have “Good Reason” to terminate Continuous Service if, without Participant’s consent, (i) the Company (or Successor Corporation) reduces Participant’s annual base salary, unless such reduction is pursuant to a general reduction in annual base salaries applicable to all similarly situated employees, (ii) Participant experiences a significant diminution of position, duties, responsibilities or status or</w:t>
      </w:r>
    </w:p>
    <w:p>
      <w:pPr>
        <w:spacing w:after="0" w:line="4" w:lineRule="exact"/>
        <w:rPr>
          <w:rFonts w:ascii="Times New Roman" w:cs="Times New Roman" w:eastAsia="Times New Roman" w:hAnsi="Times New Roman"/>
          <w:sz w:val="21"/>
          <w:szCs w:val="21"/>
          <w:b w:val="1"/>
          <w:bCs w:val="1"/>
          <w:color w:val="auto"/>
        </w:rPr>
      </w:pPr>
    </w:p>
    <w:p>
      <w:pPr>
        <w:ind w:right="320" w:firstLine="8"/>
        <w:spacing w:after="0" w:line="225" w:lineRule="auto"/>
        <w:tabs>
          <w:tab w:leader="none" w:pos="37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required to relocate to a location that exceeds a 50 mile radius from Participant’s primary workplace prior to such Change in Control.</w:t>
      </w:r>
    </w:p>
    <w:p>
      <w:pPr>
        <w:sectPr>
          <w:pgSz w:w="11900" w:h="16838" w:orient="portrait"/>
          <w:cols w:equalWidth="0" w:num="1">
            <w:col w:w="11240"/>
          </w:cols>
          <w:pgMar w:left="320" w:top="1382" w:right="339" w:bottom="1440" w:gutter="0" w:footer="0" w:header="0"/>
        </w:sectPr>
      </w:pPr>
    </w:p>
    <w:bookmarkStart w:id="121" w:name="page122"/>
    <w:bookmarkEnd w:id="121"/>
    <w:p>
      <w:pPr>
        <w:spacing w:after="0" w:line="167" w:lineRule="exact"/>
        <w:rPr>
          <w:sz w:val="20"/>
          <w:szCs w:val="20"/>
          <w:color w:val="auto"/>
        </w:rPr>
      </w:pPr>
    </w:p>
    <w:p>
      <w:pPr>
        <w:ind w:left="-449" w:right="100" w:firstLine="449"/>
        <w:spacing w:after="0" w:line="218" w:lineRule="auto"/>
        <w:tabs>
          <w:tab w:leader="none" w:pos="37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w:t>
      </w:r>
      <w:r>
        <w:rPr>
          <w:rFonts w:ascii="Times New Roman" w:cs="Times New Roman" w:eastAsia="Times New Roman" w:hAnsi="Times New Roman"/>
          <w:sz w:val="22"/>
          <w:szCs w:val="22"/>
          <w:color w:val="auto"/>
        </w:rPr>
        <w:t>. The Company may impose such restrictions, conditions or limitations as it determines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as to the timing and manner of any resales by Participant or other subsequent transfers by Participant of any Shares issued pursuant to Vested RSUs, including without limitation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47" w:lineRule="exact"/>
        <w:rPr>
          <w:rFonts w:ascii="Times New Roman" w:cs="Times New Roman" w:eastAsia="Times New Roman" w:hAnsi="Times New Roman"/>
          <w:sz w:val="22"/>
          <w:szCs w:val="22"/>
          <w:b w:val="1"/>
          <w:bCs w:val="1"/>
          <w:color w:val="auto"/>
        </w:rPr>
      </w:pPr>
    </w:p>
    <w:p>
      <w:pPr>
        <w:ind w:left="-449" w:right="60" w:firstLine="449"/>
        <w:spacing w:after="0" w:line="220" w:lineRule="auto"/>
        <w:tabs>
          <w:tab w:leader="none" w:pos="370"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Rights as a Stockholder</w:t>
      </w:r>
      <w:r>
        <w:rPr>
          <w:rFonts w:ascii="Times New Roman" w:cs="Times New Roman" w:eastAsia="Times New Roman" w:hAnsi="Times New Roman"/>
          <w:sz w:val="21"/>
          <w:szCs w:val="21"/>
          <w:color w:val="auto"/>
        </w:rPr>
        <w:t>. Participant shall not be, nor have any of the rights or privileges of, a stockholder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in respect of any RSUs unless and until Shares settled for such RSUs shall have been issued by the Company to Participant (as evidenced by the appropriate entry on the books of the Company or of a duly authorized transfer agent of the Company). Notwithstanding the foregoing, from and after the Grant Date and until the earlier of (a) the time when the RSUs become nonforfeitable and payable in accordance with the terms hereof or (b) the time when Participant’s right to receive Common Stock upon payment of RSUs is forfeited, on the date that the Company pays a cash dividend (if any) to holders of Common Stock generally, Participant shall be credited with a dollar amount equal to (i) the per Share cash dividend paid by the Company on its Common Stock on such date, multiplied by (ii) the total number of RSUs subject to the Award that are outstanding immediately prior to the record date for that dividend (the “Dividend Equivalent Right”). Such Dividend Equivalent Rights (if any) shall be subject to the same terms and conditions, including vesting and the obligation to satisfy any withholding tax obligations, in the same manner and at the same time as the RSUs to which the Dividend Equivalent Rights relate; provided, however, that the amount of any vested Dividend Equivalent Rights shall be paid in cash and, provided further, that Participant shall be entitled to apply such Dividend Equivalent Rights to any withholding tax obligations.</w:t>
      </w:r>
    </w:p>
    <w:p>
      <w:pPr>
        <w:spacing w:after="0" w:line="254" w:lineRule="exact"/>
        <w:rPr>
          <w:rFonts w:ascii="Times New Roman" w:cs="Times New Roman" w:eastAsia="Times New Roman" w:hAnsi="Times New Roman"/>
          <w:sz w:val="21"/>
          <w:szCs w:val="21"/>
          <w:b w:val="1"/>
          <w:bCs w:val="1"/>
          <w:color w:val="auto"/>
        </w:rPr>
      </w:pPr>
    </w:p>
    <w:p>
      <w:pPr>
        <w:ind w:left="371" w:hanging="371"/>
        <w:spacing w:after="0"/>
        <w:tabs>
          <w:tab w:leader="none" w:pos="371"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w:t>
      </w:r>
    </w:p>
    <w:p>
      <w:pPr>
        <w:spacing w:after="0" w:line="75" w:lineRule="exact"/>
        <w:rPr>
          <w:rFonts w:ascii="Times New Roman" w:cs="Times New Roman" w:eastAsia="Times New Roman" w:hAnsi="Times New Roman"/>
          <w:sz w:val="22"/>
          <w:szCs w:val="22"/>
          <w:b w:val="1"/>
          <w:bCs w:val="1"/>
          <w:color w:val="auto"/>
        </w:rPr>
      </w:pPr>
    </w:p>
    <w:p>
      <w:pPr>
        <w:ind w:left="-449" w:firstLine="1000"/>
        <w:spacing w:after="0" w:line="219" w:lineRule="auto"/>
        <w:tabs>
          <w:tab w:leader="none" w:pos="999"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acknowledges that, regardless of any action taken by the Company or, if different, the member of the Subsidiary or Affiliate for which Participant provides Continuous Service (the “Service Recipient”), the ultimate liability for all income tax, social insurance contributions, payroll tax, fringe benefits tax, payment on account, and other tax-related items related to Participant’s participation in the Plan and legally applicable to Participant (“Tax-Related Items”)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Award, including, but not limited to, the grant, vesting or settlement of the Award, the subsequent sale of Shares acquired pursuant to such settlement and the receipt of any dividends, Dividend Equivalent Rights or other distributions paid on the Shares, and (ii) do not commit to and are under no obligation to structure the terms of the grant or any aspect of the Award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sectPr>
          <w:pgSz w:w="11900" w:h="16838" w:orient="portrait"/>
          <w:cols w:equalWidth="0" w:num="1">
            <w:col w:w="10711"/>
          </w:cols>
          <w:pgMar w:left="769" w:top="1440" w:right="419" w:bottom="1440" w:gutter="0" w:footer="0" w:header="0"/>
        </w:sectPr>
      </w:pPr>
    </w:p>
    <w:bookmarkStart w:id="122" w:name="page123"/>
    <w:bookmarkEnd w:id="122"/>
    <w:p>
      <w:pPr>
        <w:spacing w:after="0" w:line="171" w:lineRule="exact"/>
        <w:rPr>
          <w:sz w:val="20"/>
          <w:szCs w:val="20"/>
          <w:color w:val="auto"/>
        </w:rPr>
      </w:pPr>
    </w:p>
    <w:p>
      <w:pPr>
        <w:ind w:left="-449" w:firstLine="1000"/>
        <w:spacing w:after="0" w:line="220" w:lineRule="auto"/>
        <w:tabs>
          <w:tab w:leader="none" w:pos="1011"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any relevant taxable or tax-withholding event, as applicable, Participant agrees to make arrangements satisfactory to the Company and/or the Service Recipient to satisfy any withholding obligations the Company and/or the Service Recipient may have for Tax-Related Items. In this regard, Participant authorizes the Company to satisfy any withholding obligation for Tax-Related Items by withholding from proceeds of the sale of Shares to be issued upon settlement of the Vested Units through a mandatory sale arranged by the Company (on Participant’s behalf pursuant to this authorization without further consent); provided, however, if the proceeds from such sale of Shares are not sufficient to fully satisfy any withholding obligation for Tax-Related Items, Participant authorizes the Company to satisfy such excess withholding obligation by withholding from Participant’s wages or other cash compensation payable to Participant by the Company or the Service Recipient. Notwithstanding the forgoing, if Participant is either (i) a Section 16 officer of the Company under the Exchange Act or (ii) employed in China, then any withholding obligation for Tax-Related Items shall not be satisfied as described in the preceding sentence and instead shall be satisfied by withholding from Shares to be issued to Participant upon settlement of the Vested Units.</w:t>
      </w:r>
    </w:p>
    <w:p>
      <w:pPr>
        <w:spacing w:after="0" w:line="157" w:lineRule="exact"/>
        <w:rPr>
          <w:rFonts w:ascii="Times New Roman" w:cs="Times New Roman" w:eastAsia="Times New Roman" w:hAnsi="Times New Roman"/>
          <w:sz w:val="21"/>
          <w:szCs w:val="21"/>
          <w:color w:val="auto"/>
        </w:rPr>
      </w:pPr>
    </w:p>
    <w:p>
      <w:pPr>
        <w:ind w:left="-449" w:right="180" w:firstLine="1000"/>
        <w:spacing w:after="0" w:line="215" w:lineRule="auto"/>
        <w:tabs>
          <w:tab w:leader="none" w:pos="995"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and/or the Service Recipient may withhold or account for Tax-Related Items by considering statutory withholding rates or other withholding rates, including maximum rates applicable in Participant’s jurisdiction(s), in which case Participant may receive a refund of any over-withheld amount in cash and will have no entitlement to the equivalent amount in Shares. If the withholding obligation for Tax-Related Items is satisfied by withholding Shares, for tax purposes, Participant will be deemed to have been issued the full number of Shares subject to the Vested Units, notwithstanding that a number of the Shares are held back solely for the purpose of satisfying the Tax-Related Items.</w:t>
      </w:r>
    </w:p>
    <w:p>
      <w:pPr>
        <w:spacing w:after="0" w:line="152" w:lineRule="exact"/>
        <w:rPr>
          <w:rFonts w:ascii="Times New Roman" w:cs="Times New Roman" w:eastAsia="Times New Roman" w:hAnsi="Times New Roman"/>
          <w:sz w:val="22"/>
          <w:szCs w:val="22"/>
          <w:color w:val="auto"/>
        </w:rPr>
      </w:pPr>
    </w:p>
    <w:p>
      <w:pPr>
        <w:ind w:left="-449" w:right="80" w:firstLine="1000"/>
        <w:spacing w:after="0" w:line="220" w:lineRule="auto"/>
        <w:tabs>
          <w:tab w:leader="none" w:pos="101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deliver the Shares or the proceeds from the sale of Shares, if Participant fails to comply with Participant’s obligations for Tax-Related Items.</w:t>
      </w:r>
    </w:p>
    <w:p>
      <w:pPr>
        <w:spacing w:after="0" w:line="148" w:lineRule="exact"/>
        <w:rPr>
          <w:rFonts w:ascii="Times New Roman" w:cs="Times New Roman" w:eastAsia="Times New Roman" w:hAnsi="Times New Roman"/>
          <w:sz w:val="22"/>
          <w:szCs w:val="22"/>
          <w:color w:val="auto"/>
        </w:rPr>
      </w:pPr>
    </w:p>
    <w:p>
      <w:pPr>
        <w:ind w:left="-449" w:firstLine="449"/>
        <w:spacing w:after="0" w:line="220" w:lineRule="auto"/>
        <w:tabs>
          <w:tab w:leader="none" w:pos="370" w:val="left"/>
        </w:tabs>
        <w:numPr>
          <w:ilvl w:val="0"/>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Non-Transferability of Award</w:t>
      </w:r>
      <w:r>
        <w:rPr>
          <w:rFonts w:ascii="Times New Roman" w:cs="Times New Roman" w:eastAsia="Times New Roman" w:hAnsi="Times New Roman"/>
          <w:sz w:val="21"/>
          <w:szCs w:val="21"/>
          <w:color w:val="auto"/>
        </w:rPr>
        <w:t>. Participant understands, acknowledges and agrees that, except as otherwise provided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or as permitted by the Board, the Award may not be sold, assigned, transferred, pledged or otherwise directly or indirectly encumbered or disposed of other than by will or the laws of descent and distribution; provided, however, that Participant may transfer the Award to any “family member” of Participant (as such term is defined in Section A.1(a)(5) of the General Instructions to Form S-8 under the Securities Act of 1933, as amended (“Form S-8”)), to trusts solely for the benefit of such family members and to partnerships or limited liability companies in which such family members and/or trusts are the only partners/members; provided that, (i) as a condition thereof, the transferor and the transferee must execute a written agreement containing such terms as specified by the Board, and (ii) the transfer is pursuant to a gift or a domestic relations order to the extent permitted under the General Instructions to Form S-8. Except to the extent specified otherwise in the agreement the Board provides for Participant and transferee to execute, all vesting, exercisability and forfeiture provisions that are conditioned on Participant’s Continuous Service shall continue to be determined with reference to Participant’s employment or service (and not to the status of the transferee) after any transfer of the Award pursuant to this Section 8, and the responsibility to pay any taxes in connection with the Award shall remain with Participant notwithstanding any transfer other than by will or intestate succession.</w:t>
      </w:r>
    </w:p>
    <w:p>
      <w:pPr>
        <w:sectPr>
          <w:pgSz w:w="11900" w:h="16838" w:orient="portrait"/>
          <w:cols w:equalWidth="0" w:num="1">
            <w:col w:w="10791"/>
          </w:cols>
          <w:pgMar w:left="769" w:top="1440" w:right="339" w:bottom="1440" w:gutter="0" w:footer="0" w:header="0"/>
        </w:sectPr>
      </w:pPr>
    </w:p>
    <w:bookmarkStart w:id="123" w:name="page124"/>
    <w:bookmarkEnd w:id="123"/>
    <w:p>
      <w:pPr>
        <w:spacing w:after="0" w:line="158" w:lineRule="exact"/>
        <w:rPr>
          <w:sz w:val="20"/>
          <w:szCs w:val="20"/>
          <w:color w:val="auto"/>
        </w:rPr>
      </w:pPr>
    </w:p>
    <w:p>
      <w:pPr>
        <w:ind w:left="820" w:hanging="371"/>
        <w:spacing w:after="0"/>
        <w:tabs>
          <w:tab w:leader="none" w:pos="82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Data Privacy Consent. </w:t>
      </w:r>
      <w:r>
        <w:rPr>
          <w:rFonts w:ascii="Times New Roman" w:cs="Times New Roman" w:eastAsia="Times New Roman" w:hAnsi="Times New Roman"/>
          <w:sz w:val="22"/>
          <w:szCs w:val="22"/>
          <w:color w:val="auto"/>
        </w:rPr>
        <w:t>Participant consents to the collection, use and transfer, in electronic or other form, of</w:t>
      </w:r>
    </w:p>
    <w:p>
      <w:pPr>
        <w:spacing w:after="0" w:line="21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Participant’s personal data as described in this Award Agreement and any other grant materials by and among, as applicable, the Company, the Service Recipient and any other Subsidiary or Affiliate for the exclusive purpose of implementing, administering and managing Participant’s participation in the Plan, to the extent consent is required by applicable law for the collection, use and transfer of the same.</w:t>
      </w:r>
    </w:p>
    <w:p>
      <w:pPr>
        <w:spacing w:after="0" w:line="154" w:lineRule="exact"/>
        <w:rPr>
          <w:sz w:val="20"/>
          <w:szCs w:val="20"/>
          <w:color w:val="auto"/>
        </w:rPr>
      </w:pPr>
    </w:p>
    <w:p>
      <w:pPr>
        <w:ind w:right="40" w:firstLine="441"/>
        <w:spacing w:after="0" w:line="215" w:lineRule="auto"/>
        <w:rPr>
          <w:sz w:val="20"/>
          <w:szCs w:val="20"/>
          <w:color w:val="auto"/>
        </w:rPr>
      </w:pPr>
      <w:r>
        <w:rPr>
          <w:rFonts w:ascii="Times New Roman" w:cs="Times New Roman" w:eastAsia="Times New Roman" w:hAnsi="Times New Roman"/>
          <w:sz w:val="22"/>
          <w:szCs w:val="22"/>
          <w:color w:val="auto"/>
        </w:rPr>
        <w:t>Participant understands that the Company, the Service Recipient and other Affiliates may hold certain personal information about Participant, including, but not limited to, Participant’s name, home address, email address and telephone number, date of birth, social insurance number, passport or other identification number, salary, nationality, job title, any Shares or directorships held in the Company, details of all RSUs or any other entitlement to Shares or equivalent benefits awarded, canceled, exercised, vested, unvested or outstanding in Participant’s favor (“Data”), for the purpose of implementing, administering and managing the Plan.</w:t>
      </w:r>
    </w:p>
    <w:p>
      <w:pPr>
        <w:spacing w:after="0" w:line="152" w:lineRule="exact"/>
        <w:rPr>
          <w:sz w:val="20"/>
          <w:szCs w:val="20"/>
          <w:color w:val="auto"/>
        </w:rPr>
      </w:pPr>
    </w:p>
    <w:p>
      <w:pPr>
        <w:ind w:right="20" w:firstLine="441"/>
        <w:spacing w:after="0" w:line="209" w:lineRule="auto"/>
        <w:rPr>
          <w:sz w:val="20"/>
          <w:szCs w:val="20"/>
          <w:color w:val="auto"/>
        </w:rPr>
      </w:pPr>
      <w:r>
        <w:rPr>
          <w:rFonts w:ascii="Times New Roman" w:cs="Times New Roman" w:eastAsia="Times New Roman" w:hAnsi="Times New Roman"/>
          <w:sz w:val="22"/>
          <w:szCs w:val="22"/>
          <w:color w:val="auto"/>
        </w:rPr>
        <w:t>Participant understands that Data will be transferred to certain third parties, such as Morgan Stanley and certain of its affiliated companies (collectively, “Morgan Stanley”) which is assisting the Company with the implementation, administration and management of the Plan. Participant understands that the recipients of Data may be located in the United States or elsewhere, and that the recipients’ country (e.g., the United States) may have different data privacy laws and protections than Participant’s country. Participant understands that, if and to the extent the right is expressly provided under applicable law, he or she may request a list with the names and addresses of any potential recipients or categories of recipients to whom Data has or will be disclosed by contacting his or her local human resources representative. Participant authorizes the Company and any other possible recipients which may assist the Company (presently or in the future) with implementing, administering and managing the Plan to collect, receive, possess, use, retain, transfer, or otherwise process Data, in electronic or other form, for the sole purpose of implementing, administering and managing Participant’s participation in the Plan. The Company may further transfer Data to its transfer agent, payroll providers and/or certain other service provider(s) as may be, presently or in the future, engaged to assist with the implementation, administration and management of the Plan. Participant may be asked to agree on separate terms and data processing practices with the service provider, with such agreement being a condition to the ability to participate in the Plan.</w:t>
      </w:r>
    </w:p>
    <w:p>
      <w:pPr>
        <w:spacing w:after="0" w:line="156" w:lineRule="exact"/>
        <w:rPr>
          <w:sz w:val="20"/>
          <w:szCs w:val="20"/>
          <w:color w:val="auto"/>
        </w:rPr>
      </w:pPr>
    </w:p>
    <w:p>
      <w:pPr>
        <w:ind w:right="100" w:firstLine="441"/>
        <w:spacing w:after="0" w:line="220" w:lineRule="auto"/>
        <w:rPr>
          <w:sz w:val="20"/>
          <w:szCs w:val="20"/>
          <w:color w:val="auto"/>
        </w:rPr>
      </w:pPr>
      <w:r>
        <w:rPr>
          <w:rFonts w:ascii="Times New Roman" w:cs="Times New Roman" w:eastAsia="Times New Roman" w:hAnsi="Times New Roman"/>
          <w:sz w:val="21"/>
          <w:szCs w:val="21"/>
          <w:color w:val="auto"/>
        </w:rPr>
        <w:t>Participant understands that Data will be held only as long as is necessary to implement, administer and manage his or her participation in the Plan. Participant understands that, if and to the extent the right is expressly provided under applicable law, Participant may view Data, request additional information about the storage and processing of Data, require any necessary amendments to Data or refuse or withdraw the consents herein, in any case without cost, by contacting Participant’s local human resources representative. Further, Participant understands that any consent he or she is providing herein is on a purely voluntary basis. If Participant does not consent, or if Participant later seeks to revoke his or her consent, Participant’s Continuous Service and career with the Service Recipient will not be affected; the only consequence of refusing or withdrawing his or her consent may be that the Company would not be able to grant RSUs or other equity awards to Participant or administer or maintain such awards. Therefore, Participant understands that refusing or withdrawing his or her consent may affect his or her ability to participate in the Plan. For more information on the consequences of Participant’s refusal to consent or withdrawal of consent, Participant understands that he or she may contact his or her local human resources representative.</w:t>
      </w:r>
    </w:p>
    <w:p>
      <w:pPr>
        <w:spacing w:after="0" w:line="153" w:lineRule="exact"/>
        <w:rPr>
          <w:sz w:val="20"/>
          <w:szCs w:val="20"/>
          <w:color w:val="auto"/>
        </w:rPr>
      </w:pPr>
    </w:p>
    <w:p>
      <w:pPr>
        <w:ind w:right="380" w:firstLine="449"/>
        <w:spacing w:after="0" w:line="227" w:lineRule="auto"/>
        <w:tabs>
          <w:tab w:leader="none" w:pos="981"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r>
        <w:rPr>
          <w:rFonts w:ascii="Times New Roman" w:cs="Times New Roman" w:eastAsia="Times New Roman" w:hAnsi="Times New Roman"/>
          <w:sz w:val="22"/>
          <w:szCs w:val="22"/>
          <w:color w:val="auto"/>
        </w:rPr>
        <w:t>. The Grant Notice, this Award Agreement, the Plan and any Separate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the entire understanding between Participant and the Company regarding the Award. Any prior agreements, commitments or negotiations concerning the Award are superseded.</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67" w:lineRule="exact"/>
        <w:rPr>
          <w:sz w:val="20"/>
          <w:szCs w:val="20"/>
          <w:color w:val="auto"/>
        </w:rPr>
      </w:pPr>
    </w:p>
    <w:p>
      <w:pPr>
        <w:ind w:firstLine="449"/>
        <w:spacing w:after="0" w:line="221" w:lineRule="auto"/>
        <w:tabs>
          <w:tab w:leader="none" w:pos="915"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Restricted Stock Units</w:t>
      </w:r>
      <w:r>
        <w:rPr>
          <w:rFonts w:ascii="Times New Roman" w:cs="Times New Roman" w:eastAsia="Times New Roman" w:hAnsi="Times New Roman"/>
          <w:sz w:val="22"/>
          <w:szCs w:val="22"/>
          <w:color w:val="auto"/>
        </w:rPr>
        <w:t>. Neither Participant (individually or as a member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 group) nor any beneficiary or other person claiming under or through Participant shall have any right, title, interest, or privilege in or to any Shares allocated or reserved for the purpose of the Plan or subject to the Grant Notice or this Award Agreement except as to such Shares, if any, as shall have been issued to such person in connection with the Award.</w:t>
      </w:r>
    </w:p>
    <w:p>
      <w:pPr>
        <w:spacing w:after="0" w:line="148" w:lineRule="exact"/>
        <w:rPr>
          <w:rFonts w:ascii="Times New Roman" w:cs="Times New Roman" w:eastAsia="Times New Roman" w:hAnsi="Times New Roman"/>
          <w:sz w:val="22"/>
          <w:szCs w:val="22"/>
          <w:b w:val="1"/>
          <w:bCs w:val="1"/>
          <w:color w:val="auto"/>
        </w:rPr>
      </w:pPr>
    </w:p>
    <w:p>
      <w:pPr>
        <w:ind w:right="120" w:firstLine="449"/>
        <w:spacing w:after="0" w:line="221" w:lineRule="auto"/>
        <w:tabs>
          <w:tab w:leader="none" w:pos="927"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Service</w:t>
      </w:r>
      <w:r>
        <w:rPr>
          <w:rFonts w:ascii="Times New Roman" w:cs="Times New Roman" w:eastAsia="Times New Roman" w:hAnsi="Times New Roman"/>
          <w:sz w:val="22"/>
          <w:szCs w:val="22"/>
          <w:color w:val="auto"/>
        </w:rPr>
        <w:t>. Nothing in the Plan, the Grant Notice, this Award Agreement or any other instrument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Plan shall confer upon Participant any right to continue in the Company’s employ or service nor limit in any way the Company’s (or any Affiliate’s or Subsidiary’s) right to terminate Participant’s employment or service at any time for any reason or no reason, with or without Cause, and with or without advance notice.</w:t>
      </w:r>
    </w:p>
    <w:p>
      <w:pPr>
        <w:spacing w:after="0" w:line="148" w:lineRule="exact"/>
        <w:rPr>
          <w:rFonts w:ascii="Times New Roman" w:cs="Times New Roman" w:eastAsia="Times New Roman" w:hAnsi="Times New Roman"/>
          <w:sz w:val="22"/>
          <w:szCs w:val="22"/>
          <w:b w:val="1"/>
          <w:bCs w:val="1"/>
          <w:color w:val="auto"/>
        </w:rPr>
      </w:pPr>
    </w:p>
    <w:p>
      <w:pPr>
        <w:ind w:right="20" w:firstLine="449"/>
        <w:spacing w:after="0" w:line="218" w:lineRule="auto"/>
        <w:tabs>
          <w:tab w:leader="none" w:pos="927"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Liability of Company</w:t>
      </w:r>
      <w:r>
        <w:rPr>
          <w:rFonts w:ascii="Times New Roman" w:cs="Times New Roman" w:eastAsia="Times New Roman" w:hAnsi="Times New Roman"/>
          <w:sz w:val="22"/>
          <w:szCs w:val="22"/>
          <w:color w:val="auto"/>
        </w:rPr>
        <w:t>. The Company and any Affiliate or Subsidiary which is in existence or hereafter comes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existence shall not be liable to Participant or any other person as to: (a) the non-issuance or sale of Shares as to which the Company has been unable to obtain from any regulatory body having jurisdiction the authority deemed by the Company’s counsel to be necessary to the lawful issuance and sale of any Shares hereunder; and (b) any tax consequence expected, but not realized, by Participant or other person due to the receipt or settlement of any Restricted Stock Units granted hereunder.</w:t>
      </w:r>
    </w:p>
    <w:p>
      <w:pPr>
        <w:spacing w:after="0" w:line="255" w:lineRule="exact"/>
        <w:rPr>
          <w:rFonts w:ascii="Times New Roman" w:cs="Times New Roman" w:eastAsia="Times New Roman" w:hAnsi="Times New Roman"/>
          <w:sz w:val="22"/>
          <w:szCs w:val="22"/>
          <w:b w:val="1"/>
          <w:bCs w:val="1"/>
          <w:color w:val="auto"/>
        </w:rPr>
      </w:pPr>
    </w:p>
    <w:p>
      <w:pPr>
        <w:ind w:left="940" w:hanging="491"/>
        <w:spacing w:after="0"/>
        <w:tabs>
          <w:tab w:leader="none" w:pos="94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w:t>
      </w:r>
    </w:p>
    <w:p>
      <w:pPr>
        <w:spacing w:after="0" w:line="75" w:lineRule="exact"/>
        <w:rPr>
          <w:rFonts w:ascii="Times New Roman" w:cs="Times New Roman" w:eastAsia="Times New Roman" w:hAnsi="Times New Roman"/>
          <w:sz w:val="22"/>
          <w:szCs w:val="22"/>
          <w:b w:val="1"/>
          <w:bCs w:val="1"/>
          <w:color w:val="auto"/>
        </w:rPr>
      </w:pPr>
    </w:p>
    <w:p>
      <w:pPr>
        <w:ind w:right="20" w:firstLine="1000"/>
        <w:spacing w:after="0" w:line="215" w:lineRule="auto"/>
        <w:tabs>
          <w:tab w:leader="none" w:pos="144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Plan Document</w:t>
      </w:r>
      <w:r>
        <w:rPr>
          <w:rFonts w:ascii="Times New Roman" w:cs="Times New Roman" w:eastAsia="Times New Roman" w:hAnsi="Times New Roman"/>
          <w:sz w:val="22"/>
          <w:szCs w:val="22"/>
          <w:color w:val="auto"/>
        </w:rPr>
        <w:t>. The Award is subject to all the provisions of the Plan, the provisions of which are hereby made a part of the Award, and is further subject to all interpretations, amendments, rules and regulations, which may from time to time be promulgated and adopted pursuant to the Plan. In the event of a conflict between the general terms and conditions of the Plan and this Award Agreement, the terms and conditions of the Plan shall prevail; however, this Award Agreement sets out specific terms for the Award, and those terms will prevail over more general terms in the Plan on the same issue, if any, or in the conflict between such terms.</w:t>
      </w:r>
    </w:p>
    <w:p>
      <w:pPr>
        <w:spacing w:after="0" w:line="152" w:lineRule="exact"/>
        <w:rPr>
          <w:rFonts w:ascii="Times New Roman" w:cs="Times New Roman" w:eastAsia="Times New Roman" w:hAnsi="Times New Roman"/>
          <w:sz w:val="22"/>
          <w:szCs w:val="22"/>
          <w:color w:val="auto"/>
        </w:rPr>
      </w:pPr>
    </w:p>
    <w:p>
      <w:pPr>
        <w:ind w:firstLine="1000"/>
        <w:spacing w:after="0" w:line="236" w:lineRule="auto"/>
        <w:tabs>
          <w:tab w:leader="none" w:pos="1459"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Choice of Venue</w:t>
      </w:r>
      <w:r>
        <w:rPr>
          <w:rFonts w:ascii="Times New Roman" w:cs="Times New Roman" w:eastAsia="Times New Roman" w:hAnsi="Times New Roman"/>
          <w:sz w:val="22"/>
          <w:szCs w:val="22"/>
          <w:color w:val="auto"/>
        </w:rPr>
        <w:t>. This Award Agreement shall be governed by, and construed in accordance with, the laws of the State of Delaware, without regard to principles of conflicts of law.</w:t>
      </w:r>
    </w:p>
    <w:p>
      <w:pPr>
        <w:spacing w:after="0" w:line="150" w:lineRule="exact"/>
        <w:rPr>
          <w:sz w:val="20"/>
          <w:szCs w:val="20"/>
          <w:color w:val="auto"/>
        </w:rPr>
      </w:pPr>
    </w:p>
    <w:p>
      <w:pPr>
        <w:ind w:firstLine="992"/>
        <w:spacing w:after="0" w:line="211" w:lineRule="auto"/>
        <w:rPr>
          <w:sz w:val="20"/>
          <w:szCs w:val="20"/>
          <w:color w:val="auto"/>
        </w:rPr>
      </w:pPr>
      <w:r>
        <w:rPr>
          <w:rFonts w:ascii="Times New Roman" w:cs="Times New Roman" w:eastAsia="Times New Roman" w:hAnsi="Times New Roman"/>
          <w:sz w:val="22"/>
          <w:szCs w:val="22"/>
          <w:color w:val="auto"/>
        </w:rPr>
        <w:t>Furthermore, each of the parties irrevocably submits to the exclusive jurisdiction of the Court of Chancery of the State of Delaware or, to the extent the Court of Chancery does not have subject matter jurisdiction, the United States District Court for the District of Delaware and the appellate courts having jurisdiction of appeals in such courts for the purpose of any suit, action or other proceeding arising out of this Award Agreement. Each of the parties hereto further agrees that service of any process, summons, notice or document by U.S. registered mail or its foreign equivalent to such party’s respective address shall be effective service of process for any action, suit or proceeding with respect to any matters to which it has submitted to jurisdiction in this Section 14(b). Each of the parties hereto irrevocably and unconditionally waives any objection to the laying of venue of any action, suite or proceeding arising out of this Award Agreement in Delaware, and further irrevocably and unconditionally waives and agrees not to plead or claim in any such court that any such action, suit or proceeding brought in any such court has been brought in an inconvenient forum.</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71" w:lineRule="exact"/>
        <w:rPr>
          <w:sz w:val="20"/>
          <w:szCs w:val="20"/>
          <w:color w:val="auto"/>
        </w:rPr>
      </w:pPr>
    </w:p>
    <w:p>
      <w:pPr>
        <w:ind w:left="-8" w:right="40" w:firstLine="1000"/>
        <w:spacing w:after="0" w:line="217" w:lineRule="auto"/>
        <w:tabs>
          <w:tab w:leader="none" w:pos="1439"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By executing the Grant Notice, Participant hereby consents to the delivery of information (including, without limitation, information required to be delivered to Participant pursuant to applicable securities laws) regarding the Company and its Affiliates, the Plan, the Award and the Common Stock via Company web site or other electronic delivery established and maintained by the Company or a third party designated by the Company.</w:t>
      </w:r>
    </w:p>
    <w:p>
      <w:pPr>
        <w:spacing w:after="0" w:line="152" w:lineRule="exact"/>
        <w:rPr>
          <w:rFonts w:ascii="Times New Roman" w:cs="Times New Roman" w:eastAsia="Times New Roman" w:hAnsi="Times New Roman"/>
          <w:sz w:val="22"/>
          <w:szCs w:val="22"/>
          <w:color w:val="auto"/>
        </w:rPr>
      </w:pPr>
    </w:p>
    <w:p>
      <w:pPr>
        <w:ind w:left="-8" w:firstLine="1000"/>
        <w:spacing w:after="0" w:line="213" w:lineRule="auto"/>
        <w:tabs>
          <w:tab w:leader="none" w:pos="145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or permitted to be delivered under this Award Agreement shall be in writing (which shall include electronic transmission) and shall be deemed received (i) the business day following electronic verification of receipt if sent electronically, (ii) upon personal delivery to the party to whom the notice is directed, or (iii) the business day following deposit with a reputable overnight courier (or the second business day following deposit in the case of an international delivery). Notice shall be addressed to the Company’s Legal Department and to Participant at the address that he or she most recently provided to the Company. The recipient may acknowledge actual receipt at a time earlier than the deemed receipt set forth herein or by a means other than that set forth herein.</w:t>
      </w:r>
    </w:p>
    <w:p>
      <w:pPr>
        <w:spacing w:after="0" w:line="156" w:lineRule="exact"/>
        <w:rPr>
          <w:rFonts w:ascii="Times New Roman" w:cs="Times New Roman" w:eastAsia="Times New Roman" w:hAnsi="Times New Roman"/>
          <w:sz w:val="22"/>
          <w:szCs w:val="22"/>
          <w:color w:val="auto"/>
        </w:rPr>
      </w:pPr>
    </w:p>
    <w:p>
      <w:pPr>
        <w:ind w:left="-8" w:right="220" w:firstLine="1000"/>
        <w:spacing w:after="0" w:line="236" w:lineRule="auto"/>
        <w:tabs>
          <w:tab w:leader="none" w:pos="1439"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Successors/Assigns</w:t>
      </w:r>
      <w:r>
        <w:rPr>
          <w:rFonts w:ascii="Times New Roman" w:cs="Times New Roman" w:eastAsia="Times New Roman" w:hAnsi="Times New Roman"/>
          <w:sz w:val="22"/>
          <w:szCs w:val="22"/>
          <w:color w:val="auto"/>
        </w:rPr>
        <w:t>. This Award Agreement shall inure to the benefit of and be binding upon the parties hereto and their respective permitted heirs, beneficiaries, successors and assigns.</w:t>
      </w:r>
    </w:p>
    <w:p>
      <w:pPr>
        <w:spacing w:after="0" w:line="150" w:lineRule="exact"/>
        <w:rPr>
          <w:rFonts w:ascii="Times New Roman" w:cs="Times New Roman" w:eastAsia="Times New Roman" w:hAnsi="Times New Roman"/>
          <w:sz w:val="22"/>
          <w:szCs w:val="22"/>
          <w:color w:val="auto"/>
        </w:rPr>
      </w:pPr>
    </w:p>
    <w:p>
      <w:pPr>
        <w:ind w:left="-8" w:right="180" w:firstLine="1000"/>
        <w:spacing w:after="0" w:line="215" w:lineRule="auto"/>
        <w:tabs>
          <w:tab w:leader="none" w:pos="1415"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one or more provisions of this Award Agreement are held to be unenforceable under applicable law, such provision shall be excluded from this Award Agreement, and the balance of the Award Agreement shall be interpreted as if such provision were so excluded and shall be enforceable in accordance with its terms. The parties agree to replace such illegal, void, invalid or unenforceable provision of this Award Agreement with a legal, valid and enforceable provision that will achieve, to the extent possible, the economic, business and other purposes of such illegal, void, invalid or unenforceable provision.</w:t>
      </w:r>
    </w:p>
    <w:p>
      <w:pPr>
        <w:spacing w:after="0" w:line="152" w:lineRule="exact"/>
        <w:rPr>
          <w:rFonts w:ascii="Times New Roman" w:cs="Times New Roman" w:eastAsia="Times New Roman" w:hAnsi="Times New Roman"/>
          <w:sz w:val="22"/>
          <w:szCs w:val="22"/>
          <w:color w:val="auto"/>
        </w:rPr>
      </w:pPr>
    </w:p>
    <w:p>
      <w:pPr>
        <w:ind w:left="-8" w:right="280" w:firstLine="1000"/>
        <w:spacing w:after="0" w:line="225" w:lineRule="auto"/>
        <w:tabs>
          <w:tab w:leader="none" w:pos="145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Participant acknowledges that a waiver by the Company or breach of any provision of this Award Agreement shall not operate or be construed as a waiver of any other provision of this Award Agreement, or of any subsequent breach by Participant or any other participants.</w:t>
      </w:r>
    </w:p>
    <w:p>
      <w:pPr>
        <w:spacing w:after="0" w:line="152" w:lineRule="exact"/>
        <w:rPr>
          <w:rFonts w:ascii="Times New Roman" w:cs="Times New Roman" w:eastAsia="Times New Roman" w:hAnsi="Times New Roman"/>
          <w:sz w:val="22"/>
          <w:szCs w:val="22"/>
          <w:color w:val="auto"/>
        </w:rPr>
      </w:pPr>
    </w:p>
    <w:p>
      <w:pPr>
        <w:ind w:left="-8" w:right="40" w:firstLine="1000"/>
        <w:spacing w:after="0" w:line="217" w:lineRule="auto"/>
        <w:tabs>
          <w:tab w:leader="none" w:pos="1451"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Insider Trading Restrictions / Market Abuse Laws</w:t>
      </w:r>
      <w:r>
        <w:rPr>
          <w:rFonts w:ascii="Times New Roman" w:cs="Times New Roman" w:eastAsia="Times New Roman" w:hAnsi="Times New Roman"/>
          <w:sz w:val="21"/>
          <w:szCs w:val="21"/>
          <w:color w:val="auto"/>
        </w:rPr>
        <w:t>. By accepting the Award, Participant acknowledges that he or she is bound by all the terms and conditions of the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(e.g., Restricted Stock Units) or rights linked to the value of Shares under the Plan during such times as Participant is considered to have “inside information” regarding the Company (as defined by the laws in the applicable jurisdictions). Local insider trading laws and regulations may prohibit the cancellation or amendment of orders Participant placed before he or she possessed inside information. Furthermore, Participant could be prohibited from</w:t>
      </w:r>
    </w:p>
    <w:p>
      <w:pPr>
        <w:spacing w:after="0" w:line="5" w:lineRule="exact"/>
        <w:rPr>
          <w:rFonts w:ascii="Times New Roman" w:cs="Times New Roman" w:eastAsia="Times New Roman" w:hAnsi="Times New Roman"/>
          <w:sz w:val="21"/>
          <w:szCs w:val="21"/>
          <w:color w:val="auto"/>
        </w:rPr>
      </w:pPr>
    </w:p>
    <w:p>
      <w:pPr>
        <w:ind w:left="-8" w:right="260" w:firstLine="8"/>
        <w:spacing w:after="0" w:line="212" w:lineRule="auto"/>
        <w:tabs>
          <w:tab w:leader="none" w:pos="25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the inside information to any third party, which may include fellow employees or service providers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his or her responsibility to comply with any applicable restrictions, and Participant should speak to his or her personal advisor on this matter.</w:t>
      </w:r>
    </w:p>
    <w:p>
      <w:pPr>
        <w:sectPr>
          <w:pgSz w:w="11900" w:h="16838" w:orient="portrait"/>
          <w:cols w:equalWidth="0" w:num="1">
            <w:col w:w="11232"/>
          </w:cols>
          <w:pgMar w:left="328" w:top="1440" w:right="339" w:bottom="1440" w:gutter="0" w:footer="0" w:header="0"/>
        </w:sectPr>
      </w:pPr>
    </w:p>
    <w:bookmarkStart w:id="126" w:name="page127"/>
    <w:bookmarkEnd w:id="126"/>
    <w:p>
      <w:pPr>
        <w:spacing w:after="0" w:line="171" w:lineRule="exact"/>
        <w:rPr>
          <w:sz w:val="20"/>
          <w:szCs w:val="20"/>
          <w:color w:val="auto"/>
        </w:rPr>
      </w:pPr>
    </w:p>
    <w:p>
      <w:pPr>
        <w:ind w:left="-1000" w:right="100" w:firstLine="1000"/>
        <w:spacing w:after="0" w:line="220" w:lineRule="auto"/>
        <w:tabs>
          <w:tab w:leader="none" w:pos="41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the Award and the Shares acquired upon settlement of the RSUs, to the extent the Company determines it is necessary or advisable for legal or administrative reasons, and to require Participant to enter into any additional agreements or undertakings that may be necessary to accomplish the foregoing.</w:t>
      </w:r>
    </w:p>
    <w:p>
      <w:pPr>
        <w:spacing w:after="0" w:line="152" w:lineRule="exact"/>
        <w:rPr>
          <w:rFonts w:ascii="Times New Roman" w:cs="Times New Roman" w:eastAsia="Times New Roman" w:hAnsi="Times New Roman"/>
          <w:sz w:val="22"/>
          <w:szCs w:val="22"/>
          <w:color w:val="auto"/>
        </w:rPr>
      </w:pPr>
    </w:p>
    <w:p>
      <w:pPr>
        <w:ind w:left="-1000" w:firstLine="1000"/>
        <w:spacing w:after="0" w:line="220" w:lineRule="auto"/>
        <w:tabs>
          <w:tab w:leader="none" w:pos="41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Notwithstanding any other provision of the Plan or this Award Agreement, unless there is an available exemption from any registration, qualification or other legal requirement applicable to the Shares, the Company shall not be required to deliver any Shares issuable upon settlement of the Award prior to the completion of any registration or qualification of the Common Stock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subject to the Award with the SEC or any state or foreign securities commission or to seek approval or clearance from any governmental authority for the issuance or sale of the Shares. Further, Participant agrees that the Company shall have unilateral authority to amend the Plan and this Award Agreement without Participant’s consent to the extent necessary to comply with securities or other laws applicable to the issuance of the Shares.</w:t>
      </w:r>
    </w:p>
    <w:p>
      <w:pPr>
        <w:spacing w:after="0" w:line="157" w:lineRule="exact"/>
        <w:rPr>
          <w:rFonts w:ascii="Times New Roman" w:cs="Times New Roman" w:eastAsia="Times New Roman" w:hAnsi="Times New Roman"/>
          <w:sz w:val="21"/>
          <w:szCs w:val="21"/>
          <w:color w:val="auto"/>
        </w:rPr>
      </w:pPr>
    </w:p>
    <w:p>
      <w:pPr>
        <w:ind w:left="-1000" w:right="40" w:firstLine="1000"/>
        <w:spacing w:after="0" w:line="213" w:lineRule="auto"/>
        <w:tabs>
          <w:tab w:leader="none" w:pos="4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 Notwithstanding any provision in this Global Restricted Stock Unit Award Agreement, the RSUs shall be subject to the additional general terms and conditions for Participants in countries outside the United States as well as any special terms and conditions for Participant’s country, all as set forth in the Addendum attached hereto. If Participant transfers from the United States to a country outside the United States, or if Participant relocates between countries included in the Addendum during the life of the RSUs, the applicable terms and conditions in the Addendum shall apply to Participant, to the extent the Company determines that the application of such terms and conditions is necessary or advisable for legal or administrative reasons.</w:t>
      </w:r>
    </w:p>
    <w:p>
      <w:pPr>
        <w:sectPr>
          <w:pgSz w:w="11900" w:h="16838" w:orient="portrait"/>
          <w:cols w:equalWidth="0" w:num="1">
            <w:col w:w="10240"/>
          </w:cols>
          <w:pgMar w:left="1320" w:top="144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CERTIFICATION BY THE CHIEF EXECUTIVE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Scott W. Hart, certify that:</w:t>
      </w:r>
    </w:p>
    <w:p>
      <w:pPr>
        <w:spacing w:after="0" w:line="229"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StepStone Group Inc.;</w:t>
      </w:r>
    </w:p>
    <w:p>
      <w:pPr>
        <w:spacing w:after="0" w:line="215"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ind w:left="660" w:right="200" w:hanging="328"/>
        <w:spacing w:after="0" w:line="261"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89"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20"/>
          <w:szCs w:val="20"/>
          <w:color w:val="auto"/>
        </w:rPr>
      </w:pPr>
    </w:p>
    <w:p>
      <w:pPr>
        <w:ind w:left="1300" w:right="560" w:hanging="320"/>
        <w:spacing w:after="0" w:line="288" w:lineRule="auto"/>
        <w:tabs>
          <w:tab w:leader="none" w:pos="1300"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9"/>
          <w:szCs w:val="19"/>
          <w:color w:val="auto"/>
        </w:rPr>
      </w:pPr>
    </w:p>
    <w:p>
      <w:pPr>
        <w:ind w:left="1300" w:right="60" w:hanging="320"/>
        <w:spacing w:after="0" w:line="261" w:lineRule="auto"/>
        <w:tabs>
          <w:tab w:leader="none" w:pos="1289"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ind w:left="1300" w:right="600" w:hanging="320"/>
        <w:spacing w:after="0" w:line="269" w:lineRule="auto"/>
        <w:tabs>
          <w:tab w:leader="none" w:pos="13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w:t>
      </w:r>
    </w:p>
    <w:p>
      <w:pPr>
        <w:sectPr>
          <w:pgSz w:w="11900" w:h="16838" w:orient="portrait"/>
          <w:cols w:equalWidth="0" w:num="1">
            <w:col w:w="11240"/>
          </w:cols>
          <w:pgMar w:left="320" w:top="114" w:right="339" w:bottom="1440" w:gutter="0" w:footer="0" w:header="0"/>
        </w:sectPr>
      </w:pPr>
    </w:p>
    <w:bookmarkStart w:id="128" w:name="page129"/>
    <w:bookmarkEnd w:id="128"/>
    <w:p>
      <w:pPr>
        <w:spacing w:after="0" w:line="135" w:lineRule="exact"/>
        <w:rPr>
          <w:sz w:val="20"/>
          <w:szCs w:val="20"/>
          <w:color w:val="auto"/>
        </w:rPr>
      </w:pPr>
    </w:p>
    <w:p>
      <w:pPr>
        <w:ind w:left="1280" w:right="160"/>
        <w:spacing w:after="0" w:line="283" w:lineRule="auto"/>
        <w:rPr>
          <w:sz w:val="20"/>
          <w:szCs w:val="20"/>
          <w:color w:val="auto"/>
        </w:rPr>
      </w:pPr>
      <w:r>
        <w:rPr>
          <w:rFonts w:ascii="Times New Roman" w:cs="Times New Roman" w:eastAsia="Times New Roman" w:hAnsi="Times New Roman"/>
          <w:sz w:val="20"/>
          <w:szCs w:val="20"/>
          <w:color w:val="auto"/>
        </w:rPr>
        <w:t>the case of an annual report) that has materially affected, or is reasonably likely to materially affect, the registrant’s internal control over financial reporting; and</w:t>
      </w:r>
    </w:p>
    <w:p>
      <w:pPr>
        <w:spacing w:after="0" w:line="146" w:lineRule="exact"/>
        <w:rPr>
          <w:sz w:val="20"/>
          <w:szCs w:val="20"/>
          <w:color w:val="auto"/>
        </w:rPr>
      </w:pPr>
    </w:p>
    <w:p>
      <w:pPr>
        <w:ind w:left="640" w:right="60" w:hanging="328"/>
        <w:spacing w:after="0" w:line="261" w:lineRule="auto"/>
        <w:tabs>
          <w:tab w:leader="none" w:pos="6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ind w:left="1280" w:right="340" w:hanging="320"/>
        <w:spacing w:after="0" w:line="261" w:lineRule="auto"/>
        <w:tabs>
          <w:tab w:leader="none" w:pos="1269"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20"/>
          <w:szCs w:val="20"/>
          <w:color w:val="auto"/>
        </w:rPr>
      </w:pPr>
    </w:p>
    <w:p>
      <w:pPr>
        <w:ind w:left="1280" w:right="740" w:hanging="320"/>
        <w:spacing w:after="0" w:line="269" w:lineRule="auto"/>
        <w:tabs>
          <w:tab w:leader="none" w:pos="128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9, 2023</w:t>
            </w:r>
          </w:p>
        </w:tc>
        <w:tc>
          <w:tcPr>
            <w:tcW w:w="77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By: /s/ Scott W. Hart</w:t>
            </w:r>
          </w:p>
        </w:tc>
      </w:tr>
      <w:tr>
        <w:trPr>
          <w:trHeight w:val="244"/>
        </w:trPr>
        <w:tc>
          <w:tcPr>
            <w:tcW w:w="3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Scott W. Hart</w:t>
            </w:r>
          </w:p>
        </w:tc>
      </w:tr>
      <w:tr>
        <w:trPr>
          <w:trHeight w:val="253"/>
        </w:trPr>
        <w:tc>
          <w:tcPr>
            <w:tcW w:w="3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62"/>
        </w:trPr>
        <w:tc>
          <w:tcPr>
            <w:tcW w:w="35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ectPr>
          <w:pgSz w:w="11900" w:h="16838" w:orient="portrait"/>
          <w:cols w:equalWidth="0" w:num="1">
            <w:col w:w="11220"/>
          </w:cols>
          <w:pgMar w:left="340" w:top="1440" w:right="339" w:bottom="1440" w:gutter="0" w:footer="0" w:header="0"/>
        </w:sectPr>
      </w:pPr>
    </w:p>
    <w:bookmarkStart w:id="129" w:name="page130"/>
    <w:bookmarkEnd w:id="129"/>
    <w:p>
      <w:pPr>
        <w:ind w:left="10000"/>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CERTIFICATION BY THE CHIEF FINANCIAL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Johnny D. Randel, certify that:</w:t>
      </w:r>
    </w:p>
    <w:p>
      <w:pPr>
        <w:spacing w:after="0" w:line="229"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StepStone Group Inc.;</w:t>
      </w:r>
    </w:p>
    <w:p>
      <w:pPr>
        <w:spacing w:after="0" w:line="215"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ind w:left="660" w:right="200" w:hanging="328"/>
        <w:spacing w:after="0" w:line="261" w:lineRule="auto"/>
        <w:tabs>
          <w:tab w:leader="none" w:pos="6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8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20"/>
          <w:szCs w:val="20"/>
          <w:color w:val="auto"/>
        </w:rPr>
      </w:pPr>
    </w:p>
    <w:p>
      <w:pPr>
        <w:ind w:left="1300" w:right="560" w:hanging="320"/>
        <w:spacing w:after="0" w:line="288" w:lineRule="auto"/>
        <w:tabs>
          <w:tab w:leader="none" w:pos="130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9"/>
          <w:szCs w:val="19"/>
          <w:color w:val="auto"/>
        </w:rPr>
      </w:pPr>
    </w:p>
    <w:p>
      <w:pPr>
        <w:ind w:left="1300" w:right="60" w:hanging="320"/>
        <w:spacing w:after="0" w:line="261" w:lineRule="auto"/>
        <w:tabs>
          <w:tab w:leader="none" w:pos="128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ind w:left="1300" w:right="80" w:hanging="320"/>
        <w:spacing w:after="0" w:line="261" w:lineRule="auto"/>
        <w:tabs>
          <w:tab w:leader="none" w:pos="130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14" w:right="339" w:bottom="1440" w:gutter="0" w:footer="0" w:header="0"/>
        </w:sectPr>
      </w:pPr>
    </w:p>
    <w:bookmarkStart w:id="130" w:name="page131"/>
    <w:bookmarkEnd w:id="130"/>
    <w:p>
      <w:pPr>
        <w:spacing w:after="0" w:line="351" w:lineRule="exact"/>
        <w:rPr>
          <w:sz w:val="20"/>
          <w:szCs w:val="20"/>
          <w:color w:val="auto"/>
        </w:rPr>
      </w:pPr>
    </w:p>
    <w:p>
      <w:pPr>
        <w:ind w:left="640" w:right="60" w:hanging="328"/>
        <w:spacing w:after="0" w:line="261" w:lineRule="auto"/>
        <w:tabs>
          <w:tab w:leader="none" w:pos="64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ind w:left="1280" w:right="340" w:hanging="320"/>
        <w:spacing w:after="0" w:line="261" w:lineRule="auto"/>
        <w:tabs>
          <w:tab w:leader="none" w:pos="1269"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20"/>
          <w:szCs w:val="20"/>
          <w:color w:val="auto"/>
        </w:rPr>
      </w:pPr>
    </w:p>
    <w:p>
      <w:pPr>
        <w:ind w:left="1280" w:right="740" w:hanging="320"/>
        <w:spacing w:after="0" w:line="269" w:lineRule="auto"/>
        <w:tabs>
          <w:tab w:leader="none" w:pos="128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9, 2023</w:t>
            </w:r>
          </w:p>
        </w:tc>
        <w:tc>
          <w:tcPr>
            <w:tcW w:w="77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By: /s/ Johnny D. Randel</w:t>
            </w:r>
          </w:p>
        </w:tc>
      </w:tr>
      <w:tr>
        <w:trPr>
          <w:trHeight w:val="244"/>
        </w:trPr>
        <w:tc>
          <w:tcPr>
            <w:tcW w:w="3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Johnny D. Randel</w:t>
            </w:r>
          </w:p>
        </w:tc>
      </w:tr>
      <w:tr>
        <w:trPr>
          <w:trHeight w:val="253"/>
        </w:trPr>
        <w:tc>
          <w:tcPr>
            <w:tcW w:w="3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2"/>
        </w:trPr>
        <w:tc>
          <w:tcPr>
            <w:tcW w:w="35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r>
    </w:tbl>
    <w:p>
      <w:pPr>
        <w:sectPr>
          <w:pgSz w:w="11900" w:h="16838" w:orient="portrait"/>
          <w:cols w:equalWidth="0" w:num="1">
            <w:col w:w="11220"/>
          </w:cols>
          <w:pgMar w:left="340" w:top="144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StepStone Group Inc. (the “Company”) on Form 10-Q for the three months ended December 31, 2022,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February 9, 2023</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Scott W. Hart</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4"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StepStone Group Inc. (the “Company”) on Form 10-Q for the three months ended December 31, 2022, as filed with the Securities and Exchange Commission (the “SEC”) on or about the date hereof (the “Report”), I, Johnny D. Randel, Chief Financial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February 9, 2023</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Johnny D. Randel</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1)"/>
      <w:numFmt w:val="decimal"/>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endash "/>
      <w:numFmt w:val="bullet"/>
      <w:start w:val="1"/>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1."/>
      <w:numFmt w:val="decimal"/>
      <w:start w:val="4"/>
    </w:lvl>
  </w:abstractNum>
  <w:abstractNum w:abstractNumId="14">
    <w:nsid w:val="23F9C13C"/>
    <w:multiLevelType w:val="hybridMultilevel"/>
    <w:lvl w:ilvl="0">
      <w:lvlJc w:val="left"/>
      <w:lvlText w:val="(%1)"/>
      <w:numFmt w:val="decimal"/>
      <w:start w:val="1"/>
    </w:lvl>
  </w:abstractNum>
  <w:abstractNum w:abstractNumId="15">
    <w:nsid w:val="649BB77C"/>
    <w:multiLevelType w:val="hybridMultilevel"/>
    <w:lvl w:ilvl="0">
      <w:lvlJc w:val="left"/>
      <w:lvlText w:val="%1."/>
      <w:numFmt w:val="decimal"/>
      <w:start w:val="13"/>
    </w:lvl>
  </w:abstractNum>
  <w:abstractNum w:abstractNumId="16">
    <w:nsid w:val="275AC794"/>
    <w:multiLevelType w:val="hybridMultilevel"/>
    <w:lvl w:ilvl="0">
      <w:lvlJc w:val="left"/>
      <w:lvlText w:val="(%1)"/>
      <w:numFmt w:val="lowerRoman"/>
      <w:start w:val="3"/>
    </w:lvl>
  </w:abstractNum>
  <w:abstractNum w:abstractNumId="17">
    <w:nsid w:val="39386575"/>
    <w:multiLevelType w:val="hybridMultilevel"/>
    <w:lvl w:ilvl="0">
      <w:lvlJc w:val="left"/>
      <w:lvlText w:val="(%1)"/>
      <w:numFmt w:val="decimal"/>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1."/>
      <w:numFmt w:val="decimal"/>
      <w:start w:val="14"/>
    </w:lvl>
    <w:lvl w:ilvl="1">
      <w:lvlJc w:val="left"/>
      <w:lvlText w:val="•"/>
      <w:numFmt w:val="bullet"/>
      <w:start w:val="1"/>
    </w:lvl>
  </w:abstractNum>
  <w:abstractNum w:abstractNumId="20">
    <w:nsid w:val="235BA861"/>
    <w:multiLevelType w:val="hybridMultilevel"/>
    <w:lvl w:ilvl="0">
      <w:lvlJc w:val="left"/>
      <w:lvlText w:val="(%1)"/>
      <w:numFmt w:val="decimal"/>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1)"/>
      <w:numFmt w:val="decimal"/>
      <w:start w:val="1"/>
    </w:lvl>
    <w:lvl w:ilvl="1">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decimal"/>
      <w:start w:val="2"/>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2"/>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decimal"/>
      <w:start w:val="3"/>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1)"/>
      <w:numFmt w:val="decimal"/>
      <w:start w:val="1"/>
    </w:lvl>
  </w:abstractNum>
  <w:abstractNum w:abstractNumId="41">
    <w:nsid w:val="100F8FCA"/>
    <w:multiLevelType w:val="hybridMultilevel"/>
    <w:lvl w:ilvl="0">
      <w:lvlJc w:val="left"/>
      <w:lvlText w:val="%1."/>
      <w:numFmt w:val="lowerRoman"/>
      <w:start w:val="2"/>
    </w:lvl>
  </w:abstractNum>
  <w:abstractNum w:abstractNumId="42">
    <w:nsid w:val="6590700B"/>
    <w:multiLevelType w:val="hybridMultilevel"/>
    <w:lvl w:ilvl="0">
      <w:lvlJc w:val="left"/>
      <w:lvlText w:val="(%1)"/>
      <w:numFmt w:val="decimal"/>
      <w:start w:val="4"/>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1)"/>
      <w:numFmt w:val="decimal"/>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1"/>
      <w:numFmt w:val="decimal"/>
      <w:start w:val="10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1)"/>
      <w:numFmt w:val="lowerLetter"/>
      <w:start w:val="1"/>
    </w:lvl>
  </w:abstractNum>
  <w:abstractNum w:abstractNumId="51">
    <w:nsid w:val="661E3F1E"/>
    <w:multiLevelType w:val="hybridMultilevel"/>
    <w:lvl w:ilvl="0">
      <w:lvlJc w:val="left"/>
      <w:lvlText w:val="(%1)"/>
      <w:numFmt w:val="lowerLetter"/>
      <w:start w:val="6"/>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Roman"/>
      <w:start w:val="6"/>
    </w:lvl>
  </w:abstractNum>
  <w:abstractNum w:abstractNumId="54">
    <w:nsid w:val="7BD3EE7B"/>
    <w:multiLevelType w:val="hybridMultilevel"/>
    <w:lvl w:ilvl="0">
      <w:lvlJc w:val="left"/>
      <w:lvlText w:val="(%1)"/>
      <w:numFmt w:val="lowerLetter"/>
      <w:start w:val="1"/>
    </w:lvl>
  </w:abstractNum>
  <w:abstractNum w:abstractNumId="55">
    <w:nsid w:val="51D9C56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56">
    <w:nsid w:val="613EFDC5"/>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35"/>
    </w:lvl>
  </w:abstractNum>
  <w:abstractNum w:abstractNumId="57">
    <w:nsid w:val="BF72B14"/>
    <w:multiLevelType w:val="hybridMultilevel"/>
    <w:lvl w:ilvl="0">
      <w:lvlJc w:val="left"/>
      <w:lvlText w:val="(%1)"/>
      <w:numFmt w:val="lowerLetter"/>
      <w:start w:val="3"/>
    </w:lvl>
  </w:abstractNum>
  <w:abstractNum w:abstractNumId="58">
    <w:nsid w:val="11447B7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59">
    <w:nsid w:val="42963E5A"/>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35"/>
    </w:lvl>
  </w:abstractNum>
  <w:abstractNum w:abstractNumId="60">
    <w:nsid w:val="A0382C5"/>
    <w:multiLevelType w:val="hybridMultilevel"/>
    <w:lvl w:ilvl="0">
      <w:lvlJc w:val="left"/>
      <w:lvlText w:val="(%1)"/>
      <w:numFmt w:val="upperLetter"/>
      <w:start w:val="1"/>
    </w:lvl>
  </w:abstractNum>
  <w:abstractNum w:abstractNumId="61">
    <w:nsid w:val="8F2B15E"/>
    <w:multiLevelType w:val="hybridMultilevel"/>
    <w:lvl w:ilvl="0">
      <w:lvlJc w:val="left"/>
      <w:lvlText w:val="%1"/>
      <w:numFmt w:val="upperLetter"/>
      <w:start w:val="1"/>
    </w:lvl>
    <w:lvl w:ilvl="1">
      <w:lvlJc w:val="left"/>
      <w:lvlText w:val="(%2)"/>
      <w:numFmt w:val="decimal"/>
      <w:start w:val="1"/>
    </w:lvl>
  </w:abstractNum>
  <w:abstractNum w:abstractNumId="62">
    <w:nsid w:val="1A32234B"/>
    <w:multiLevelType w:val="hybridMultilevel"/>
    <w:lvl w:ilvl="0">
      <w:lvlJc w:val="left"/>
      <w:lvlText w:val="(%1)"/>
      <w:numFmt w:val="upperLetter"/>
      <w:start w:val="4"/>
    </w:lvl>
    <w:lvl w:ilvl="1">
      <w:lvlJc w:val="left"/>
      <w:lvlText w:val="(%2)"/>
      <w:numFmt w:val="decimal"/>
      <w:start w:val="1"/>
    </w:lvl>
  </w:abstractNum>
  <w:abstractNum w:abstractNumId="63">
    <w:nsid w:val="3B0FD379"/>
    <w:multiLevelType w:val="hybridMultilevel"/>
    <w:lvl w:ilvl="0">
      <w:lvlJc w:val="left"/>
      <w:lvlText w:val="(%1)"/>
      <w:numFmt w:val="decimal"/>
      <w:start w:val="3"/>
    </w:lvl>
  </w:abstractNum>
  <w:abstractNum w:abstractNumId="64">
    <w:nsid w:val="68EB2F6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6"/>
    </w:lvl>
  </w:abstractNum>
  <w:abstractNum w:abstractNumId="65">
    <w:nsid w:val="4962813B"/>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66">
    <w:nsid w:val="60B6DF70"/>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67">
    <w:nsid w:val="6A5EE64"/>
    <w:multiLevelType w:val="hybridMultilevel"/>
    <w:lvl w:ilvl="0">
      <w:lvlJc w:val="left"/>
      <w:lvlText w:val="(%1)"/>
      <w:numFmt w:val="lowerLetter"/>
      <w:start w:val="3"/>
    </w:lvl>
    <w:lvl w:ilvl="1">
      <w:lvlJc w:val="left"/>
      <w:lvlText w:val="(%2)"/>
      <w:numFmt w:val="lowerLetter"/>
      <w:start w:val="9"/>
    </w:lvl>
  </w:abstractNum>
  <w:abstractNum w:abstractNumId="68">
    <w:nsid w:val="14330624"/>
    <w:multiLevelType w:val="hybridMultilevel"/>
    <w:lvl w:ilvl="0">
      <w:lvlJc w:val="left"/>
      <w:lvlText w:val="%1"/>
      <w:numFmt w:val="upperLetter"/>
      <w:start w:val="1"/>
    </w:lvl>
    <w:lvl w:ilvl="1">
      <w:lvlJc w:val="left"/>
      <w:lvlText w:val="(%2)"/>
      <w:numFmt w:val="lowerRoman"/>
      <w:start w:val="2"/>
    </w:lvl>
  </w:abstractNum>
  <w:abstractNum w:abstractNumId="69">
    <w:nsid w:val="7FFFCA11"/>
    <w:multiLevelType w:val="hybridMultilevel"/>
    <w:lvl w:ilvl="0">
      <w:lvlJc w:val="left"/>
      <w:lvlText w:val="(%1)"/>
      <w:numFmt w:val="upperLetter"/>
      <w:start w:val="1"/>
    </w:lvl>
    <w:lvl w:ilvl="1">
      <w:lvlJc w:val="left"/>
      <w:lvlText w:val="(%2)"/>
      <w:numFmt w:val="lowerRoman"/>
      <w:start w:val="4"/>
    </w:lvl>
  </w:abstractNum>
  <w:abstractNum w:abstractNumId="70">
    <w:nsid w:val="1A27709E"/>
    <w:multiLevelType w:val="hybridMultilevel"/>
    <w:lvl w:ilvl="0">
      <w:lvlJc w:val="left"/>
      <w:lvlText w:val="(%1)"/>
      <w:numFmt w:val="lowerLetter"/>
      <w:start w:val="1"/>
    </w:lvl>
  </w:abstractNum>
  <w:abstractNum w:abstractNumId="71">
    <w:nsid w:val="71EA1109"/>
    <w:multiLevelType w:val="hybridMultilevel"/>
    <w:lvl w:ilvl="0">
      <w:lvlJc w:val="left"/>
      <w:lvlText w:val="(%1)"/>
      <w:numFmt w:val="lowerRoman"/>
      <w:start w:val="3"/>
    </w:lvl>
  </w:abstractNum>
  <w:abstractNum w:abstractNumId="72">
    <w:nsid w:val="100F59DC"/>
    <w:multiLevelType w:val="hybridMultilevel"/>
    <w:lvl w:ilvl="0">
      <w:lvlJc w:val="left"/>
      <w:lvlText w:val="(%1)"/>
      <w:numFmt w:val="lowerLetter"/>
      <w:start w:val="1"/>
    </w:lvl>
  </w:abstractNum>
  <w:abstractNum w:abstractNumId="73">
    <w:nsid w:val="7FB7E0AA"/>
    <w:multiLevelType w:val="hybridMultilevel"/>
    <w:lvl w:ilvl="0">
      <w:lvlJc w:val="left"/>
      <w:lvlText w:val="(%1)"/>
      <w:numFmt w:val="lowerLetter"/>
      <w:start w:val="2"/>
    </w:lvl>
  </w:abstractNum>
  <w:abstractNum w:abstractNumId="74">
    <w:nsid w:val="6EB5BD4"/>
    <w:multiLevelType w:val="hybridMultilevel"/>
    <w:lvl w:ilvl="0">
      <w:lvlJc w:val="left"/>
      <w:lvlText w:val="(%1)"/>
      <w:numFmt w:val="lowerLetter"/>
      <w:start w:val="1"/>
    </w:lvl>
  </w:abstractNum>
  <w:abstractNum w:abstractNumId="75">
    <w:nsid w:val="6F6DD9AC"/>
    <w:multiLevelType w:val="hybridMultilevel"/>
    <w:lvl w:ilvl="0">
      <w:lvlJc w:val="left"/>
      <w:lvlText w:val="(%1)"/>
      <w:numFmt w:val="lowerLetter"/>
      <w:start w:val="2"/>
    </w:lvl>
  </w:abstractNum>
  <w:abstractNum w:abstractNumId="76">
    <w:nsid w:val="94211F2"/>
    <w:multiLevelType w:val="hybridMultilevel"/>
    <w:lvl w:ilvl="0">
      <w:lvlJc w:val="left"/>
      <w:lvlText w:val="(%1)"/>
      <w:numFmt w:val="lowerLetter"/>
      <w:start w:val="1"/>
    </w:lvl>
  </w:abstractNum>
  <w:abstractNum w:abstractNumId="77">
    <w:nsid w:val="885E1B"/>
    <w:multiLevelType w:val="hybridMultilevel"/>
    <w:lvl w:ilvl="0">
      <w:lvlJc w:val="left"/>
      <w:lvlText w:val="(%1)"/>
      <w:numFmt w:val="lowerRoman"/>
      <w:start w:val="1"/>
    </w:lvl>
  </w:abstractNum>
  <w:abstractNum w:abstractNumId="78">
    <w:nsid w:val="76272110"/>
    <w:multiLevelType w:val="hybridMultilevel"/>
    <w:lvl w:ilvl="0">
      <w:lvlJc w:val="left"/>
      <w:lvlText w:val="%1"/>
      <w:numFmt w:val="lowerRoman"/>
      <w:start w:val="1"/>
    </w:lvl>
    <w:lvl w:ilvl="1">
      <w:lvlJc w:val="left"/>
      <w:lvlText w:val="%2."/>
      <w:numFmt w:val="decimal"/>
      <w:start w:val="1"/>
    </w:lvl>
  </w:abstractNum>
  <w:abstractNum w:abstractNumId="79">
    <w:nsid w:val="4C04A8AF"/>
    <w:multiLevelType w:val="hybridMultilevel"/>
    <w:lvl w:ilvl="0">
      <w:lvlJc w:val="left"/>
      <w:lvlText w:val="(%1)"/>
      <w:numFmt w:val="lowerRoman"/>
      <w:start w:val="3"/>
    </w:lvl>
    <w:lvl w:ilvl="1">
      <w:lvlJc w:val="left"/>
      <w:lvlText w:val="%2"/>
      <w:numFmt w:val="decimal"/>
      <w:start w:val="1"/>
    </w:lvl>
  </w:abstractNum>
  <w:abstractNum w:abstractNumId="80">
    <w:nsid w:val="1716703B"/>
    <w:multiLevelType w:val="hybridMultilevel"/>
    <w:lvl w:ilvl="0">
      <w:lvlJc w:val="left"/>
      <w:lvlText w:val="%1."/>
      <w:numFmt w:val="decimal"/>
      <w:start w:val="5"/>
    </w:lvl>
    <w:lvl w:ilvl="1">
      <w:lvlJc w:val="left"/>
      <w:lvlText w:val="(%2)"/>
      <w:numFmt w:val="lowerLetter"/>
      <w:start w:val="1"/>
    </w:lvl>
  </w:abstractNum>
  <w:abstractNum w:abstractNumId="81">
    <w:nsid w:val="14E17E33"/>
    <w:multiLevelType w:val="hybridMultilevel"/>
    <w:lvl w:ilvl="0">
      <w:lvlJc w:val="left"/>
      <w:lvlText w:val="%1"/>
      <w:numFmt w:val="decimal"/>
      <w:start w:val="1"/>
    </w:lvl>
    <w:lvl w:ilvl="1">
      <w:lvlJc w:val="left"/>
      <w:lvlText w:val="(%2)"/>
      <w:numFmt w:val="lowerLetter"/>
      <w:start w:val="2"/>
    </w:lvl>
  </w:abstractNum>
  <w:abstractNum w:abstractNumId="82">
    <w:nsid w:val="3222E7CD"/>
    <w:multiLevelType w:val="hybridMultilevel"/>
    <w:lvl w:ilvl="0">
      <w:lvlJc w:val="left"/>
      <w:lvlText w:val="%1."/>
      <w:numFmt w:val="decimal"/>
      <w:start w:val="8"/>
    </w:lvl>
    <w:lvl w:ilvl="1">
      <w:lvlJc w:val="left"/>
      <w:lvlText w:val="%2"/>
      <w:numFmt w:val="lowerLetter"/>
      <w:start w:val="1"/>
    </w:lvl>
  </w:abstractNum>
  <w:abstractNum w:abstractNumId="83">
    <w:nsid w:val="74DE0EE3"/>
    <w:multiLevelType w:val="hybridMultilevel"/>
    <w:lvl w:ilvl="0">
      <w:lvlJc w:val="left"/>
      <w:lvlText w:val="%1."/>
      <w:numFmt w:val="decimal"/>
      <w:start w:val="9"/>
    </w:lvl>
  </w:abstractNum>
  <w:abstractNum w:abstractNumId="84">
    <w:nsid w:val="68EBC550"/>
    <w:multiLevelType w:val="hybridMultilevel"/>
    <w:lvl w:ilvl="0">
      <w:lvlJc w:val="left"/>
      <w:lvlText w:val="%1."/>
      <w:numFmt w:val="decimal"/>
      <w:start w:val="10"/>
    </w:lvl>
  </w:abstractNum>
  <w:abstractNum w:abstractNumId="85">
    <w:nsid w:val="2DF6D648"/>
    <w:multiLevelType w:val="hybridMultilevel"/>
    <w:lvl w:ilvl="0">
      <w:lvlJc w:val="left"/>
      <w:lvlText w:val="%1."/>
      <w:numFmt w:val="decimal"/>
      <w:start w:val="11"/>
    </w:lvl>
    <w:lvl w:ilvl="1">
      <w:lvlJc w:val="left"/>
      <w:lvlText w:val="(%2)"/>
      <w:numFmt w:val="lowerLetter"/>
      <w:start w:val="1"/>
    </w:lvl>
  </w:abstractNum>
  <w:abstractNum w:abstractNumId="86">
    <w:nsid w:val="46B7D447"/>
    <w:multiLevelType w:val="hybridMultilevel"/>
    <w:lvl w:ilvl="0">
      <w:lvlJc w:val="left"/>
      <w:lvlText w:val="%1"/>
      <w:numFmt w:val="lowerLetter"/>
      <w:start w:val="1"/>
    </w:lvl>
    <w:lvl w:ilvl="1">
      <w:lvlJc w:val="left"/>
      <w:lvlText w:val="(%2)"/>
      <w:numFmt w:val="lowerLetter"/>
      <w:start w:val="3"/>
    </w:lvl>
  </w:abstractNum>
  <w:abstractNum w:abstractNumId="87">
    <w:nsid w:val="4A2AC315"/>
    <w:multiLevelType w:val="hybridMultilevel"/>
    <w:lvl w:ilvl="0">
      <w:lvlJc w:val="left"/>
      <w:lvlText w:val="(%1)"/>
      <w:numFmt w:val="lowerLetter"/>
      <w:start w:val="9"/>
    </w:lvl>
    <w:lvl w:ilvl="1">
      <w:lvlJc w:val="left"/>
      <w:lvlText w:val="%2"/>
      <w:numFmt w:val="lowerLetter"/>
      <w:start w:val="1"/>
    </w:lvl>
  </w:abstractNum>
  <w:abstractNum w:abstractNumId="88">
    <w:nsid w:val="39EE015C"/>
    <w:multiLevelType w:val="hybridMultilevel"/>
    <w:lvl w:ilvl="0">
      <w:lvlJc w:val="left"/>
      <w:lvlText w:val="(%1)"/>
      <w:numFmt w:val="lowerLetter"/>
      <w:start w:val="9"/>
    </w:lvl>
  </w:abstractNum>
  <w:abstractNum w:abstractNumId="89">
    <w:nsid w:val="57FC4FBB"/>
    <w:multiLevelType w:val="hybridMultilevel"/>
    <w:lvl w:ilvl="0">
      <w:lvlJc w:val="left"/>
      <w:lvlText w:val="%1."/>
      <w:numFmt w:val="decimal"/>
      <w:start w:val="1"/>
    </w:lvl>
    <w:lvl w:ilvl="1">
      <w:lvlJc w:val="left"/>
      <w:lvlText w:val="%2."/>
      <w:numFmt w:val="lowerLetter"/>
      <w:start w:val="1"/>
    </w:lvl>
  </w:abstractNum>
  <w:abstractNum w:abstractNumId="90">
    <w:nsid w:val="CC1016F"/>
    <w:multiLevelType w:val="hybridMultilevel"/>
    <w:lvl w:ilvl="0">
      <w:lvlJc w:val="left"/>
      <w:lvlText w:val="%1."/>
      <w:numFmt w:val="decimal"/>
      <w:start w:val="5"/>
    </w:lvl>
    <w:lvl w:ilvl="1">
      <w:lvlJc w:val="left"/>
      <w:lvlText w:val="%2."/>
      <w:numFmt w:val="lowerLetter"/>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5"/>
    </w:lvl>
    <w:lvl w:ilvl="1">
      <w:lvlJc w:val="left"/>
      <w:lvlText w:val="%2."/>
      <w:numFmt w:val="lowerLetter"/>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03" Type="http://schemas.openxmlformats.org/officeDocument/2006/relationships/hyperlink" Target="https://www.sec.gov/Archives/edgar/data/1796022/000119312520248881/d23934dex31.htm" TargetMode="External"/><Relationship Id="rId104" Type="http://schemas.openxmlformats.org/officeDocument/2006/relationships/hyperlink" Target="https://www.sec.gov/Archives/edgar/data/1796022/000119312522276867/d38378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2023-02-09T15:47:53Z</dcterms:created>
  <dcterms:modified xsi:type="dcterms:W3CDTF">2023-02-09T15:47:53Z</dcterms:modified>
</cp:coreProperties>
</file>