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20,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STEPSTONE GROUP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48"/>
        </w:trPr>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spacing w:after="0"/>
              <w:rPr>
                <w:sz w:val="21"/>
                <w:szCs w:val="21"/>
                <w:color w:val="auto"/>
              </w:rPr>
            </w:pPr>
          </w:p>
        </w:tc>
        <w:tc>
          <w:tcPr>
            <w:tcW w:w="21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001-39510</w:t>
            </w:r>
          </w:p>
        </w:tc>
        <w:tc>
          <w:tcPr>
            <w:tcW w:w="32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84-3868757</w:t>
            </w:r>
          </w:p>
        </w:tc>
      </w:tr>
      <w:tr>
        <w:trPr>
          <w:trHeight w:val="211"/>
        </w:trPr>
        <w:tc>
          <w:tcPr>
            <w:tcW w:w="36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organization)</w:t>
            </w:r>
          </w:p>
        </w:tc>
        <w:tc>
          <w:tcPr>
            <w:tcW w:w="1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19"/>
        </w:trPr>
        <w:tc>
          <w:tcPr>
            <w:tcW w:w="36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277 Park Avenue, 45</w:t>
            </w:r>
            <w:r>
              <w:rPr>
                <w:rFonts w:ascii="Times New Roman" w:cs="Times New Roman" w:eastAsia="Times New Roman" w:hAnsi="Times New Roman"/>
                <w:sz w:val="23"/>
                <w:szCs w:val="23"/>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21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NY</w:t>
            </w:r>
          </w:p>
        </w:tc>
        <w:tc>
          <w:tcPr>
            <w:tcW w:w="32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10172</w:t>
            </w:r>
          </w:p>
        </w:tc>
      </w:tr>
      <w:tr>
        <w:trPr>
          <w:trHeight w:val="234"/>
        </w:trPr>
        <w:tc>
          <w:tcPr>
            <w:tcW w:w="36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351-6100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88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Class A common stock, par value $0.001 per</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STEP</w:t>
            </w:r>
          </w:p>
        </w:tc>
        <w:tc>
          <w:tcPr>
            <w:tcW w:w="4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49"/>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380" w:type="dxa"/>
            <w:vAlign w:val="bottom"/>
            <w:tcBorders>
              <w:right w:val="single" w:sz="8" w:color="auto"/>
            </w:tcBorders>
            <w:vMerge w:val="continue"/>
          </w:tcPr>
          <w:p>
            <w:pPr>
              <w:spacing w:after="0"/>
              <w:rPr>
                <w:sz w:val="12"/>
                <w:szCs w:val="12"/>
                <w:color w:val="auto"/>
              </w:rPr>
            </w:pPr>
          </w:p>
        </w:tc>
        <w:tc>
          <w:tcPr>
            <w:tcW w:w="4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8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231F20"/>
        </w:rPr>
        <w:t>☐</w:t>
      </w:r>
    </w:p>
    <w:p>
      <w:pPr>
        <w:spacing w:after="0" w:line="16"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On May 20, 2026, StepStone Group Inc. (the “Company”) issued a press release announcing its financial results for the fourth quarter and full fiscal year ended March 31, 2026. A copy of the press release is furnished as Exhibit 99.1 to this Current Report on Form 8-K and is incorporated by reference into this Item 2.02 as if fully set forth herein.</w:t>
      </w:r>
    </w:p>
    <w:p>
      <w:pPr>
        <w:spacing w:after="0" w:line="168"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auto"/>
        </w:rPr>
        <w:t>The information included in, or furnished with, this report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15"/>
                <w:szCs w:val="15"/>
                <w:color w:val="auto"/>
              </w:rPr>
            </w:pPr>
          </w:p>
        </w:tc>
        <w:tc>
          <w:tcPr>
            <w:tcW w:w="94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Press Release of StepStone Group Inc. dated May 20, 2026</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3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20"/>
          <w:szCs w:val="20"/>
          <w:color w:val="auto"/>
        </w:rPr>
        <w:t>Date: May 20, 2026</w:t>
      </w:r>
      <w:r>
        <w:rPr>
          <w:sz w:val="20"/>
          <w:szCs w:val="20"/>
          <w:color w:val="auto"/>
        </w:rPr>
        <w:tab/>
      </w:r>
      <w:r>
        <w:rPr>
          <w:rFonts w:ascii="Times New Roman" w:cs="Times New Roman" w:eastAsia="Times New Roman" w:hAnsi="Times New Roman"/>
          <w:sz w:val="19"/>
          <w:szCs w:val="19"/>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ectPr>
          <w:pgSz w:w="11900" w:h="16838" w:orient="portrait"/>
          <w:cols w:equalWidth="0" w:num="1">
            <w:col w:w="10880"/>
          </w:cols>
          <w:pgMar w:left="320" w:top="882" w:right="699" w:bottom="1440" w:gutter="0" w:footer="0" w:header="0"/>
        </w:sectPr>
      </w:pPr>
    </w:p>
    <w:bookmarkStart w:id="3" w:name="page4"/>
    <w:bookmarkEnd w:id="3"/>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11705"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11705" cy="3517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REPORTS FOURTH QUARTER AND FISCAL YEAR 2026 RESULTS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NEW YORK, May 20, 2026 – </w:t>
      </w:r>
      <w:r>
        <w:rPr>
          <w:rFonts w:ascii="Times New Roman" w:cs="Times New Roman" w:eastAsia="Times New Roman" w:hAnsi="Times New Roman"/>
          <w:sz w:val="20"/>
          <w:szCs w:val="20"/>
          <w:color w:val="auto"/>
        </w:rPr>
        <w:t>StepStone Group Inc. (Nasdaq: STEP), a global private markets investment firm focused on providing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customized investment solutions and advisory and data services, today reported results for the quarter ended March 31, 2026. This represents results for the fourth quarter and fiscal year ended March 31, 2026. The Board of Directors of the Company has declared a quarterly cash dividend of $0.28 per share of Class A common stock, and a supplemental cash dividend of $0.55 per share of Class A common stock, both payable on June 30, 2026, to the holders of record as of the close of business on June 15, 2026.</w:t>
      </w:r>
    </w:p>
    <w:p>
      <w:pPr>
        <w:spacing w:after="0" w:line="12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StepStone issued a full detailed presentation of its fourth quarter and full fiscal year ended March 31, 2026 results, which can be accessed by visiting the Company’s website at </w:t>
      </w:r>
      <w:r>
        <w:rPr>
          <w:rFonts w:ascii="Times New Roman" w:cs="Times New Roman" w:eastAsia="Times New Roman" w:hAnsi="Times New Roman"/>
          <w:sz w:val="20"/>
          <w:szCs w:val="20"/>
          <w:u w:val="single" w:color="auto"/>
          <w:color w:val="0000FF"/>
        </w:rPr>
        <w:t>https://shareholders.stepstonegroup.com</w:t>
      </w:r>
      <w:r>
        <w:rPr>
          <w:rFonts w:ascii="Times New Roman" w:cs="Times New Roman" w:eastAsia="Times New Roman" w:hAnsi="Times New Roman"/>
          <w:sz w:val="20"/>
          <w:szCs w:val="20"/>
          <w:b w:val="1"/>
          <w:bCs w:val="1"/>
          <w:i w:val="1"/>
          <w:iCs w:val="1"/>
          <w:color w:val="auto"/>
        </w:rPr>
        <w: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and Earnings Conference Call</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Management will host a webcast and conference call today, Wednesday, May 20, 2026 at 5:00 pm ET to discuss the Company’s results for the fourth quarter and fiscal year ended March 31, 2026. The webcast will be made available on the Shareholders section of the Company's website at </w:t>
      </w:r>
      <w:r>
        <w:rPr>
          <w:rFonts w:ascii="Times New Roman" w:cs="Times New Roman" w:eastAsia="Times New Roman" w:hAnsi="Times New Roman"/>
          <w:sz w:val="20"/>
          <w:szCs w:val="20"/>
          <w:u w:val="single" w:color="auto"/>
          <w:color w:val="0000FF"/>
        </w:rPr>
        <w:t>https://shareholders.stepstonegroup.com</w:t>
      </w:r>
      <w:r>
        <w:rPr>
          <w:rFonts w:ascii="Times New Roman" w:cs="Times New Roman" w:eastAsia="Times New Roman" w:hAnsi="Times New Roman"/>
          <w:sz w:val="20"/>
          <w:szCs w:val="20"/>
          <w:color w:val="auto"/>
        </w:rPr>
        <w:t>. To listen to a live broadcast, go to the site at least 15 minutes prior to the scheduled start time to register. A replay will also be available on the Shareholders section of the Company's website approximately two hours after the conclusion of the event.</w:t>
      </w:r>
    </w:p>
    <w:p>
      <w:pPr>
        <w:spacing w:after="0" w:line="111" w:lineRule="exact"/>
        <w:rPr>
          <w:sz w:val="20"/>
          <w:szCs w:val="20"/>
          <w:color w:val="auto"/>
        </w:rPr>
      </w:pPr>
    </w:p>
    <w:p>
      <w:pPr>
        <w:ind w:right="960"/>
        <w:spacing w:after="0" w:line="283" w:lineRule="auto"/>
        <w:rPr>
          <w:sz w:val="20"/>
          <w:szCs w:val="20"/>
          <w:color w:val="auto"/>
        </w:rPr>
      </w:pPr>
      <w:r>
        <w:rPr>
          <w:rFonts w:ascii="Times New Roman" w:cs="Times New Roman" w:eastAsia="Times New Roman" w:hAnsi="Times New Roman"/>
          <w:sz w:val="20"/>
          <w:szCs w:val="20"/>
          <w:color w:val="auto"/>
        </w:rPr>
        <w:t xml:space="preserve">To join as a live participant in the question and answer portion of the call, participants must register at </w:t>
      </w:r>
      <w:r>
        <w:rPr>
          <w:rFonts w:ascii="Times New Roman" w:cs="Times New Roman" w:eastAsia="Times New Roman" w:hAnsi="Times New Roman"/>
          <w:sz w:val="20"/>
          <w:szCs w:val="20"/>
          <w:u w:val="single" w:color="auto"/>
          <w:color w:val="0000FF"/>
        </w:rPr>
        <w:t>https://register-conf.media-server.com/register/BI9163fe26cabd4cc5b21fbe0592aac5b7</w:t>
      </w:r>
      <w:r>
        <w:rPr>
          <w:rFonts w:ascii="Times New Roman" w:cs="Times New Roman" w:eastAsia="Times New Roman" w:hAnsi="Times New Roman"/>
          <w:sz w:val="20"/>
          <w:szCs w:val="20"/>
          <w:color w:val="000000"/>
        </w:rPr>
        <w:t>.</w:t>
      </w:r>
    </w:p>
    <w:p>
      <w:pPr>
        <w:spacing w:after="0" w:line="79" w:lineRule="exact"/>
        <w:rPr>
          <w:sz w:val="20"/>
          <w:szCs w:val="20"/>
          <w:color w:val="auto"/>
        </w:rPr>
      </w:pPr>
    </w:p>
    <w:p>
      <w:pPr>
        <w:ind w:right="1120"/>
        <w:spacing w:after="0" w:line="401" w:lineRule="auto"/>
        <w:rPr>
          <w:sz w:val="20"/>
          <w:szCs w:val="20"/>
          <w:color w:val="auto"/>
        </w:rPr>
      </w:pPr>
      <w:r>
        <w:rPr>
          <w:rFonts w:ascii="Times New Roman" w:cs="Times New Roman" w:eastAsia="Times New Roman" w:hAnsi="Times New Roman"/>
          <w:sz w:val="20"/>
          <w:szCs w:val="20"/>
          <w:color w:val="auto"/>
        </w:rPr>
        <w:t xml:space="preserve">Upon registering you will receive the dial-in number and a PIN to join the call as well as an email confirmation with the details. </w:t>
      </w:r>
      <w:r>
        <w:rPr>
          <w:rFonts w:ascii="Times New Roman" w:cs="Times New Roman" w:eastAsia="Times New Roman" w:hAnsi="Times New Roman"/>
          <w:sz w:val="20"/>
          <w:szCs w:val="20"/>
          <w:b w:val="1"/>
          <w:bCs w:val="1"/>
          <w:color w:val="auto"/>
        </w:rPr>
        <w:t>About StepStone Group</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StepStone Group Inc. (Nasdaq: STEP) is a global private markets investment firm focused on providing customized investment solutions and advisory and data services to its clients. As of March 31, 2026, StepStone was responsible for approximately $885 billion of total capital, including $233 billion of assets under management. StepStone's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StepStone partners with its clients to develop and build private markets portfolios designed to meet their specific objectives across the private equity, infrastructure, private debt and real estate asset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Some of the statements in this release may constitute “forward-looking statements” within the meaning of Section 27A of the Securities Act of 1933, Section 21E of the Securities Exchange Act of 1934 and the Private Securities Litigation Reform Act of 1995. All statements other than statements of historical fact are forward-looking. Words such as “anticipate,” “believe,” “continue,” “estimate,” “expect,” “future,” “intend,” “may,” “plan” and “will” and similar expressions identify forward-looking statements. Forward-looking statements reflect management’s current plans, estimates and expectations and are inherently uncertain. The inclusion of any forward-looking information in this release should not be regarded as a representation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the “Risk Factors” section of our annual report on Form 10-K filed with the U.S. Securities and Exchange Commission (the “SEC”) on May 23, 2025, and in our annual report on Form 10-K to be filed with the SEC for the fiscal year ended March 31, 2026, and in our subsequent reports filed with the SEC, as such factors may be updated from time to time. We undertake no obligation to revise or update any forward-looking statements, whether as a result of new information, future events or otherwise, except as may be required by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To supplement our consolidated financial statements, which are prepared and presented in accordance with generally accepted accounting principles in the United States (“GAAP”), we use the following non-GAAP financial measures: fee revenues, adjusted revenues, adjusted net income (on both a pre-tax and after-tax basis), adjusted net income per share, adjusted weighted-average shares, fee-related earnings, fee-related earnings margin, gross realized performance fees and performance fee-related earnings. We have provided this non-GAAP financial information, which is not calculated or presented in accordance with GAAP, as information supplemental and in addition to the financial measures presented in this earnings release that are calculated and presented in accordance with GAAP. Such non-GAAP financial measures should not be considered superior to, as a substitute for or alternative to, and should be considered in conjunction with, the GAAP financial measures presented in this earnings release. The presentation of these measures should not be construed as an inference that our future results will be unaffected by unusual or non-recurring items. In addition, the non-GAAP financial measures in this earnings release may not be comparable to similarly titled measures used by other companies in our industry or across different industries. For definitions of these non-GAAP measures and reconciliations to applicable GAAP measures, please see the section titled “Non-GAAP Financial Measures: Definitions and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34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Financial Highlights and Key Business Drivers/Operating Metrics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8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7"/>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w:t>
            </w: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share amounts and where noted)</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vs. FQ4'25</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vs. FY'25</w:t>
            </w:r>
          </w:p>
        </w:tc>
        <w:tc>
          <w:tcPr>
            <w:tcW w:w="0" w:type="dxa"/>
            <w:vAlign w:val="bottom"/>
          </w:tcPr>
          <w:p>
            <w:pPr>
              <w:spacing w:after="0"/>
              <w:rPr>
                <w:sz w:val="1"/>
                <w:szCs w:val="1"/>
                <w:color w:val="auto"/>
              </w:rPr>
            </w:pPr>
          </w:p>
        </w:tc>
      </w:tr>
      <w:tr>
        <w:trPr>
          <w:trHeight w:val="37"/>
        </w:trPr>
        <w:tc>
          <w:tcPr>
            <w:tcW w:w="2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Highlights</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GAAP Results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Management and advisory fees,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213,401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211,173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215,489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239,932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259,871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767,014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926,465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9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377,729</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364,287</w:t>
            </w:r>
          </w:p>
        </w:tc>
        <w:tc>
          <w:tcPr>
            <w:tcW w:w="10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454,225</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586,511</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588,580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1,174,830</w:t>
            </w:r>
          </w:p>
        </w:tc>
        <w:tc>
          <w:tcPr>
            <w:tcW w:w="1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1,993,603</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performance fees</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164,328</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153,114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238,736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346,579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328,709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407,816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1,067,138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0" w:type="dxa"/>
            <w:vAlign w:val="bottom"/>
          </w:tcPr>
          <w:p>
            <w:pPr>
              <w:spacing w:after="0"/>
              <w:rPr>
                <w:sz w:val="1"/>
                <w:szCs w:val="1"/>
                <w:color w:val="auto"/>
              </w:rPr>
            </w:pPr>
          </w:p>
        </w:tc>
      </w:tr>
      <w:tr>
        <w:trPr>
          <w:trHeight w:val="19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13,153</w:t>
            </w: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(12,011)</w:t>
            </w:r>
          </w:p>
        </w:tc>
        <w:tc>
          <w:tcPr>
            <w:tcW w:w="10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(575,490)</w:t>
            </w: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(162,435)</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(172,827)</w:t>
            </w:r>
          </w:p>
        </w:tc>
        <w:tc>
          <w:tcPr>
            <w:tcW w:w="1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(743,276)</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 per share of</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Class A common stock:</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0" w:type="dxa"/>
            <w:vAlign w:val="bottom"/>
          </w:tcPr>
          <w:p>
            <w:pPr>
              <w:spacing w:after="0"/>
              <w:rPr>
                <w:sz w:val="1"/>
                <w:szCs w:val="1"/>
                <w:color w:val="auto"/>
              </w:rPr>
            </w:pPr>
          </w:p>
        </w:tc>
      </w:tr>
      <w:tr>
        <w:trPr>
          <w:trHeight w:val="166"/>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Weighted-average shares of Class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 common stock:</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75,975,770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77,846,710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78,561,587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79,465,039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80,297,984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71,142,916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79,039,229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93"/>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75,975,770</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77,846,710</w:t>
            </w:r>
          </w:p>
        </w:tc>
        <w:tc>
          <w:tcPr>
            <w:tcW w:w="10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78,561,587</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79,465,039</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80,297,984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71,142,916</w:t>
            </w:r>
          </w:p>
        </w:tc>
        <w:tc>
          <w:tcPr>
            <w:tcW w:w="1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79,039,229</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1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Quarterly dividend per share of</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Class A common stock</w:t>
            </w:r>
            <w:r>
              <w:rPr>
                <w:rFonts w:ascii="Times New Roman" w:cs="Times New Roman" w:eastAsia="Times New Roman" w:hAnsi="Times New Roman"/>
                <w:sz w:val="9"/>
                <w:szCs w:val="9"/>
                <w:color w:val="auto"/>
              </w:rPr>
              <w:t>(1)</w:t>
            </w: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Supplemental dividend per share</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1"/>
                <w:szCs w:val="11"/>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0" w:type="dxa"/>
            <w:vAlign w:val="bottom"/>
          </w:tcPr>
          <w:p>
            <w:pPr>
              <w:spacing w:after="0"/>
              <w:rPr>
                <w:sz w:val="1"/>
                <w:szCs w:val="1"/>
                <w:color w:val="auto"/>
              </w:rPr>
            </w:pPr>
          </w:p>
        </w:tc>
      </w:tr>
      <w:tr>
        <w:trPr>
          <w:trHeight w:val="195"/>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of Class A common stock</w:t>
            </w:r>
            <w:r>
              <w:rPr>
                <w:rFonts w:ascii="Times New Roman" w:cs="Times New Roman" w:eastAsia="Times New Roman" w:hAnsi="Times New Roman"/>
                <w:sz w:val="9"/>
                <w:szCs w:val="9"/>
                <w:color w:val="auto"/>
              </w:rPr>
              <w:t>(2)</w:t>
            </w: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carried interest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allocations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1,495,664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1,585,209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1,733,922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1,835,862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2,036,892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36 %</w:t>
            </w: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b w:val="1"/>
                <w:bCs w:val="1"/>
                <w:color w:val="auto"/>
              </w:rPr>
              <w:t>Non-GAAP Results</w:t>
            </w:r>
            <w:r>
              <w:rPr>
                <w:rFonts w:ascii="Times New Roman" w:cs="Times New Roman" w:eastAsia="Times New Roman" w:hAnsi="Times New Roman"/>
                <w:sz w:val="18"/>
                <w:szCs w:val="18"/>
                <w:b w:val="1"/>
                <w:bCs w:val="1"/>
                <w:color w:val="auto"/>
                <w:vertAlign w:val="superscript"/>
              </w:rPr>
              <w:t>(3)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Fee revenues</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214,662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212,740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217,461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241,133</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260,285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770,489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931,619</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revenues</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295,861</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237,467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282,342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494,500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305,841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969,719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1,320,150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9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Fee-related earnings (“FRE”)</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94,081</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81,246</w:t>
            </w:r>
          </w:p>
        </w:tc>
        <w:tc>
          <w:tcPr>
            <w:tcW w:w="10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78,633</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89,236</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105,334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312,204</w:t>
            </w:r>
          </w:p>
        </w:tc>
        <w:tc>
          <w:tcPr>
            <w:tcW w:w="1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354,449</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FRE margin</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Gross realized performance fees</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81,199</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24,727</w:t>
            </w:r>
          </w:p>
        </w:tc>
        <w:tc>
          <w:tcPr>
            <w:tcW w:w="10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64,881</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253,367</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45,556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199,230</w:t>
            </w:r>
          </w:p>
        </w:tc>
        <w:tc>
          <w:tcPr>
            <w:tcW w:w="1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388,531</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Performance fee-related earnings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41,543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13,022</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33,886</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131,152</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17,894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104,482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195,954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9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net income (“ANI”)</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80,603</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48,534</w:t>
            </w:r>
          </w:p>
        </w:tc>
        <w:tc>
          <w:tcPr>
            <w:tcW w:w="10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66,709</w:t>
            </w: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79,858</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69,459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244,072</w:t>
            </w:r>
          </w:p>
        </w:tc>
        <w:tc>
          <w:tcPr>
            <w:tcW w:w="1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264,560</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weighted-average shares</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99"/>
              </w:rPr>
              <w:t>118,869,111</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122,292,943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9"/>
              </w:rPr>
              <w:t>122,462,594</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99"/>
              </w:rPr>
              <w:t>122,590,230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122,481,335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99"/>
              </w:rPr>
              <w:t>118,772,442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122,457,089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ANI per share</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Key Business Drivers/Operating</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Metrics </w:t>
            </w:r>
            <w:r>
              <w:rPr>
                <w:rFonts w:ascii="Times New Roman" w:cs="Times New Roman" w:eastAsia="Times New Roman" w:hAnsi="Times New Roman"/>
                <w:sz w:val="14"/>
                <w:szCs w:val="14"/>
                <w:i w:val="1"/>
                <w:iCs w:val="1"/>
                <w:color w:val="auto"/>
              </w:rPr>
              <w:t>(in billions)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Assets under management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219.8</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23 %</w:t>
            </w: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(“AUM”)</w:t>
            </w:r>
            <w:r>
              <w:rPr>
                <w:rFonts w:ascii="Times New Roman" w:cs="Times New Roman" w:eastAsia="Times New Roman" w:hAnsi="Times New Roman"/>
                <w:sz w:val="9"/>
                <w:szCs w:val="9"/>
                <w:color w:val="auto"/>
              </w:rPr>
              <w:t>(4)</w:t>
            </w: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Assets under advisement (“AUA”)</w:t>
            </w:r>
          </w:p>
        </w:tc>
        <w:tc>
          <w:tcPr>
            <w:tcW w:w="10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tcPr>
          <w:p>
            <w:pPr>
              <w:spacing w:after="0"/>
              <w:rPr>
                <w:sz w:val="11"/>
                <w:szCs w:val="11"/>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tcPr>
          <w:p>
            <w:pPr>
              <w:spacing w:after="0"/>
              <w:rPr>
                <w:sz w:val="11"/>
                <w:szCs w:val="11"/>
                <w:color w:val="auto"/>
              </w:rPr>
            </w:pPr>
          </w:p>
        </w:tc>
        <w:tc>
          <w:tcPr>
            <w:tcW w:w="9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561.6</w:t>
            </w:r>
          </w:p>
        </w:tc>
        <w:tc>
          <w:tcPr>
            <w:tcW w:w="10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591.3</w:t>
            </w:r>
          </w:p>
        </w:tc>
        <w:tc>
          <w:tcPr>
            <w:tcW w:w="100" w:type="dxa"/>
            <w:vAlign w:val="bottom"/>
          </w:tcPr>
          <w:p>
            <w:pPr>
              <w:spacing w:after="0"/>
              <w:rPr>
                <w:sz w:val="11"/>
                <w:szCs w:val="11"/>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651.8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25 %</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1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Fee-earning AUM (“FEAUM”)</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19 %</w:t>
            </w: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Undeployed fee-earning capital</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(“UFEC”)</w:t>
            </w:r>
          </w:p>
        </w:tc>
        <w:tc>
          <w:tcPr>
            <w:tcW w:w="1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63 %</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_______________________________</w:t>
      </w:r>
    </w:p>
    <w:p>
      <w:pPr>
        <w:spacing w:after="0" w:line="26"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paid, as reported in this table, relate to the preceding quarterly period in which they were earned.</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supplemental cash dividend relates to earnings in respect of our full fiscal years 2024 and 2025, respectively.</w:t>
      </w:r>
    </w:p>
    <w:p>
      <w:pPr>
        <w:spacing w:after="0" w:line="14" w:lineRule="exact"/>
        <w:rPr>
          <w:rFonts w:ascii="Times New Roman" w:cs="Times New Roman" w:eastAsia="Times New Roman" w:hAnsi="Times New Roman"/>
          <w:sz w:val="14"/>
          <w:szCs w:val="14"/>
          <w:color w:val="auto"/>
        </w:rPr>
      </w:pPr>
    </w:p>
    <w:p>
      <w:pPr>
        <w:jc w:val="both"/>
        <w:ind w:left="660" w:right="220" w:hanging="652"/>
        <w:spacing w:after="0" w:line="261" w:lineRule="auto"/>
        <w:tabs>
          <w:tab w:leader="none" w:pos="65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revenues, adjusted revenues, FRE, FRE margin, gross realized performance fees, PRE, ANI, adjusted weighted-average shares and ANI per share are non-GAAP measures. See the definitions of these measures and reconciliations to the respective, most comparable GAAP measures under “Non-GAAP Financial Measures: Definitions and Reconciliations.”</w:t>
      </w:r>
    </w:p>
    <w:p>
      <w:pPr>
        <w:ind w:left="660" w:right="20" w:hanging="652"/>
        <w:spacing w:after="0" w:line="262" w:lineRule="auto"/>
        <w:tabs>
          <w:tab w:leader="none" w:pos="652" w:val="left"/>
        </w:tabs>
        <w:numPr>
          <w:ilvl w:val="0"/>
          <w:numId w:val="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AUM/AUA reflects final data for the prior period, adjusted for net new client account activity through the period presented. Does not include post-period investment valuation or cash activity. Net asset value (“NAV”) data for underlying investments is as of the prior period, as reported by underlying managers up to the business day occurring on or after 100 days, or 115 days at the fiscal year-end, following the prior period end. When NAV data is not available by the business day occurring on or after 100 days, or 115 days at the fiscal year-end, following the prior period end, such NAVs are adjusted for cash activity following the last available reported NAV.</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213,065</w:t>
            </w:r>
          </w:p>
        </w:tc>
        <w:tc>
          <w:tcPr>
            <w:tcW w:w="24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244,791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Fees and accounts receivable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133,287</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from affiliates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113,150</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 in funds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249,447</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carried interest allocations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2,036,892</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1,495,664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Legacy Greenspring investments in funds and accrued carried interest allocations</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752,776</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614,788</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382,886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81,565</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58,946</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 net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223,044</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263,872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580,542</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Assets of Consolidated Funds: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905,357</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715,335</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83,929</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6,762,702</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4,586,693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102,685</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2,360,770</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736,695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carried interest-related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1,100,604</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Legacy Greenspring accrued carried interest-related compensation</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619,186</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affiliates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362,833</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103,600</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113,519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obligations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270,572</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Liabilities of Consolidated Funds: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25,241</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obligations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931,185</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8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5,876,676</w:t>
            </w: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2,812,321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 in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186,236</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377,897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 in subsidiaries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8,777</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$0.001 par value, 650,000,000 authorized; 80,703,553 and 76,761,399 issued and outstanding as of March 31, 2026</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2025,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$0.001 par value, 125,000,000 authorized; 38,637,761 and 39,656,954 issued and outstanding as of March 31, 2026</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2025, respectively</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482,057</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(896,879)</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(242,546)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StepStone Group Inc. stockholders’ equity</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(413,559)</w:t>
            </w:r>
          </w:p>
        </w:tc>
        <w:tc>
          <w:tcPr>
            <w:tcW w:w="2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179,356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in subsidiaries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1,373,242</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 in legacy Greenspring entities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133,590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in the Partnership</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(402,260)</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691,013</w:t>
            </w:r>
          </w:p>
        </w:tc>
        <w:tc>
          <w:tcPr>
            <w:tcW w:w="2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1,390,148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8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6,762,702</w:t>
            </w: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4,586,693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7"/>
              </w:rPr>
              <w:t>(1)</w:t>
            </w:r>
          </w:p>
        </w:tc>
        <w:tc>
          <w:tcPr>
            <w:tcW w:w="7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Reflects amounts attributable to consolidated VIEs for which the Company did not acquire any direct economic interests.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60" w:type="dxa"/>
            <w:vAlign w:val="bottom"/>
            <w:gridSpan w:val="2"/>
            <w:vMerge w:val="continue"/>
          </w:tcPr>
          <w:p>
            <w:pPr>
              <w:spacing w:after="0"/>
              <w:rPr>
                <w:sz w:val="24"/>
                <w:szCs w:val="24"/>
                <w:color w:val="auto"/>
              </w:rPr>
            </w:pPr>
          </w:p>
        </w:tc>
        <w:tc>
          <w:tcPr>
            <w:tcW w:w="7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GAAP Consolidated Statements of Loss</w:t>
      </w:r>
    </w:p>
    <w:p>
      <w:pPr>
        <w:spacing w:after="0" w:line="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March 31,</w:t>
            </w:r>
          </w:p>
        </w:tc>
        <w:tc>
          <w:tcPr>
            <w:tcW w:w="760" w:type="dxa"/>
            <w:vAlign w:val="bottom"/>
          </w:tcPr>
          <w:p>
            <w:pPr>
              <w:spacing w:after="0"/>
              <w:rPr>
                <w:sz w:val="14"/>
                <w:szCs w:val="14"/>
                <w:color w:val="auto"/>
              </w:rPr>
            </w:pPr>
          </w:p>
        </w:tc>
      </w:tr>
      <w:tr>
        <w:trPr>
          <w:trHeight w:val="29"/>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67"/>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2"/>
              </w:rPr>
              <w:t>2025</w:t>
            </w:r>
          </w:p>
        </w:tc>
      </w:tr>
      <w:tr>
        <w:trPr>
          <w:trHeight w:val="29"/>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6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73"/>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300" w:type="dxa"/>
            <w:vAlign w:val="bottom"/>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259,871</w:t>
            </w:r>
          </w:p>
        </w:tc>
        <w:tc>
          <w:tcPr>
            <w:tcW w:w="24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213,401</w:t>
            </w:r>
          </w:p>
        </w:tc>
        <w:tc>
          <w:tcPr>
            <w:tcW w:w="24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926,465</w:t>
            </w:r>
          </w:p>
        </w:tc>
        <w:tc>
          <w:tcPr>
            <w:tcW w:w="240" w:type="dxa"/>
            <w:vAlign w:val="bottom"/>
          </w:tcPr>
          <w:p>
            <w:pPr>
              <w:spacing w:after="0"/>
              <w:rPr>
                <w:sz w:val="15"/>
                <w:szCs w:val="15"/>
                <w:color w:val="auto"/>
              </w:rPr>
            </w:pPr>
          </w:p>
        </w:tc>
        <w:tc>
          <w:tcPr>
            <w:tcW w:w="50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767,014</w:t>
            </w:r>
          </w:p>
        </w:tc>
      </w:tr>
      <w:tr>
        <w:trPr>
          <w:trHeight w:val="29"/>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73"/>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220,133</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32,275</w:t>
            </w:r>
          </w:p>
        </w:tc>
      </w:tr>
      <w:tr>
        <w:trPr>
          <w:trHeight w:val="29"/>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73"/>
        </w:trPr>
        <w:tc>
          <w:tcPr>
            <w:tcW w:w="53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38,597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75,935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168,582</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159,653</w:t>
            </w:r>
          </w:p>
        </w:tc>
      </w:tr>
      <w:tr>
        <w:trPr>
          <w:trHeight w:val="29"/>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5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201,031</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21,177</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539,712</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141,547</w:t>
            </w:r>
          </w:p>
        </w:tc>
      </w:tr>
      <w:tr>
        <w:trPr>
          <w:trHeight w:val="167"/>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239,628</w:t>
            </w: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97,112</w:t>
            </w: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708,294</w:t>
            </w:r>
          </w:p>
        </w:tc>
        <w:tc>
          <w:tcPr>
            <w:tcW w:w="2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301,200</w:t>
            </w:r>
          </w:p>
        </w:tc>
      </w:tr>
      <w:tr>
        <w:trPr>
          <w:trHeight w:val="29"/>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81,994</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61,306</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138,711</w:t>
            </w:r>
          </w:p>
        </w:tc>
        <w:tc>
          <w:tcPr>
            <w:tcW w:w="2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74,341</w:t>
            </w:r>
          </w:p>
        </w:tc>
      </w:tr>
      <w:tr>
        <w:trPr>
          <w:trHeight w:val="167"/>
        </w:trPr>
        <w:tc>
          <w:tcPr>
            <w:tcW w:w="5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performance fees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328,709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164,328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1,067,138</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407,816</w:t>
            </w:r>
          </w:p>
        </w:tc>
      </w:tr>
      <w:tr>
        <w:trPr>
          <w:trHeight w:val="29"/>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588,580</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377,729</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1,993,603</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1,174,830</w:t>
            </w:r>
          </w:p>
        </w:tc>
      </w:tr>
      <w:tr>
        <w:trPr>
          <w:trHeight w:val="153"/>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29"/>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73"/>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85,510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414,147</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331,808</w:t>
            </w:r>
          </w:p>
        </w:tc>
      </w:tr>
      <w:tr>
        <w:trPr>
          <w:trHeight w:val="29"/>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200,061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126,197</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1,742,057</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669,126</w:t>
            </w:r>
          </w:p>
        </w:tc>
      </w:tr>
      <w:tr>
        <w:trPr>
          <w:trHeight w:val="173"/>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9"/>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Realized</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27,662</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39,656</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192,577</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94,748</w:t>
            </w:r>
          </w:p>
        </w:tc>
      </w:tr>
      <w:tr>
        <w:trPr>
          <w:trHeight w:val="173"/>
        </w:trPr>
        <w:tc>
          <w:tcPr>
            <w:tcW w:w="538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Unrealized</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140,091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27,777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342,225</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94,272</w:t>
            </w:r>
          </w:p>
        </w:tc>
      </w:tr>
      <w:tr>
        <w:trPr>
          <w:trHeight w:val="30"/>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6"/>
        </w:trPr>
        <w:tc>
          <w:tcPr>
            <w:tcW w:w="5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167,753</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67,433</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534,802</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189,020</w:t>
            </w:r>
          </w:p>
        </w:tc>
      </w:tr>
      <w:tr>
        <w:trPr>
          <w:trHeight w:val="203"/>
        </w:trPr>
        <w:tc>
          <w:tcPr>
            <w:tcW w:w="5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81,994</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61,306</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138,711</w:t>
            </w:r>
          </w:p>
        </w:tc>
        <w:tc>
          <w:tcPr>
            <w:tcW w:w="2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74,341</w:t>
            </w:r>
          </w:p>
        </w:tc>
      </w:tr>
      <w:tr>
        <w:trPr>
          <w:trHeight w:val="176"/>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560,508</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340,446</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2,829,717</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1,264,295</w:t>
            </w:r>
          </w:p>
        </w:tc>
      </w:tr>
      <w:tr>
        <w:trPr>
          <w:trHeight w:val="173"/>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48,408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43,152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187,254</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177,354</w:t>
            </w:r>
          </w:p>
        </w:tc>
      </w:tr>
      <w:tr>
        <w:trPr>
          <w:trHeight w:val="30"/>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5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608,916</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383,598</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3,016,971</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1,441,649</w:t>
            </w:r>
          </w:p>
        </w:tc>
      </w:tr>
      <w:tr>
        <w:trPr>
          <w:trHeight w:val="153"/>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21,688</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9,386</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40,819</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15,096</w:t>
            </w:r>
          </w:p>
        </w:tc>
      </w:tr>
      <w:tr>
        <w:trPr>
          <w:trHeight w:val="203"/>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34,496</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92,407</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65,374</w:t>
            </w:r>
          </w:p>
        </w:tc>
      </w:tr>
      <w:tr>
        <w:trPr>
          <w:trHeight w:val="173"/>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11,833</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10,850</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(18,502)</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(12,701)</w:t>
            </w:r>
          </w:p>
        </w:tc>
      </w:tr>
      <w:tr>
        <w:trPr>
          <w:trHeight w:val="173"/>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(32,650)</w:t>
            </w:r>
          </w:p>
        </w:tc>
      </w:tr>
      <w:tr>
        <w:trPr>
          <w:trHeight w:val="30"/>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5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19,992</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15,819</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132,199</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44,784</w:t>
            </w:r>
          </w:p>
        </w:tc>
      </w:tr>
      <w:tr>
        <w:trPr>
          <w:trHeight w:val="166"/>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9,950</w:t>
            </w: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(891,169)</w:t>
            </w:r>
          </w:p>
        </w:tc>
        <w:tc>
          <w:tcPr>
            <w:tcW w:w="2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(222,035)</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(7,004)</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(147,893)</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(49,208)</w:t>
            </w:r>
          </w:p>
        </w:tc>
      </w:tr>
      <w:tr>
        <w:trPr>
          <w:trHeight w:val="167"/>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6,660</w:t>
            </w: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13,153</w:t>
            </w: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(743,276)</w:t>
            </w:r>
          </w:p>
        </w:tc>
        <w:tc>
          <w:tcPr>
            <w:tcW w:w="2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(172,827)</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16,316</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103,782</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79,282</w:t>
            </w:r>
          </w:p>
        </w:tc>
      </w:tr>
      <w:tr>
        <w:trPr>
          <w:trHeight w:val="203"/>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8"/>
              </w:rPr>
              <w:t>Less: Net income (loss) attributable to non-controlling interests in legacy Greenspring entities</w:t>
            </w:r>
            <w:r>
              <w:rPr>
                <w:rFonts w:ascii="Times New Roman" w:cs="Times New Roman" w:eastAsia="Times New Roman" w:hAnsi="Times New Roman"/>
                <w:sz w:val="16"/>
                <w:szCs w:val="16"/>
                <w:color w:val="auto"/>
                <w:w w:val="98"/>
                <w:vertAlign w:val="superscript"/>
              </w:rPr>
              <w:t>(1)</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r>
      <w:tr>
        <w:trPr>
          <w:trHeight w:val="183"/>
        </w:trPr>
        <w:tc>
          <w:tcPr>
            <w:tcW w:w="5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in the Partnership</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(15,358)</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(17,994)</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(384,633)</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(125,850)</w:t>
            </w:r>
          </w:p>
        </w:tc>
      </w:tr>
      <w:tr>
        <w:trPr>
          <w:trHeight w:val="157"/>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redeemable non-controlling interests in Consolidated</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53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Funds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30,630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65,988</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53,731</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5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redeemable non-controlling interests in subsidiaries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StepStone Group Inc.</w:t>
            </w: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(7,791)</w:t>
            </w:r>
          </w:p>
        </w:tc>
        <w:tc>
          <w:tcPr>
            <w:tcW w:w="2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(18,508)</w:t>
            </w:r>
          </w:p>
        </w:tc>
        <w:tc>
          <w:tcPr>
            <w:tcW w:w="2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(535,808)</w:t>
            </w:r>
          </w:p>
        </w:tc>
        <w:tc>
          <w:tcPr>
            <w:tcW w:w="24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(179,563)</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1"/>
        </w:trPr>
        <w:tc>
          <w:tcPr>
            <w:tcW w:w="53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Net loss per share of Class A common stock:</w:t>
            </w: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73"/>
        </w:trPr>
        <w:tc>
          <w:tcPr>
            <w:tcW w:w="53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4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24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40" w:type="dxa"/>
            <w:vAlign w:val="bottom"/>
          </w:tcPr>
          <w:p>
            <w:pPr>
              <w:spacing w:after="0"/>
              <w:rPr>
                <w:sz w:val="15"/>
                <w:szCs w:val="15"/>
                <w:color w:val="auto"/>
              </w:rPr>
            </w:pPr>
          </w:p>
        </w:tc>
        <w:tc>
          <w:tcPr>
            <w:tcW w:w="50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73"/>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53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80,297,984</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75,975,770</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79,039,229</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71,142,916</w:t>
            </w:r>
          </w:p>
        </w:tc>
      </w:tr>
      <w:tr>
        <w:trPr>
          <w:trHeight w:val="173"/>
        </w:trPr>
        <w:tc>
          <w:tcPr>
            <w:tcW w:w="53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80,297,984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75,975,770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79,039,229</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71,142,916</w:t>
            </w:r>
          </w:p>
        </w:tc>
      </w:tr>
    </w:tbl>
    <w:p>
      <w:pPr>
        <w:spacing w:after="0" w:line="317"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the Company did not acquire any direct economic interests.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34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Non-GAAP Financial Measures: Definitions and Reconciliations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 Revenues</w:t>
      </w:r>
    </w:p>
    <w:p>
      <w:pPr>
        <w:spacing w:after="0" w:line="22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Fee revenues represents management and advisory fees, net, including amounts earned from the Consolidated Funds which are eliminated in consolidation. We believe fee revenues is useful to investors because it presents the net amount of management and advisory fee revenues attributable to us.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presents the components of fee revenues.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38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8"/>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gridSpan w:val="2"/>
          </w:tcPr>
          <w:p>
            <w:pPr>
              <w:jc w:val="center"/>
              <w:ind w:left="2"/>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4"/>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7"/>
                <w:szCs w:val="17"/>
                <w:color w:val="auto"/>
              </w:rPr>
            </w:pP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7"/>
                <w:szCs w:val="17"/>
                <w:color w:val="auto"/>
              </w:rPr>
            </w:pPr>
          </w:p>
        </w:tc>
        <w:tc>
          <w:tcPr>
            <w:tcW w:w="9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7"/>
                <w:szCs w:val="17"/>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38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7"/>
        </w:trPr>
        <w:tc>
          <w:tcPr>
            <w:tcW w:w="38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Focused commingled funds</w:t>
            </w:r>
            <w:r>
              <w:rPr>
                <w:rFonts w:ascii="Times New Roman" w:cs="Times New Roman" w:eastAsia="Times New Roman" w:hAnsi="Times New Roman"/>
                <w:sz w:val="21"/>
                <w:szCs w:val="21"/>
                <w:color w:val="auto"/>
                <w:vertAlign w:val="superscript"/>
              </w:rPr>
              <w:t>(1)(2)</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120,036</w:t>
            </w:r>
          </w:p>
        </w:tc>
        <w:tc>
          <w:tcPr>
            <w:tcW w:w="2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144,277</w:t>
            </w:r>
          </w:p>
        </w:tc>
        <w:tc>
          <w:tcPr>
            <w:tcW w:w="3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442,975</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552,167</w:t>
            </w:r>
          </w:p>
        </w:tc>
      </w:tr>
      <w:tr>
        <w:trPr>
          <w:trHeight w:val="23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Separately managed accounts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67,695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71,685</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75,226</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252,709</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293,629</w:t>
            </w:r>
          </w:p>
        </w:tc>
      </w:tr>
      <w:tr>
        <w:trPr>
          <w:trHeight w:val="25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Advisory and other services</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19,939</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16,259</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18,395</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67,061</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74,591</w:t>
            </w:r>
          </w:p>
        </w:tc>
      </w:tr>
      <w:tr>
        <w:trPr>
          <w:trHeight w:val="24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Fund reimbursement revenues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11,232</w:t>
            </w:r>
          </w:p>
        </w:tc>
      </w:tr>
      <w:tr>
        <w:trPr>
          <w:trHeight w:val="255"/>
        </w:trPr>
        <w:tc>
          <w:tcPr>
            <w:tcW w:w="3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Fee revenues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212,740</w:t>
            </w:r>
          </w:p>
        </w:tc>
        <w:tc>
          <w:tcPr>
            <w:tcW w:w="2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217,461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241,133</w:t>
            </w:r>
          </w:p>
        </w:tc>
        <w:tc>
          <w:tcPr>
            <w:tcW w:w="3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770,489</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931,619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income-based incentive fees from certain funds: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38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1"/>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7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80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8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38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2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2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3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7,956</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22,845</w:t>
            </w: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20"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fee revenues, adjusted incentive fees and realized carried interest allocations. We believe adjusted revenues is useful to investors because it presents a measure of realized revenues.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38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71"/>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8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7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8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38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364,287</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454,225</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586,511</w:t>
            </w:r>
          </w:p>
        </w:tc>
        <w:tc>
          <w:tcPr>
            <w:tcW w:w="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588,580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1,174,830</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1,993,603</w:t>
            </w:r>
          </w:p>
        </w:tc>
      </w:tr>
      <w:tr>
        <w:trPr>
          <w:trHeight w:val="233"/>
        </w:trPr>
        <w:tc>
          <w:tcPr>
            <w:tcW w:w="3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carried interest allocations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(88,883)</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(147,813)</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(101,985)</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(141,547)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(539,712)</w:t>
            </w:r>
          </w:p>
        </w:tc>
      </w:tr>
      <w:tr>
        <w:trPr>
          <w:trHeight w:val="25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incentive fees</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33"/>
        </w:trPr>
        <w:tc>
          <w:tcPr>
            <w:tcW w:w="3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Legacy Greenspring carried interest allocations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(27,143)</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10,063</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(81,994)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(138,711)</w:t>
            </w:r>
          </w:p>
        </w:tc>
      </w:tr>
      <w:tr>
        <w:trPr>
          <w:trHeight w:val="212"/>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Management and advisory fee revenues for the</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3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Consolidated Funds</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w:t>
            </w:r>
          </w:p>
        </w:tc>
      </w:tr>
      <w:tr>
        <w:trPr>
          <w:trHeight w:val="243"/>
        </w:trPr>
        <w:tc>
          <w:tcPr>
            <w:tcW w:w="3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Incentive fees for the Consolidated Funds</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w:t>
            </w:r>
          </w:p>
        </w:tc>
      </w:tr>
      <w:tr>
        <w:trPr>
          <w:trHeight w:val="25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revenues</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295,861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237,467</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282,342</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494,500</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969,719</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1,320,150</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fees for the Consolidated Funds, which have been eliminated in consolidation.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40" w:right="359" w:bottom="1440" w:gutter="0" w:footer="0" w:header="0"/>
          <w:type w:val="continuous"/>
        </w:sectPr>
      </w:pPr>
    </w:p>
    <w:bookmarkStart w:id="9" w:name="page10"/>
    <w:bookmarkEnd w:id="9"/>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Adjusted net income, or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fee revenues, adjusted incentive fees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the private wealth subsidiary, (d) amortization of intangibles, (e) net income (loss) attributable to non-controlling interests in our subsidiaries and realized gains attributable to the profits interests issued in the private wealth subsidiary, (f) charges associated with acquisitions and corporate transactions, and (g) certain other items that we believe are not indicative of our core operating performance (as listed in the table below). ANI is fully taxed at our blended statutory rate. We believe ANI and adjusted revenues are useful to investors because they enable investors to evaluate the performance of our business across reporting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Fee-related earnings, or “FRE,” is a non-GAAP performance measure used to monitor our baseline earnings from recurring management and advisory fees. FRE is a component of ANI and comprises fee revenues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the private wealth subsidiary, (c) amortization of intangibles, (d) charges associated with acquisitions and corporate transactions, and (e) certain other items that we believe are not indicative of our core operating performance (as listed in the table below). FRE is presented before income taxes. We believe FRE is useful to investors because it provides additional insight into the operating profitability of our business and our ability to cover direct base compensation and operating expenses from total fee revenue.</w:t>
      </w:r>
    </w:p>
    <w:p>
      <w:pPr>
        <w:spacing w:after="0" w:line="195"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(as defined below).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40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8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8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4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management and advisory fees,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213,401</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211,173</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215,489</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259,871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926,465</w:t>
            </w:r>
          </w:p>
        </w:tc>
      </w:tr>
      <w:tr>
        <w:trPr>
          <w:trHeight w:val="24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5,154</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214,662</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212,740</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217,461</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931,619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incentive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220,133</w:t>
            </w:r>
          </w:p>
        </w:tc>
      </w:tr>
      <w:tr>
        <w:trPr>
          <w:trHeight w:val="24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(2)</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incentive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5,264</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219,949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cash-based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85,510</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95,985</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100,348</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414,147</w:t>
            </w:r>
          </w:p>
        </w:tc>
      </w:tr>
      <w:tr>
        <w:trPr>
          <w:trHeight w:val="24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(3)</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cash-based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85,510</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95,968</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100,331</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414,054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equity-based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126,197</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188,718</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884,470</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1,742,057</w:t>
            </w:r>
          </w:p>
        </w:tc>
      </w:tr>
      <w:tr>
        <w:trPr>
          <w:trHeight w:val="24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(123,263)</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(184,509)</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(880,154)</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(464,124)</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(193,974)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(658,953)</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(1,722,761)</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equity-based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general, administrative and 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43,152</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42,914</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45,292</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187,254</w:t>
            </w:r>
          </w:p>
        </w:tc>
      </w:tr>
      <w:tr>
        <w:trPr>
          <w:trHeight w:val="24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(5)</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(11,597)</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(10,541)</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(60,676)</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(43,434)</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general, administrative and other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32,137</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31,317</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34,181</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143,820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realized investment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w:t>
            </w:r>
          </w:p>
        </w:tc>
      </w:tr>
      <w:tr>
        <w:trPr>
          <w:trHeight w:val="24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(6)</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11,194</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realized investment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11,833</w:t>
            </w:r>
          </w:p>
        </w:tc>
      </w:tr>
      <w:tr>
        <w:trPr>
          <w:trHeight w:val="24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(7)</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(4,757)</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(4,335)</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other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(31,024)</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43"/>
        </w:trPr>
        <w:tc>
          <w:tcPr>
            <w:tcW w:w="4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(8)</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30,606</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31,335</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other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60" w:right="160" w:hanging="652"/>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 and deferred incentive fees that are not included in GAAP revenues.</w:t>
      </w:r>
    </w:p>
    <w:p>
      <w:pPr>
        <w:ind w:left="660" w:right="220" w:hanging="652"/>
        <w:spacing w:after="0" w:line="243"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compensation paid to certain employees as part of an acquisition earn-out and unrealized amounts associated with cash-based incentive awards tracked to the performance of a designated investment fund.</w:t>
      </w:r>
    </w:p>
    <w:p>
      <w:pPr>
        <w:spacing w:after="0" w:line="1" w:lineRule="exact"/>
        <w:rPr>
          <w:rFonts w:ascii="Times New Roman" w:cs="Times New Roman" w:eastAsia="Times New Roman" w:hAnsi="Times New Roman"/>
          <w:sz w:val="18"/>
          <w:szCs w:val="18"/>
          <w:color w:val="auto"/>
        </w:rPr>
      </w:pPr>
    </w:p>
    <w:p>
      <w:pPr>
        <w:jc w:val="both"/>
        <w:ind w:left="660" w:right="40" w:hanging="652"/>
        <w:spacing w:after="0" w:line="255" w:lineRule="auto"/>
        <w:tabs>
          <w:tab w:leader="none" w:pos="6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removal of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spacing w:after="0" w:line="1" w:lineRule="exact"/>
        <w:rPr>
          <w:rFonts w:ascii="Times New Roman" w:cs="Times New Roman" w:eastAsia="Times New Roman" w:hAnsi="Times New Roman"/>
          <w:sz w:val="17"/>
          <w:szCs w:val="17"/>
          <w:color w:val="auto"/>
        </w:rPr>
      </w:pPr>
    </w:p>
    <w:p>
      <w:pPr>
        <w:ind w:left="660" w:right="460" w:hanging="652"/>
        <w:spacing w:after="0" w:line="265" w:lineRule="auto"/>
        <w:tabs>
          <w:tab w:leader="none" w:pos="6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removal of amortization of intangibles, transaction-related costs, unrealized mark-to-market changes in fair value for contingent consideration obligation, the impact of consolidation of the Consolidated Funds and other non-core operating income and expenses.</w:t>
      </w: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realization of a seed capital investment in the StepStone Funds which is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80" w:hanging="652"/>
        <w:spacing w:after="0" w:line="255"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amounts for Tax Receivable Agreements adjustments recognized as other income (loss), loss associated with payment made in connection with a secondary transaction executed by one of our private wealth funds and the impact of consolidation of the Consolidated Funds.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20" w:top="1440" w:right="359" w:bottom="1440" w:gutter="0" w:footer="0" w:header="0"/>
          <w:type w:val="continuous"/>
        </w:sectPr>
      </w:pPr>
    </w:p>
    <w:bookmarkStart w:id="11" w:name="page12"/>
    <w:bookmarkEnd w:id="11"/>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4"/>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4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58"/>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9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4"/>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7"/>
                <w:szCs w:val="17"/>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7"/>
                <w:szCs w:val="17"/>
                <w:color w:val="auto"/>
              </w:rPr>
            </w:pPr>
          </w:p>
        </w:tc>
        <w:tc>
          <w:tcPr>
            <w:tcW w:w="7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4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(20,350)</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(675,826)</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(222,035)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(891,169)</w:t>
            </w:r>
          </w:p>
        </w:tc>
      </w:tr>
      <w:tr>
        <w:trPr>
          <w:trHeight w:val="202"/>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income attributable to non-controlling interests in</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3"/>
        </w:trPr>
        <w:tc>
          <w:tcPr>
            <w:tcW w:w="41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subsidiaries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(33,369)</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(30,725)</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(27,645)</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(115,887)</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(102,897)</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(217,656)</w:t>
            </w:r>
          </w:p>
        </w:tc>
      </w:tr>
      <w:tr>
        <w:trPr>
          <w:trHeight w:val="202"/>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loss attributable to non-controlling</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3"/>
        </w:trPr>
        <w:tc>
          <w:tcPr>
            <w:tcW w:w="4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interests in legacy Greenspring entities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r>
      <w:tr>
        <w:trPr>
          <w:trHeight w:val="233"/>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Unrealized carried interest allocations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(21,177)</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(88,883)</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(147,813)</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(101,985)</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(141,547)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(539,712)</w:t>
            </w:r>
          </w:p>
        </w:tc>
      </w:tr>
      <w:tr>
        <w:trPr>
          <w:trHeight w:val="253"/>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Unrealized performance fee-related compensation</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27,777</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44,357</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88,727</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94,272</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342,225</w:t>
            </w:r>
          </w:p>
        </w:tc>
      </w:tr>
      <w:tr>
        <w:trPr>
          <w:trHeight w:val="233"/>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Unrealized investment (income) loss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(8,268)</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(33,125)</w:t>
            </w:r>
          </w:p>
        </w:tc>
      </w:tr>
      <w:tr>
        <w:trPr>
          <w:trHeight w:val="253"/>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Impact of Consolidated Funds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(35,723)</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(24,407)</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(43,864)</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(18,944)</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(59,613)</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(81,363)</w:t>
            </w:r>
          </w:p>
        </w:tc>
      </w:tr>
      <w:tr>
        <w:trPr>
          <w:trHeight w:val="233"/>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incentive fees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53"/>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123,263</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184,509</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880,154</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464,124</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658,953</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1,722,761</w:t>
            </w:r>
          </w:p>
        </w:tc>
      </w:tr>
      <w:tr>
        <w:trPr>
          <w:trHeight w:val="233"/>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41,000</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40,828</w:t>
            </w:r>
          </w:p>
        </w:tc>
      </w:tr>
      <w:tr>
        <w:trPr>
          <w:trHeight w:val="212"/>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Tax Receivable Agreements adjustments through</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4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w:t>
            </w:r>
          </w:p>
        </w:tc>
      </w:tr>
      <w:tr>
        <w:trPr>
          <w:trHeight w:val="243"/>
        </w:trPr>
        <w:tc>
          <w:tcPr>
            <w:tcW w:w="4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Non-core items</w:t>
            </w:r>
            <w:r>
              <w:rPr>
                <w:rFonts w:ascii="Times New Roman" w:cs="Times New Roman" w:eastAsia="Times New Roman" w:hAnsi="Times New Roman"/>
                <w:sz w:val="21"/>
                <w:szCs w:val="21"/>
                <w:color w:val="auto"/>
                <w:vertAlign w:val="superscript"/>
              </w:rPr>
              <w:t>(3)</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32,474</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50,054</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3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ANI</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103,643</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62,440</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85,821</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102,737</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314,001</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341,821</w:t>
            </w:r>
          </w:p>
        </w:tc>
      </w:tr>
      <w:tr>
        <w:trPr>
          <w:trHeight w:val="243"/>
        </w:trPr>
        <w:tc>
          <w:tcPr>
            <w:tcW w:w="4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Income taxes</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(19,112)</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(22,879)</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(69,929)</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(77,261)</w:t>
            </w:r>
          </w:p>
        </w:tc>
      </w:tr>
      <w:tr>
        <w:trPr>
          <w:trHeight w:val="23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ANI</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80,603</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48,534</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66,709</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79,858</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244,072</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264,560</w:t>
            </w:r>
          </w:p>
        </w:tc>
      </w:tr>
      <w:tr>
        <w:trPr>
          <w:trHeight w:val="243"/>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w:t>
            </w:r>
            <w:r>
              <w:rPr>
                <w:rFonts w:ascii="Times New Roman" w:cs="Times New Roman" w:eastAsia="Times New Roman" w:hAnsi="Times New Roman"/>
                <w:sz w:val="21"/>
                <w:szCs w:val="21"/>
                <w:color w:val="auto"/>
                <w:vertAlign w:val="superscript"/>
              </w:rPr>
              <w:t>(4)</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19,112</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22,879</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69,929</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77,261</w:t>
            </w:r>
          </w:p>
        </w:tc>
      </w:tr>
      <w:tr>
        <w:trPr>
          <w:trHeight w:val="243"/>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Realized carried interest allocations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(75,935)</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(24,404)</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(58,878)</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(46,703)</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(159,653)</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(168,582)</w:t>
            </w:r>
          </w:p>
        </w:tc>
      </w:tr>
      <w:tr>
        <w:trPr>
          <w:trHeight w:val="233"/>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Realized performance fee-related compensation</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39,656</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30,995</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122,215</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94,748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192,577</w:t>
            </w:r>
          </w:p>
        </w:tc>
      </w:tr>
      <w:tr>
        <w:trPr>
          <w:trHeight w:val="253"/>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Adjusted realized investment income</w:t>
            </w:r>
            <w:r>
              <w:rPr>
                <w:rFonts w:ascii="Times New Roman" w:cs="Times New Roman" w:eastAsia="Times New Roman" w:hAnsi="Times New Roman"/>
                <w:sz w:val="21"/>
                <w:szCs w:val="21"/>
                <w:color w:val="auto"/>
                <w:vertAlign w:val="superscript"/>
              </w:rPr>
              <w:t>(5)</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(18,887)</w:t>
            </w:r>
          </w:p>
        </w:tc>
      </w:tr>
      <w:tr>
        <w:trPr>
          <w:trHeight w:val="243"/>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Adjusted incentive fees</w:t>
            </w:r>
            <w:r>
              <w:rPr>
                <w:rFonts w:ascii="Times New Roman" w:cs="Times New Roman" w:eastAsia="Times New Roman" w:hAnsi="Times New Roman"/>
                <w:sz w:val="21"/>
                <w:szCs w:val="21"/>
                <w:color w:val="auto"/>
                <w:vertAlign w:val="superscript"/>
              </w:rPr>
              <w:t>(6)</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(5,264)</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(206,664)</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(39,577)</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(219,949)</w:t>
            </w:r>
          </w:p>
        </w:tc>
      </w:tr>
      <w:tr>
        <w:trPr>
          <w:trHeight w:val="243"/>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Adjusted interest income</w:t>
            </w:r>
            <w:r>
              <w:rPr>
                <w:rFonts w:ascii="Times New Roman" w:cs="Times New Roman" w:eastAsia="Times New Roman" w:hAnsi="Times New Roman"/>
                <w:sz w:val="21"/>
                <w:szCs w:val="21"/>
                <w:color w:val="auto"/>
                <w:vertAlign w:val="superscript"/>
              </w:rPr>
              <w:t>(7)</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w:t>
            </w:r>
          </w:p>
        </w:tc>
      </w:tr>
      <w:tr>
        <w:trPr>
          <w:trHeight w:val="233"/>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18,502</w:t>
            </w:r>
          </w:p>
        </w:tc>
      </w:tr>
      <w:tr>
        <w:trPr>
          <w:trHeight w:val="253"/>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Adjusted other (income) loss</w:t>
            </w:r>
            <w:r>
              <w:rPr>
                <w:rFonts w:ascii="Times New Roman" w:cs="Times New Roman" w:eastAsia="Times New Roman" w:hAnsi="Times New Roman"/>
                <w:sz w:val="21"/>
                <w:szCs w:val="21"/>
                <w:color w:val="auto"/>
                <w:vertAlign w:val="superscript"/>
              </w:rPr>
              <w:t>(8)</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r>
      <w:tr>
        <w:trPr>
          <w:trHeight w:val="202"/>
        </w:trPr>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income attributable to non-controlling interests in</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3"/>
        </w:trPr>
        <w:tc>
          <w:tcPr>
            <w:tcW w:w="4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subsidiaries</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33,369</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30,725</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27,645</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115,887</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43,399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102,897</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217,656</w:t>
            </w:r>
          </w:p>
        </w:tc>
      </w:tr>
      <w:tr>
        <w:trPr>
          <w:trHeight w:val="25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94,081</w:t>
            </w: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81,246</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78,633</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312,204</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354,449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hanging="652"/>
        <w:spacing w:after="0" w:line="260"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attributable to non-controlling interests in our subsidiaries and realized gains attributable to the profits interests issued in the private wealth subsidiary: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7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80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FRE attributable to non-controlling interests in</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subsidiaries and profits interests</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26,672</w:t>
            </w:r>
          </w:p>
        </w:tc>
        <w:tc>
          <w:tcPr>
            <w:tcW w:w="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24,791</w:t>
            </w:r>
          </w:p>
        </w:tc>
        <w:tc>
          <w:tcPr>
            <w:tcW w:w="2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79,791</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123,731</w:t>
            </w:r>
          </w:p>
        </w:tc>
        <w:tc>
          <w:tcPr>
            <w:tcW w:w="0" w:type="dxa"/>
            <w:vAlign w:val="bottom"/>
          </w:tcPr>
          <w:p>
            <w:pPr>
              <w:spacing w:after="0"/>
              <w:rPr>
                <w:sz w:val="1"/>
                <w:szCs w:val="1"/>
                <w:color w:val="auto"/>
              </w:rPr>
            </w:pPr>
          </w:p>
        </w:tc>
      </w:tr>
      <w:tr>
        <w:trPr>
          <w:trHeight w:val="216"/>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Performance related earnings / other income (loss)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attributable to non-controlling interests in</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subsidiaries and profits interests</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83,607</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23,106</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93,925</w:t>
            </w: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 in</w:t>
            </w:r>
          </w:p>
        </w:tc>
        <w:tc>
          <w:tcPr>
            <w:tcW w:w="32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30,725</w:t>
            </w:r>
          </w:p>
        </w:tc>
        <w:tc>
          <w:tcPr>
            <w:tcW w:w="26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27,645</w:t>
            </w:r>
          </w:p>
        </w:tc>
        <w:tc>
          <w:tcPr>
            <w:tcW w:w="28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115,887</w:t>
            </w:r>
          </w:p>
        </w:tc>
        <w:tc>
          <w:tcPr>
            <w:tcW w:w="3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43,399</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102,897</w:t>
            </w: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217,656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subsidiaries and profits interests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contribution to pre-tax ANI attributable to non-controlling interests in subsidiaries and profits interests and performance related earnings / other income (loss) attributable to non-controlling interests in subsidiaries and profits interests presented above specifically related to the profits interests issued in the private wealth subsidiary is presented below.</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440" w:right="359" w:bottom="1440" w:gutter="0" w:footer="0" w:header="0"/>
          <w:type w:val="continuous"/>
        </w:sectPr>
      </w:pPr>
    </w:p>
    <w:bookmarkStart w:id="12" w:name="page13"/>
    <w:bookmarkEnd w:id="12"/>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7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80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86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6"/>
                <w:szCs w:val="16"/>
                <w:color w:val="auto"/>
              </w:rPr>
              <w:t>FRE attributable to profits interests issued in the private</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wealth subsidiary</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w:t>
            </w:r>
          </w:p>
        </w:tc>
        <w:tc>
          <w:tcPr>
            <w:tcW w:w="2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14,354</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52,456</w:t>
            </w: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Performance related earnings / other income (loss)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attributable to profits interests issued in the private</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wealth subsidiary</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83,172</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11,170</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83,790</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profits interests issued in the</w:t>
            </w:r>
          </w:p>
        </w:tc>
        <w:tc>
          <w:tcPr>
            <w:tcW w:w="360" w:type="dxa"/>
            <w:vAlign w:val="bottom"/>
            <w:vMerge w:val="restart"/>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24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28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97,526</w:t>
            </w:r>
          </w:p>
        </w:tc>
        <w:tc>
          <w:tcPr>
            <w:tcW w:w="3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20,131</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23,150</w:t>
            </w: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136,246</w:t>
            </w:r>
          </w:p>
        </w:tc>
        <w:tc>
          <w:tcPr>
            <w:tcW w:w="0" w:type="dxa"/>
            <w:vAlign w:val="bottom"/>
          </w:tcPr>
          <w:p>
            <w:pPr>
              <w:spacing w:after="0"/>
              <w:rPr>
                <w:sz w:val="1"/>
                <w:szCs w:val="1"/>
                <w:color w:val="auto"/>
              </w:rPr>
            </w:pPr>
          </w:p>
        </w:tc>
      </w:tr>
      <w:tr>
        <w:trPr>
          <w:trHeight w:val="233"/>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private wealth subsidiary</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contribution to pre-tax ANI attributable to non-controlling interests in subsidiaries and performance related earnings / other income (loss) attributable to non-controlling interests in subsidiaries presented above specifically not attributable to the profits interests issued in the private wealth subsidiary is presented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37"/>
        </w:trPr>
        <w:tc>
          <w:tcPr>
            <w:tcW w:w="38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7"/>
                <w:szCs w:val="17"/>
                <w:color w:val="auto"/>
              </w:rPr>
            </w:pPr>
          </w:p>
        </w:tc>
        <w:tc>
          <w:tcPr>
            <w:tcW w:w="7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37"/>
        </w:trPr>
        <w:tc>
          <w:tcPr>
            <w:tcW w:w="38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86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6"/>
                <w:szCs w:val="16"/>
                <w:color w:val="auto"/>
              </w:rPr>
              <w:t>FRE attributable to non-controlling interests in</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subsidiaries</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18,203</w:t>
            </w:r>
          </w:p>
        </w:tc>
        <w:tc>
          <w:tcPr>
            <w:tcW w:w="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14,688</w:t>
            </w:r>
          </w:p>
        </w:tc>
        <w:tc>
          <w:tcPr>
            <w:tcW w:w="2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17,926</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67,811</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71,275</w:t>
            </w: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Performance related earnings / other income (loss)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attributable to non-controlling interests in</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subsidiaries</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11,936</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10,135</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 in</w:t>
            </w:r>
          </w:p>
        </w:tc>
        <w:tc>
          <w:tcPr>
            <w:tcW w:w="32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22,270</w:t>
            </w:r>
          </w:p>
        </w:tc>
        <w:tc>
          <w:tcPr>
            <w:tcW w:w="26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17,511</w:t>
            </w:r>
          </w:p>
        </w:tc>
        <w:tc>
          <w:tcPr>
            <w:tcW w:w="28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w:t>
            </w:r>
          </w:p>
        </w:tc>
        <w:tc>
          <w:tcPr>
            <w:tcW w:w="3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23,268</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79,747</w:t>
            </w: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81,410</w:t>
            </w:r>
          </w:p>
        </w:tc>
        <w:tc>
          <w:tcPr>
            <w:tcW w:w="0" w:type="dxa"/>
            <w:vAlign w:val="bottom"/>
          </w:tcPr>
          <w:p>
            <w:pPr>
              <w:spacing w:after="0"/>
              <w:rPr>
                <w:sz w:val="1"/>
                <w:szCs w:val="1"/>
                <w:color w:val="auto"/>
              </w:rPr>
            </w:pPr>
          </w:p>
        </w:tc>
      </w:tr>
      <w:tr>
        <w:trPr>
          <w:trHeight w:val="233"/>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subsidiaries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60" w:right="100" w:hanging="652"/>
        <w:spacing w:after="0" w:line="261"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the following non-core operating income and expenses: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4"/>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38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7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8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38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6"/>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Transaction costs</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change in fair value for contingent</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consideration obligation</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25"/>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paid to certain employees as part of an</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earn-out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amounts associated with cash-based incentive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awards tracked to investment funds</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25"/>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realized upon vesting of cash-based incentive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awards tracked to investment funds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amounts associated with deferred</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3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compensation liability adjustments</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5"/>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payment made in connection with private wealth</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fund secondary transaction</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non-core items</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non-core operating income and expenses</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32,474</w:t>
            </w: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42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50,054</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corporate income taxes at a blended statutory rate applied to pre-tax ANI:</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34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71"/>
        </w:trPr>
        <w:tc>
          <w:tcPr>
            <w:tcW w:w="3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3460" w:type="dxa"/>
            <w:vAlign w:val="bottom"/>
          </w:tcPr>
          <w:p>
            <w:pPr>
              <w:spacing w:after="0"/>
              <w:rPr>
                <w:sz w:val="16"/>
                <w:szCs w:val="16"/>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8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34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statutory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21.0 %</w:t>
            </w: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21.0 %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6"/>
        </w:trPr>
        <w:tc>
          <w:tcPr>
            <w:tcW w:w="3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Combined state, local and foreign rate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1.3 %</w:t>
            </w:r>
          </w:p>
        </w:tc>
        <w:tc>
          <w:tcPr>
            <w:tcW w:w="1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1.3 %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62"/>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Blended statutory rate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22.3 %</w:t>
            </w: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22.3 %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22.3 %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20" w:top="1440" w:right="359" w:bottom="1440" w:gutter="0" w:footer="0" w:header="0"/>
          <w:type w:val="continuous"/>
        </w:sectPr>
      </w:pPr>
    </w:p>
    <w:bookmarkStart w:id="13" w:name="page14"/>
    <w:bookmarkEnd w:id="13"/>
    <w:p>
      <w:pPr>
        <w:spacing w:after="0" w:line="356"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realization of a seed capital investment in the StepStone Funds which is eliminated in consolidation.</w:t>
      </w:r>
    </w:p>
    <w:p>
      <w:pPr>
        <w:spacing w:after="0" w:line="27" w:lineRule="exact"/>
        <w:rPr>
          <w:rFonts w:ascii="Times New Roman" w:cs="Times New Roman" w:eastAsia="Times New Roman" w:hAnsi="Times New Roman"/>
          <w:sz w:val="18"/>
          <w:szCs w:val="18"/>
          <w:color w:val="auto"/>
        </w:rPr>
      </w:pPr>
    </w:p>
    <w:p>
      <w:pPr>
        <w:ind w:left="660" w:right="160" w:hanging="652"/>
        <w:spacing w:after="0" w:line="25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 and deferred incentive fees that are not included in GAAP revenues.</w:t>
      </w: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20" w:hanging="652"/>
        <w:spacing w:after="0" w:line="253"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Tax Receivable Agreements adjustments recognized as other income (loss) ($(5.5) million for the three months ended March 31, 2026, $1.3 million for the three months ended September 30, 2025, $0.3 million for the three months ended March 31, 2025, and $(4.2) million and $0.3 million in fiscal 2026 and fiscal 2025, respectively), loss associated with payment made in connection with a secondary transaction executed by one of our private wealth funds ($32.5 million for the three months ended March 31, 2025 and in fiscal 2025), and the impact of consolidation of the Consolidated Funds.</w:t>
      </w:r>
    </w:p>
    <w:p>
      <w:pPr>
        <w:spacing w:after="0" w:line="17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Fee-Related Earnings Margin</w:t>
      </w:r>
    </w:p>
    <w:p>
      <w:pPr>
        <w:spacing w:after="0" w:line="233"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20"/>
          <w:szCs w:val="20"/>
          <w:color w:val="auto"/>
        </w:rPr>
        <w:t>FRE margin is a non-GAAP performance measure which is calculated by dividing FRE by fee revenues. We believe FRE margin is an important measure of profitability on revenues that are largely recurring by nature. We believe FRE margin is useful to investors because it enables them to better evaluate the operating profitability of our business across periods.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FRE to FRE margin.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3"/>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33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1"/>
        </w:trPr>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0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33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94,081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81,246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78,633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89,236</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105,334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312,204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354,449</w:t>
            </w:r>
          </w:p>
        </w:tc>
      </w:tr>
      <w:tr>
        <w:trPr>
          <w:trHeight w:val="237"/>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Fee revenues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214,662</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212,740</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217,461</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241,133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260,285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770,489</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931,619</w:t>
            </w:r>
          </w:p>
        </w:tc>
      </w:tr>
      <w:tr>
        <w:trPr>
          <w:trHeight w:val="24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 margin</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38 %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Gross Realized Performance Fees</w:t>
      </w:r>
    </w:p>
    <w:p>
      <w:pPr>
        <w:spacing w:after="0" w:line="220"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Gross realized performance fees represents realized carried interest allocations and adjusted incentive fees. We believe gross realized performance fees is useful to investors because it presents the total performance fees realized by us.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Performance Fee-Related Earnings</w:t>
      </w:r>
    </w:p>
    <w:p>
      <w:pPr>
        <w:spacing w:after="0" w:line="233"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20"/>
          <w:szCs w:val="20"/>
          <w:color w:val="auto"/>
        </w:rPr>
        <w:t>Performance fee-related earnings, or “PRE,” represents gross realized performance fees less realized performance fee-related compensation. We believe PRE is useful to investors because it presents the performance fees attributable to us, net of amounts paid to employees as performance fee-related compensation.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total performance fees to gross realized performance fees and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440" w:right="359" w:bottom="1440" w:gutter="0" w:footer="0" w:header="0"/>
        </w:sectPr>
      </w:pPr>
    </w:p>
    <w:bookmarkStart w:id="14" w:name="page15"/>
    <w:bookmarkEnd w:id="14"/>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4"/>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37"/>
        </w:trPr>
        <w:tc>
          <w:tcPr>
            <w:tcW w:w="4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7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4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Incentive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220,133</w:t>
            </w:r>
          </w:p>
        </w:tc>
      </w:tr>
      <w:tr>
        <w:trPr>
          <w:trHeight w:val="233"/>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Realized carried interest allocations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75,935</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24,404</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58,878</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46,703</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159,653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168,582</w:t>
            </w:r>
          </w:p>
        </w:tc>
      </w:tr>
      <w:tr>
        <w:trPr>
          <w:trHeight w:val="2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carried interest allocations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21,177</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88,883</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147,813</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101,985</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201,031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141,547</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539,712</w:t>
            </w:r>
          </w:p>
        </w:tc>
      </w:tr>
      <w:tr>
        <w:trPr>
          <w:trHeight w:val="237"/>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Legacy Greenspring carried interest allocations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61,306</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27,143</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(10,063)</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81,994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74,341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138,711</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performance fees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164,328</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153,114</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238,736</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346,579</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328,709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407,816</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1,067,138</w:t>
            </w:r>
          </w:p>
        </w:tc>
      </w:tr>
      <w:tr>
        <w:trPr>
          <w:trHeight w:val="233"/>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carried interest allocations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(21,177)</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(88,883)</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(147,813)</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(101,985)</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(141,547)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(539,712)</w:t>
            </w:r>
          </w:p>
        </w:tc>
      </w:tr>
      <w:tr>
        <w:trPr>
          <w:trHeight w:val="2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Legacy Greenspring carried interest allocations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(61,306)</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10,063</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(81,994)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(74,341)</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(138,711)</w:t>
            </w: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Incentive fee revenues for the Consolidated Funds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r>
      <w:tr>
        <w:trPr>
          <w:trHeight w:val="24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incentive fees</w:t>
            </w: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performance fees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81,199</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253,367</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199,230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388,531</w:t>
            </w:r>
          </w:p>
        </w:tc>
      </w:tr>
      <w:tr>
        <w:trPr>
          <w:trHeight w:val="246"/>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performance fee-related compensation</w:t>
            </w: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(39,656)</w:t>
            </w: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(30,995)</w:t>
            </w: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(122,215)</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(94,748)</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(192,577)</w:t>
            </w: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41,543</w:t>
            </w: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13,022</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33,886</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17,894</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104,482</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195,954</w:t>
            </w: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86"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shows a reconciliation of diluted weighted-average shares of Class A common stock outstanding to adjusted weighted-average shares outstanding used in the computation of ANI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0" w:type="dxa"/>
            <w:vAlign w:val="bottom"/>
          </w:tcPr>
          <w:p>
            <w:pPr>
              <w:spacing w:after="0"/>
              <w:rPr>
                <w:sz w:val="1"/>
                <w:szCs w:val="1"/>
                <w:color w:val="auto"/>
              </w:rPr>
            </w:pPr>
          </w:p>
        </w:tc>
      </w:tr>
      <w:tr>
        <w:trPr>
          <w:trHeight w:val="200"/>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6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ANI</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264,560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outstanding – Basic</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75,975,770</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77,846,710</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78,561,587</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79,465,039</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80,297,984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71,142,916</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79,039,229</w:t>
            </w:r>
          </w:p>
        </w:tc>
        <w:tc>
          <w:tcPr>
            <w:tcW w:w="0" w:type="dxa"/>
            <w:vAlign w:val="bottom"/>
          </w:tcPr>
          <w:p>
            <w:pPr>
              <w:spacing w:after="0"/>
              <w:rPr>
                <w:sz w:val="1"/>
                <w:szCs w:val="1"/>
                <w:color w:val="auto"/>
              </w:rPr>
            </w:pPr>
          </w:p>
        </w:tc>
      </w:tr>
      <w:tr>
        <w:trPr>
          <w:trHeight w:val="233"/>
        </w:trPr>
        <w:tc>
          <w:tcPr>
            <w:tcW w:w="3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Assumed vesting of RSUs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270,492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347,813</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509,007</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590,042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590,645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442,772</w:t>
            </w: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Assumed vesting and exchange of Class B2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units</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431,851</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Assumed purchase under ESPP</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Exchange of Class B units in the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40,122,028</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39,608,270</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39,500,159</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39,094,629</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39,013,494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43,233,005</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39,304,897</w:t>
            </w:r>
          </w:p>
        </w:tc>
        <w:tc>
          <w:tcPr>
            <w:tcW w:w="0" w:type="dxa"/>
            <w:vAlign w:val="bottom"/>
          </w:tcPr>
          <w:p>
            <w:pPr>
              <w:spacing w:after="0"/>
              <w:rPr>
                <w:sz w:val="1"/>
                <w:szCs w:val="1"/>
                <w:color w:val="auto"/>
              </w:rPr>
            </w:pPr>
          </w:p>
        </w:tc>
      </w:tr>
      <w:tr>
        <w:trPr>
          <w:trHeight w:val="202"/>
        </w:trPr>
        <w:tc>
          <w:tcPr>
            <w:tcW w:w="3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Exchange of Class C units in the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965,761</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960,025</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947,580</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931,103</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1,365,647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942,467</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Exchange of Class D units in the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1,535,060</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3,530,125</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2,944,261</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2,509,417</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1,917,870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2,007,849</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2,727,638</w:t>
            </w:r>
          </w:p>
        </w:tc>
        <w:tc>
          <w:tcPr>
            <w:tcW w:w="0" w:type="dxa"/>
            <w:vAlign w:val="bottom"/>
          </w:tcPr>
          <w:p>
            <w:pPr>
              <w:spacing w:after="0"/>
              <w:rPr>
                <w:sz w:val="1"/>
                <w:szCs w:val="1"/>
                <w:color w:val="auto"/>
              </w:rPr>
            </w:pP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weighted-average shares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118,869,111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122,292,943</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122,462,594</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122,590,230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122,481,335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118,772,442</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122,457,089</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ANI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20"/>
          </w:cols>
          <w:pgMar w:left="320" w:top="1440" w:right="359" w:bottom="1440" w:gutter="0" w:footer="0" w:header="0"/>
          <w:type w:val="continuous"/>
        </w:sectPr>
      </w:pPr>
    </w:p>
    <w:bookmarkStart w:id="15" w:name="page16"/>
    <w:bookmarkEnd w:id="15"/>
    <w:p>
      <w:pPr>
        <w:spacing w:after="0" w:line="356"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B2 units fully vested in June 2024.</w:t>
      </w:r>
    </w:p>
    <w:p>
      <w:pPr>
        <w:spacing w:after="0" w:line="27" w:lineRule="exact"/>
        <w:rPr>
          <w:rFonts w:ascii="Times New Roman" w:cs="Times New Roman" w:eastAsia="Times New Roman" w:hAnsi="Times New Roman"/>
          <w:sz w:val="18"/>
          <w:szCs w:val="18"/>
          <w:color w:val="auto"/>
        </w:rPr>
      </w:pPr>
    </w:p>
    <w:p>
      <w:pPr>
        <w:ind w:left="660" w:right="240" w:hanging="652"/>
        <w:spacing w:after="0" w:line="260"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Class C units or Class D units in the Partnership for Class A common stock of SSG pursuant to the Class B Exchange Agreement, Class C Exchange Agreement or Class D Exchange Agreement, respectively.</w:t>
      </w:r>
    </w:p>
    <w:p>
      <w:pPr>
        <w:spacing w:after="0" w:line="17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33"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 Refer to the Glossary below for a definition of each of these metrics.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0"/>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3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7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7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vs. FQ4'25</w:t>
            </w:r>
          </w:p>
        </w:tc>
      </w:tr>
      <w:tr>
        <w:trPr>
          <w:trHeight w:val="37"/>
        </w:trPr>
        <w:tc>
          <w:tcPr>
            <w:tcW w:w="3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Separately Managed Accounts</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69,974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73,174</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76,708</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78,207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73,174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37"/>
        </w:trPr>
        <w:tc>
          <w:tcPr>
            <w:tcW w:w="3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3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Contributions</w:t>
            </w:r>
            <w:r>
              <w:rPr>
                <w:rFonts w:ascii="Times New Roman" w:cs="Times New Roman" w:eastAsia="Times New Roman" w:hAnsi="Times New Roman"/>
                <w:sz w:val="9"/>
                <w:szCs w:val="9"/>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16,715</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3"/>
        </w:trPr>
        <w:tc>
          <w:tcPr>
            <w:tcW w:w="31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Distributions</w:t>
            </w:r>
            <w:r>
              <w:rPr>
                <w:rFonts w:ascii="Times New Roman" w:cs="Times New Roman" w:eastAsia="Times New Roman" w:hAnsi="Times New Roman"/>
                <w:sz w:val="9"/>
                <w:szCs w:val="9"/>
                <w:color w:val="auto"/>
              </w:rPr>
              <w:t>(2)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37"/>
        </w:trPr>
        <w:tc>
          <w:tcPr>
            <w:tcW w:w="3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3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Market value, FX and other</w:t>
            </w:r>
            <w:r>
              <w:rPr>
                <w:rFonts w:ascii="Times New Roman" w:cs="Times New Roman" w:eastAsia="Times New Roman" w:hAnsi="Times New Roman"/>
                <w:sz w:val="9"/>
                <w:szCs w:val="9"/>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73,174</w:t>
            </w: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76,708</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78,207</w:t>
            </w: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80,328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81,815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73,174</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81,815</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37"/>
        </w:trPr>
        <w:tc>
          <w:tcPr>
            <w:tcW w:w="3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Focused Commingled Funds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3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44,192</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50,511</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34,961</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93"/>
        </w:trPr>
        <w:tc>
          <w:tcPr>
            <w:tcW w:w="31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Contributions</w:t>
            </w:r>
            <w:r>
              <w:rPr>
                <w:rFonts w:ascii="Times New Roman" w:cs="Times New Roman" w:eastAsia="Times New Roman" w:hAnsi="Times New Roman"/>
                <w:sz w:val="9"/>
                <w:szCs w:val="9"/>
                <w:color w:val="auto"/>
              </w:rPr>
              <w:t>(1)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13,308</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37"/>
        </w:trPr>
        <w:tc>
          <w:tcPr>
            <w:tcW w:w="3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3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Distributions</w:t>
            </w:r>
            <w:r>
              <w:rPr>
                <w:rFonts w:ascii="Times New Roman" w:cs="Times New Roman" w:eastAsia="Times New Roman" w:hAnsi="Times New Roman"/>
                <w:sz w:val="9"/>
                <w:szCs w:val="9"/>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r>
      <w:tr>
        <w:trPr>
          <w:trHeight w:val="193"/>
        </w:trPr>
        <w:tc>
          <w:tcPr>
            <w:tcW w:w="31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Market value, FX and other</w:t>
            </w:r>
            <w:r>
              <w:rPr>
                <w:rFonts w:ascii="Times New Roman" w:cs="Times New Roman" w:eastAsia="Times New Roman" w:hAnsi="Times New Roman"/>
                <w:sz w:val="9"/>
                <w:szCs w:val="9"/>
                <w:color w:val="auto"/>
              </w:rPr>
              <w:t>(3)</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37"/>
        </w:trPr>
        <w:tc>
          <w:tcPr>
            <w:tcW w:w="3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50,511</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54,584</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114,166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121,390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127,219</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132,791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138,551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121,390</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37"/>
        </w:trPr>
        <w:tc>
          <w:tcPr>
            <w:tcW w:w="3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3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Contributions</w:t>
            </w:r>
            <w:r>
              <w:rPr>
                <w:rFonts w:ascii="Times New Roman" w:cs="Times New Roman" w:eastAsia="Times New Roman" w:hAnsi="Times New Roman"/>
                <w:sz w:val="9"/>
                <w:szCs w:val="9"/>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30,413</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31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Distributions</w:t>
            </w:r>
            <w:r>
              <w:rPr>
                <w:rFonts w:ascii="Times New Roman" w:cs="Times New Roman" w:eastAsia="Times New Roman" w:hAnsi="Times New Roman"/>
                <w:sz w:val="9"/>
                <w:szCs w:val="9"/>
                <w:color w:val="auto"/>
              </w:rPr>
              <w:t>(2)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84 %</w:t>
            </w:r>
          </w:p>
        </w:tc>
      </w:tr>
      <w:tr>
        <w:trPr>
          <w:trHeight w:val="37"/>
        </w:trPr>
        <w:tc>
          <w:tcPr>
            <w:tcW w:w="3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3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Market value, FX and other</w:t>
            </w:r>
            <w:r>
              <w:rPr>
                <w:rFonts w:ascii="Times New Roman" w:cs="Times New Roman" w:eastAsia="Times New Roman" w:hAnsi="Times New Roman"/>
                <w:sz w:val="9"/>
                <w:szCs w:val="9"/>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2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121,390</w:t>
            </w: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127,219</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132,791</w:t>
            </w: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138,551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144,047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121,390</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144,047</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37"/>
        </w:trPr>
        <w:tc>
          <w:tcPr>
            <w:tcW w:w="3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80" w:hanging="652"/>
        <w:spacing w:after="0" w:line="25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40" w:hanging="652"/>
        <w:spacing w:after="0" w:line="265" w:lineRule="auto"/>
        <w:tabs>
          <w:tab w:leader="none" w:pos="65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180" w:hanging="652"/>
        <w:spacing w:after="0" w:line="26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40" w:right="359" w:bottom="1440" w:gutter="0" w:footer="0" w:header="0"/>
        </w:sectPr>
      </w:pPr>
    </w:p>
    <w:bookmarkStart w:id="16" w:name="page17"/>
    <w:bookmarkEnd w:id="16"/>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Asset Class Summary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4"/>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58"/>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20"/>
                <w:szCs w:val="20"/>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vs. FQ4'25</w:t>
            </w:r>
          </w:p>
        </w:tc>
      </w:tr>
      <w:tr>
        <w:trPr>
          <w:trHeight w:val="229"/>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FEAUM</w:t>
            </w: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Private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66,428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69,932</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75,626</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23,830</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26,090</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27,007</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30,745</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w:t>
            </w:r>
          </w:p>
        </w:tc>
      </w:tr>
      <w:tr>
        <w:trPr>
          <w:trHeight w:val="23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Private debt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22,443</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24,797</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r>
      <w:tr>
        <w:trPr>
          <w:trHeight w:val="246"/>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13,036</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13,266</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13,579</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12,879</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132,791</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138,551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144,047</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Separately managed accounts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78,207</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81,815</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r>
      <w:tr>
        <w:trPr>
          <w:trHeight w:val="246"/>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Focused commingled funds</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48,216</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50,511</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54,584</w:t>
            </w: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58,223</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62,232</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132,791</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138,551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144,047</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AUM</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Private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106,408</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119,698</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r>
      <w:tr>
        <w:trPr>
          <w:trHeight w:val="23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Infrastructure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37,026</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42,437</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w:t>
            </w:r>
          </w:p>
        </w:tc>
      </w:tr>
      <w:tr>
        <w:trPr>
          <w:trHeight w:val="25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Private debt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37,133</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39,242</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40,438</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45,587</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3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19,284</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20,493</w:t>
            </w:r>
          </w:p>
        </w:tc>
        <w:tc>
          <w:tcPr>
            <w:tcW w:w="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w:t>
            </w:r>
          </w:p>
        </w:tc>
      </w:tr>
      <w:tr>
        <w:trPr>
          <w:trHeight w:val="26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209,147</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233,347</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4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Separately managed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124,991</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136,133</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w:t>
            </w:r>
          </w:p>
        </w:tc>
      </w:tr>
      <w:tr>
        <w:trPr>
          <w:trHeight w:val="23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Focused commingled funds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59,410</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62,672</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68,014</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73,375</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80,807</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w:t>
            </w:r>
          </w:p>
        </w:tc>
      </w:tr>
      <w:tr>
        <w:trPr>
          <w:trHeight w:val="246"/>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Advisory AUM</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15,164</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15,993</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16,142</w:t>
            </w: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16,313</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16,407</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209,147</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219,799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233,347</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AUA</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Private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283,034</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341,289</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w:t>
            </w:r>
          </w:p>
        </w:tc>
      </w:tr>
      <w:tr>
        <w:trPr>
          <w:trHeight w:val="23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Infrastructure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71,126</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78,762</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86,955</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94,706</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Private debt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19,726</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20,874</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23,402</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24,173</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25,918</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w:t>
            </w:r>
          </w:p>
        </w:tc>
      </w:tr>
      <w:tr>
        <w:trPr>
          <w:trHeight w:val="236"/>
        </w:trPr>
        <w:tc>
          <w:tcPr>
            <w:tcW w:w="3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168,047</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169,679</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176,357</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178,810</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189,892</w:t>
            </w:r>
          </w:p>
        </w:tc>
        <w:tc>
          <w:tcPr>
            <w:tcW w:w="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w:t>
            </w:r>
          </w:p>
        </w:tc>
      </w:tr>
      <w:tr>
        <w:trPr>
          <w:trHeight w:val="26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524,151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561,555</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651,805</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6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capital responsibility</w:t>
            </w:r>
            <w:r>
              <w:rPr>
                <w:rFonts w:ascii="Times New Roman" w:cs="Times New Roman" w:eastAsia="Times New Roman" w:hAnsi="Times New Roman"/>
                <w:sz w:val="21"/>
                <w:szCs w:val="21"/>
                <w:b w:val="1"/>
                <w:bCs w:val="1"/>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709,064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770,702</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811,140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885,152</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231F20"/>
        </w:rPr>
        <w:t>Note: Amounts may not sum to total due to rounding. AUM/AUA reflects final data for the prior period, adjusted for net new client account activity through the period presented, and does not include post-period investment valuation or cash activity. Net asset value (“NAV”) data for underlying investments is as of the prior period, as reported by underlying managers up to the business day occurring on or after 100 days, or 115 days at the fiscal year-end, following the prior period end. When NAV data is not available by the business day occurring on or after 100 days, or 115 days at the fiscal year-end, following the prior period end, such NAVs are adjusted for cash activity following the last available reported NAV.</w:t>
      </w:r>
    </w:p>
    <w:p>
      <w:pPr>
        <w:spacing w:after="0" w:line="2"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Allocation of AUM by asset class is presented by underlying investment asset classification.</w:t>
      </w:r>
    </w:p>
    <w:p>
      <w:pPr>
        <w:spacing w:after="0" w:line="9"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capital responsibility equals assets under management (AUM) plus assets under advisement (AUA).</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20"/>
          </w:cols>
          <w:pgMar w:left="320" w:top="1440" w:right="359" w:bottom="1440" w:gutter="0" w:footer="0" w:header="0"/>
          <w:type w:val="continuous"/>
        </w:sectPr>
      </w:pPr>
    </w:p>
    <w:bookmarkStart w:id="17" w:name="page18"/>
    <w:bookmarkEnd w:id="17"/>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Relations: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Seth Weiss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shareholders@stepstonegroup.com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1-212-351-6106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Jordan Niezelski / Maggie Duffy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Edelman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StepStone@edifi-dje.com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139"/>
          </w:cols>
          <w:pgMar w:left="320" w:top="1440" w:right="1440" w:bottom="1440" w:gutter="0" w:footer="0" w:header="0"/>
        </w:sectPr>
      </w:pPr>
    </w:p>
    <w:bookmarkStart w:id="18" w:name="page19"/>
    <w:bookmarkEnd w:id="18"/>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Glossary</w:t>
      </w:r>
    </w:p>
    <w:p>
      <w:pPr>
        <w:spacing w:after="0" w:line="1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Assets under advisement, or “AUA,”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t>
      </w:r>
      <w:r>
        <w:rPr>
          <w:rFonts w:ascii="Times New Roman" w:cs="Times New Roman" w:eastAsia="Times New Roman" w:hAnsi="Times New Roman"/>
          <w:sz w:val="20"/>
          <w:szCs w:val="20"/>
          <w:color w:val="231F20"/>
        </w:rPr>
        <w:t>We believe AUA is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useful metric for assessing the relative size of our advisory business.</w:t>
      </w:r>
    </w:p>
    <w:p>
      <w:pPr>
        <w:spacing w:after="0" w:line="17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March 31, 2026 reflects final data for the prior period (December 31, 2025), adjusted for net new client account activity through March 31, 2026. NAV data for underlying investments is as of December 31, 2025, as reported by underlying managers up to the business day occurring on or after 115 days following December 31, 2025. When NAV data is not available by the business day occurring on or after 115 days following December 31, 2025, such NAVs are adjusted for cash activity following the last available reported NAV.</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Assets under management, or “AUM,” primarily reflects the assets associated with our separately managed accounts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8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March 31, 2026 reflects final data for the prior period (December 31, 2025), adjusted for net new client account activity through March 31, 2026. NAV data for underlying investments is as of December 31, 2025, as reported by underlying managers up to the business day occurring on or after 115 days following December 31, 2025. When NAV data is not available by the business day occurring on or after 115 days following December 31, 2025, such NAVs are adjusted for cash activity following the last available reported NAV.</w:t>
      </w:r>
    </w:p>
    <w:p>
      <w:pPr>
        <w:spacing w:after="0" w:line="182" w:lineRule="exact"/>
        <w:rPr>
          <w:sz w:val="20"/>
          <w:szCs w:val="20"/>
          <w:color w:val="auto"/>
        </w:rPr>
      </w:pPr>
    </w:p>
    <w:p>
      <w:pPr>
        <w:ind w:right="640" w:firstLine="648"/>
        <w:spacing w:after="0" w:line="283" w:lineRule="auto"/>
        <w:rPr>
          <w:sz w:val="20"/>
          <w:szCs w:val="20"/>
          <w:color w:val="auto"/>
        </w:rPr>
      </w:pPr>
      <w:r>
        <w:rPr>
          <w:rFonts w:ascii="Times New Roman" w:cs="Times New Roman" w:eastAsia="Times New Roman" w:hAnsi="Times New Roman"/>
          <w:sz w:val="20"/>
          <w:szCs w:val="20"/>
          <w:color w:val="auto"/>
        </w:rPr>
        <w:t>Consolidated Funds refer to the StepStone Funds that we are required to consolidate as of the applicable reporting period. We consolidate funds and other entities in which we hold a controlling financial interest.</w:t>
      </w:r>
    </w:p>
    <w:p>
      <w:pPr>
        <w:spacing w:after="0" w:line="146"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Consolidated VIEs refer to the variable interest entities that we are required to consolidate as of the applicable reporting period. We consolidate VIEs in which we hold a controlling financial interest.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20" w:top="1440" w:right="359" w:bottom="1440" w:gutter="0" w:footer="0" w:header="0"/>
        </w:sectPr>
      </w:pPr>
    </w:p>
    <w:bookmarkStart w:id="19" w:name="page20"/>
    <w:bookmarkEnd w:id="19"/>
    <w:p>
      <w:pPr>
        <w:spacing w:after="0" w:line="3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 xml:space="preserve">Fee-earning AUM, or “FEAUM,”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t>
      </w:r>
      <w:r>
        <w:rPr>
          <w:rFonts w:ascii="Times New Roman" w:cs="Times New Roman" w:eastAsia="Times New Roman" w:hAnsi="Times New Roman"/>
          <w:sz w:val="20"/>
          <w:szCs w:val="20"/>
          <w:color w:val="231F20"/>
        </w:rPr>
        <w:t>We believe FEAUM is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useful metric in order to assess assets forming the basis of our management fee revenue.</w:t>
      </w:r>
    </w:p>
    <w:p>
      <w:pPr>
        <w:spacing w:after="0" w:line="179" w:lineRule="exact"/>
        <w:rPr>
          <w:sz w:val="20"/>
          <w:szCs w:val="20"/>
          <w:color w:val="auto"/>
        </w:rPr>
      </w:pPr>
    </w:p>
    <w:p>
      <w:pPr>
        <w:ind w:right="420" w:firstLine="648"/>
        <w:spacing w:after="0" w:line="283" w:lineRule="auto"/>
        <w:rPr>
          <w:sz w:val="20"/>
          <w:szCs w:val="20"/>
          <w:color w:val="auto"/>
        </w:rPr>
      </w:pPr>
      <w:r>
        <w:rPr>
          <w:rFonts w:ascii="Times New Roman" w:cs="Times New Roman" w:eastAsia="Times New Roman" w:hAnsi="Times New Roman"/>
          <w:sz w:val="20"/>
          <w:szCs w:val="20"/>
          <w:color w:val="auto"/>
        </w:rPr>
        <w:t>Legacy Greenspring entities refers to certain entities for which the Company, indirectly through its subsidiaries, became the sole and/or managing member in connection with the Greenspring acquisition.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SSG refers solely to StepStone Group Inc., a Delaware corporation, and not to any of its subsidiaries.</w:t>
      </w:r>
    </w:p>
    <w:p>
      <w:pPr>
        <w:spacing w:after="0" w:line="229" w:lineRule="exact"/>
        <w:rPr>
          <w:sz w:val="20"/>
          <w:szCs w:val="20"/>
          <w:color w:val="auto"/>
        </w:rPr>
      </w:pPr>
    </w:p>
    <w:p>
      <w:pPr>
        <w:ind w:right="280" w:firstLine="648"/>
        <w:spacing w:after="0" w:line="283" w:lineRule="auto"/>
        <w:rPr>
          <w:sz w:val="20"/>
          <w:szCs w:val="20"/>
          <w:color w:val="auto"/>
        </w:rPr>
      </w:pPr>
      <w:r>
        <w:rPr>
          <w:rFonts w:ascii="Times New Roman" w:cs="Times New Roman" w:eastAsia="Times New Roman" w:hAnsi="Times New Roman"/>
          <w:sz w:val="20"/>
          <w:szCs w:val="20"/>
          <w:color w:val="auto"/>
        </w:rPr>
        <w:t>StepStone Funds refer to SMAs and focused commingled funds of the Company, including acquired Greenspring funds, for which the Partnership or one of its subsidiaries acts as both investment adviser and general partner or managing member.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Partnership refers solely to StepStone Group LP, a Delaware limited partnership, and not to any of its subsidiaries.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Total capital responsibility equals AUM plus AUA. AUM includes any accounts for which StepStone Group has full discretion over the investment decisions, has responsibility to arrange or effectuate transactions, or has custody of assets. AUA refers to accounts for which StepStone Group provides advice or consultation but for which the firm does not have discretionary authority, responsibility to arrange or effectuate transactions, or custody of assets.</w:t>
      </w:r>
    </w:p>
    <w:p>
      <w:pPr>
        <w:spacing w:after="0" w:line="17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invested or activated. We believe undeployed fee-earning capital is a useful metric for measuring the amount of capital that we can put to work in the future and thus earn management fee revenue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2026-05-20T15:21:33Z</dcterms:created>
  <dcterms:modified xsi:type="dcterms:W3CDTF">2026-05-20T15:21:33Z</dcterms:modified>
</cp:coreProperties>
</file>