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StepStone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4,967,835.00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4,967,835.00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4,967,835.00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5,619,498.00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5,619,498.00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5,619,498.00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5,619,498.00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5,619,498.00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5,619,498.00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5,619,498.00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5,619,498.00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5,619,498.00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StepStone Group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277 Park Avenue, 45th Floor, New York, New York 10172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30, 2026, by and among Integrated Core Strategies (US) LLC, Millennium Management LLC, Millennium Group Management LLC and Israel A. Englander.</w:t>
            </w:r>
          </w:p>
        </w:tc>
      </w:tr>
    </w:tbl>
    <w:p>
      <w:pPr>
        <w:pStyle w:val="TextBody"/>
        <w:bidi w:val="0"/>
        <w:jc w:val="left"/>
        <w:rPr/>
      </w:pPr>
      <w:bookmarkStart w:id="28" w:name="tm2621853d1_ex-i.htm"/>
      <w:bookmarkStart w:id="29" w:name="kstm2621853d1_exi"/>
      <w:bookmarkEnd w:id="28"/>
      <w:bookmarkEnd w:id="2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Class A Common Stock, par value $0.001 per share, of StepStone Group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30, 2026</w:t>
      </w:r>
    </w:p>
    <w:p>
      <w:pPr>
        <w:pStyle w:val="TextBody"/>
        <w:bidi w:val="0"/>
        <w:spacing w:before="0" w:after="283"/>
        <w:jc w:val="left"/>
        <w:rPr/>
      </w:pPr>
      <w:r>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CORE STRATEGIES (US)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Integrated Holding Group LP,</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Managing Member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Millennium Management LLC,</w:t>
            </w:r>
          </w:p>
          <w:p>
            <w:pPr>
              <w:pStyle w:val="TableContents"/>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1591</Words>
  <Characters>8288</Characters>
  <CharactersWithSpaces>9891</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