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ind w:left="420" w:hanging="35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98" w:lineRule="exact"/>
        <w:rPr>
          <w:sz w:val="24"/>
          <w:szCs w:val="24"/>
          <w:color w:val="auto"/>
        </w:rPr>
      </w:pPr>
    </w:p>
    <w:p>
      <w:pPr>
        <w:ind w:left="380" w:hanging="314"/>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color w:val="auto"/>
        </w:rPr>
        <w:t>For the transition period from _______________________ to 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21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STEPSTONE GROUP INC.</w:t>
      </w:r>
    </w:p>
    <w:p>
      <w:pPr>
        <w:spacing w:after="0" w:line="235" w:lineRule="exact"/>
        <w:rPr>
          <w:sz w:val="24"/>
          <w:szCs w:val="24"/>
          <w:color w:val="auto"/>
        </w:rPr>
      </w:pPr>
    </w:p>
    <w:tbl>
      <w:tblPr>
        <w:tblLayout w:type="fixed"/>
        <w:tblInd w:w="144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5220" w:type="dxa"/>
            <w:vAlign w:val="bottom"/>
          </w:tcPr>
          <w:p>
            <w:pPr>
              <w:jc w:val="right"/>
              <w:ind w:right="170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0"/>
        </w:trPr>
        <w:tc>
          <w:tcPr>
            <w:tcW w:w="25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277 Park Avenue, 45</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5220" w:type="dxa"/>
            <w:vAlign w:val="bottom"/>
          </w:tcPr>
          <w:p>
            <w:pPr>
              <w:spacing w:after="0"/>
              <w:rPr>
                <w:sz w:val="24"/>
                <w:szCs w:val="24"/>
                <w:color w:val="auto"/>
              </w:rPr>
            </w:pPr>
          </w:p>
        </w:tc>
      </w:tr>
      <w:tr>
        <w:trPr>
          <w:trHeight w:val="190"/>
        </w:trPr>
        <w:tc>
          <w:tcPr>
            <w:tcW w:w="25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5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10172</w:t>
            </w:r>
          </w:p>
        </w:tc>
      </w:tr>
      <w:tr>
        <w:trPr>
          <w:trHeight w:val="203"/>
        </w:trPr>
        <w:tc>
          <w:tcPr>
            <w:tcW w:w="252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(Zip Code)</w:t>
            </w:r>
          </w:p>
        </w:tc>
      </w:tr>
      <w:tr>
        <w:trPr>
          <w:trHeight w:val="500"/>
        </w:trPr>
        <w:tc>
          <w:tcPr>
            <w:tcW w:w="2520" w:type="dxa"/>
            <w:vAlign w:val="bottom"/>
          </w:tcPr>
          <w:p>
            <w:pPr>
              <w:spacing w:after="0"/>
              <w:rPr>
                <w:sz w:val="24"/>
                <w:szCs w:val="24"/>
                <w:color w:val="auto"/>
              </w:rPr>
            </w:pPr>
          </w:p>
        </w:tc>
        <w:tc>
          <w:tcPr>
            <w:tcW w:w="5220" w:type="dxa"/>
            <w:vAlign w:val="bottom"/>
          </w:tcPr>
          <w:p>
            <w:pPr>
              <w:jc w:val="right"/>
              <w:ind w:right="3028"/>
              <w:spacing w:after="0"/>
              <w:rPr>
                <w:sz w:val="20"/>
                <w:szCs w:val="20"/>
                <w:color w:val="auto"/>
              </w:rPr>
            </w:pPr>
            <w:r>
              <w:rPr>
                <w:rFonts w:ascii="Times New Roman" w:cs="Times New Roman" w:eastAsia="Times New Roman" w:hAnsi="Times New Roman"/>
                <w:sz w:val="14"/>
                <w:szCs w:val="14"/>
                <w:b w:val="1"/>
                <w:bCs w:val="1"/>
                <w:color w:val="auto"/>
              </w:rPr>
              <w:t>(212) 351-6100</w:t>
            </w:r>
          </w:p>
        </w:tc>
      </w:tr>
    </w:tbl>
    <w:p>
      <w:pPr>
        <w:spacing w:after="0" w:line="20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4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2" w:lineRule="exact"/>
        <w:rPr>
          <w:sz w:val="24"/>
          <w:szCs w:val="24"/>
          <w:color w:val="auto"/>
        </w:rPr>
      </w:pPr>
    </w:p>
    <w:tbl>
      <w:tblPr>
        <w:tblLayout w:type="fixed"/>
        <w:tblInd w:w="1540" w:type="dxa"/>
        <w:tblCellMar>
          <w:top w:w="0" w:type="dxa"/>
          <w:left w:w="0" w:type="dxa"/>
          <w:bottom w:w="0" w:type="dxa"/>
          <w:right w:w="0" w:type="dxa"/>
        </w:tblCellMar>
      </w:tblPr>
      <w:tr>
        <w:trPr>
          <w:trHeight w:val="188"/>
        </w:trPr>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309"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30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9"/>
        </w:trPr>
        <w:tc>
          <w:tcPr>
            <w:tcW w:w="1140" w:type="dxa"/>
            <w:vAlign w:val="bottom"/>
            <w:vMerge w:val="continue"/>
          </w:tcPr>
          <w:p>
            <w:pPr>
              <w:spacing w:after="0"/>
              <w:rPr>
                <w:sz w:val="5"/>
                <w:szCs w:val="5"/>
                <w:color w:val="auto"/>
              </w:rPr>
            </w:pPr>
          </w:p>
        </w:tc>
        <w:tc>
          <w:tcPr>
            <w:tcW w:w="3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6"/>
        </w:trPr>
        <w:tc>
          <w:tcPr>
            <w:tcW w:w="11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0"/>
          <w:szCs w:val="20"/>
          <w:color w:val="auto"/>
        </w:rPr>
      </w:pPr>
    </w:p>
    <w:p>
      <w:pPr>
        <w:jc w:val="both"/>
        <w:ind w:right="740"/>
        <w:spacing w:after="0" w:line="272" w:lineRule="auto"/>
        <w:rPr>
          <w:sz w:val="20"/>
          <w:szCs w:val="20"/>
          <w:color w:val="auto"/>
        </w:rPr>
      </w:pPr>
      <w:r>
        <w:rPr>
          <w:rFonts w:ascii="Times New Roman" w:cs="Times New Roman" w:eastAsia="Times New Roman" w:hAnsi="Times New Roman"/>
          <w:sz w:val="16"/>
          <w:szCs w:val="16"/>
          <w:color w:val="auto"/>
        </w:rPr>
        <w:t>Indicate the number of shares outstanding of each of the registrant’s classes of common stock, as of the latest practicable date: As of February 4, 2025, there were 75,849,734 shares of the registrant’s Class A common stock, par value $0.001, and 40,127,254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2" w:name="page3"/>
    <w:bookmarkEnd w:id="2"/>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960" w:type="dxa"/>
            <w:vAlign w:val="bottom"/>
            <w:gridSpan w:val="9"/>
            <w:shd w:val="clear" w:color="auto" w:fill="CCEEFF"/>
          </w:tcPr>
          <w:p>
            <w:pPr>
              <w:jc w:val="center"/>
              <w:ind w:right="150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6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December 31, 2024 and March 31, 2024</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(Loss) for the Three and Nine Months Ended December 31, 2024 and 2023</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and Nine Months Ended December 31, 2024</w:t>
            </w:r>
          </w:p>
        </w:tc>
        <w:tc>
          <w:tcPr>
            <w:tcW w:w="740" w:type="dxa"/>
            <w:vAlign w:val="bottom"/>
            <w:tcBorders>
              <w:right w:val="single" w:sz="8" w:color="CCEEFF"/>
            </w:tcBorders>
            <w:gridSpan w:val="2"/>
            <w:vMerge w:val="restart"/>
            <w:shd w:val="clear" w:color="auto" w:fill="CCEEFF"/>
          </w:tcPr>
          <w:p>
            <w:pPr>
              <w:spacing w:after="0"/>
              <w:rPr>
                <w:sz w:val="16"/>
                <w:szCs w:val="16"/>
                <w:color w:val="auto"/>
              </w:rPr>
            </w:pPr>
          </w:p>
        </w:tc>
        <w:tc>
          <w:tcPr>
            <w:tcW w:w="1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6"/>
              </w:rPr>
              <w:t>and 2023</w:t>
            </w:r>
          </w:p>
        </w:tc>
        <w:tc>
          <w:tcPr>
            <w:tcW w:w="850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top w:val="single" w:sz="8" w:color="CCEEFF"/>
              <w:bottom w:val="single" w:sz="8" w:color="0000FF"/>
              <w:right w:val="single" w:sz="8" w:color="CCEEFF"/>
            </w:tcBorders>
            <w:vMerge w:val="continue"/>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34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Nine Months Ended December 31, 2024 and 2023</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3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December 31, 2024 and 2023</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7880" w:type="dxa"/>
            <w:vAlign w:val="bottom"/>
            <w:tcBorders>
              <w:top w:val="single" w:sz="8" w:color="0000FF"/>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60" w:type="dxa"/>
            <w:vAlign w:val="bottom"/>
            <w:tcBorders>
              <w:top w:val="single" w:sz="8" w:color="CCEEFF"/>
            </w:tcBorders>
            <w:gridSpan w:val="3"/>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14</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820" w:type="dxa"/>
            <w:vAlign w:val="bottom"/>
            <w:tcBorders>
              <w:bottom w:val="single" w:sz="8" w:color="CCEEFF"/>
            </w:tcBorders>
            <w:gridSpan w:val="4"/>
            <w:shd w:val="clear" w:color="auto" w:fill="CCEEFF"/>
          </w:tcPr>
          <w:p>
            <w:pPr>
              <w:spacing w:after="0"/>
              <w:rPr>
                <w:sz w:val="18"/>
                <w:szCs w:val="18"/>
                <w:color w:val="auto"/>
              </w:rPr>
            </w:pPr>
          </w:p>
        </w:tc>
        <w:tc>
          <w:tcPr>
            <w:tcW w:w="7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49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3. Qualitative and Quantitative Disclosures about Market Risk</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6960" w:type="dxa"/>
            <w:vAlign w:val="bottom"/>
            <w:tcBorders>
              <w:top w:val="single" w:sz="8" w:color="CCEEFF"/>
            </w:tcBorders>
            <w:gridSpan w:val="9"/>
          </w:tcPr>
          <w:p>
            <w:pPr>
              <w:jc w:val="center"/>
              <w:ind w:right="152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7940" w:type="dxa"/>
            <w:vAlign w:val="bottom"/>
            <w:tcBorders>
              <w:bottom w:val="single" w:sz="8" w:color="CCEEFF"/>
            </w:tcBorders>
            <w:gridSpan w:val="12"/>
            <w:shd w:val="clear" w:color="auto" w:fill="CCEEFF"/>
          </w:tcPr>
          <w:p>
            <w:pPr>
              <w:spacing w:after="0"/>
              <w:rPr>
                <w:sz w:val="18"/>
                <w:szCs w:val="18"/>
                <w:color w:val="auto"/>
              </w:rPr>
            </w:pPr>
          </w:p>
        </w:tc>
        <w:tc>
          <w:tcPr>
            <w:tcW w:w="74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0000FF"/>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90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80" w:type="dxa"/>
            <w:vAlign w:val="bottom"/>
            <w:gridSpan w:val="3"/>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4940" w:type="dxa"/>
            <w:vAlign w:val="bottom"/>
            <w:tcBorders>
              <w:top w:val="single" w:sz="8" w:color="CCEEFF"/>
            </w:tcBorders>
            <w:gridSpan w:val="6"/>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93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93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Item 5. Other Information</w:t>
            </w:r>
          </w:p>
        </w:tc>
        <w:tc>
          <w:tcPr>
            <w:tcW w:w="7520" w:type="dxa"/>
            <w:vAlign w:val="bottom"/>
            <w:tcBorders>
              <w:top w:val="single" w:sz="8" w:color="CCEEFF"/>
            </w:tcBorders>
            <w:gridSpan w:val="10"/>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93</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880" w:type="dxa"/>
            <w:vAlign w:val="bottom"/>
            <w:tcBorders>
              <w:right w:val="single" w:sz="8" w:color="CCEEFF"/>
            </w:tcBorders>
            <w:gridSpan w:val="3"/>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0000FF"/>
                <w:w w:val="99"/>
              </w:rPr>
              <w:t>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680" w:type="dxa"/>
            <w:vAlign w:val="bottom"/>
            <w:tcBorders>
              <w:top w:val="single" w:sz="8" w:color="CCEEFF"/>
            </w:tcBorders>
            <w:gridSpan w:val="16"/>
          </w:tcPr>
          <w:p>
            <w:pPr>
              <w:spacing w:after="0"/>
              <w:rPr>
                <w:sz w:val="16"/>
                <w:szCs w:val="16"/>
                <w:color w:val="auto"/>
              </w:rPr>
            </w:pPr>
          </w:p>
        </w:tc>
        <w:tc>
          <w:tcPr>
            <w:tcW w:w="740" w:type="dxa"/>
            <w:vAlign w:val="bottom"/>
            <w:tcBorders>
              <w:top w:val="single" w:sz="8" w:color="CCEEFF"/>
            </w:tcBorders>
            <w:gridSpan w:val="2"/>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95</w:t>
            </w:r>
          </w:p>
        </w:tc>
        <w:tc>
          <w:tcPr>
            <w:tcW w:w="8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3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660" w:right="104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660" w:right="60" w:hanging="4"/>
        <w:spacing w:after="0" w:line="273"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66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Funds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our funds</w:t>
      </w:r>
      <w:r>
        <w:rPr>
          <w:rFonts w:ascii="Times New Roman" w:cs="Times New Roman" w:eastAsia="Times New Roman" w:hAnsi="Times New Roman"/>
          <w:sz w:val="20"/>
          <w:szCs w:val="20"/>
          <w:color w:val="auto"/>
        </w:rPr>
        <w:t>” refer to our focused commingled funds and our separately managed accounts for which we act as both investment adviser and general partner or managing member;</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660" w:right="44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660" w:right="38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660" w:right="22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w:t>
      </w:r>
    </w:p>
    <w:p>
      <w:pPr>
        <w:spacing w:after="0" w:line="138" w:lineRule="exact"/>
        <w:rPr>
          <w:rFonts w:ascii="Times New Roman" w:cs="Times New Roman" w:eastAsia="Times New Roman" w:hAnsi="Times New Roman"/>
          <w:sz w:val="20"/>
          <w:szCs w:val="20"/>
          <w:color w:val="auto"/>
        </w:rPr>
      </w:pPr>
    </w:p>
    <w:p>
      <w:pPr>
        <w:ind w:left="660" w:right="100" w:hanging="4"/>
        <w:spacing w:after="0" w:line="287"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 and</w:t>
      </w:r>
    </w:p>
    <w:p>
      <w:pPr>
        <w:spacing w:after="0" w:line="138" w:lineRule="exact"/>
        <w:rPr>
          <w:rFonts w:ascii="Times New Roman" w:cs="Times New Roman" w:eastAsia="Times New Roman" w:hAnsi="Times New Roman"/>
          <w:sz w:val="20"/>
          <w:szCs w:val="20"/>
          <w:color w:val="auto"/>
        </w:rPr>
      </w:pPr>
    </w:p>
    <w:p>
      <w:pPr>
        <w:ind w:left="660" w:right="200" w:hanging="4"/>
        <w:spacing w:after="0" w:line="270" w:lineRule="auto"/>
        <w:tabs>
          <w:tab w:leader="none" w:pos="77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SRA</w:t>
      </w:r>
      <w:r>
        <w:rPr>
          <w:rFonts w:ascii="Times New Roman" w:cs="Times New Roman" w:eastAsia="Times New Roman" w:hAnsi="Times New Roman"/>
          <w:sz w:val="20"/>
          <w:szCs w:val="20"/>
          <w:color w:val="auto"/>
        </w:rPr>
        <w:t>” refer to StepStone Group Real Assets LP, references to “</w:t>
      </w:r>
      <w:r>
        <w:rPr>
          <w:rFonts w:ascii="Times New Roman" w:cs="Times New Roman" w:eastAsia="Times New Roman" w:hAnsi="Times New Roman"/>
          <w:sz w:val="20"/>
          <w:szCs w:val="20"/>
          <w:b w:val="1"/>
          <w:bCs w:val="1"/>
          <w:color w:val="auto"/>
        </w:rPr>
        <w:t>SRE</w:t>
      </w:r>
      <w:r>
        <w:rPr>
          <w:rFonts w:ascii="Times New Roman" w:cs="Times New Roman" w:eastAsia="Times New Roman" w:hAnsi="Times New Roman"/>
          <w:sz w:val="20"/>
          <w:szCs w:val="20"/>
          <w:color w:val="auto"/>
        </w:rPr>
        <w:t>” refer to StepStone Group Real Estate LP, references to “</w:t>
      </w:r>
      <w:r>
        <w:rPr>
          <w:rFonts w:ascii="Times New Roman" w:cs="Times New Roman" w:eastAsia="Times New Roman" w:hAnsi="Times New Roman"/>
          <w:sz w:val="20"/>
          <w:szCs w:val="20"/>
          <w:b w:val="1"/>
          <w:bCs w:val="1"/>
          <w:color w:val="auto"/>
        </w:rPr>
        <w:t>SPD</w:t>
      </w:r>
      <w:r>
        <w:rPr>
          <w:rFonts w:ascii="Times New Roman" w:cs="Times New Roman" w:eastAsia="Times New Roman" w:hAnsi="Times New Roman"/>
          <w:sz w:val="20"/>
          <w:szCs w:val="20"/>
          <w:color w:val="auto"/>
        </w:rPr>
        <w:t>” refer to StepStone Group Private Debt AG, and references to “</w:t>
      </w:r>
      <w:r>
        <w:rPr>
          <w:rFonts w:ascii="Times New Roman" w:cs="Times New Roman" w:eastAsia="Times New Roman" w:hAnsi="Times New Roman"/>
          <w:sz w:val="20"/>
          <w:szCs w:val="20"/>
          <w:b w:val="1"/>
          <w:bCs w:val="1"/>
          <w:color w:val="auto"/>
        </w:rPr>
        <w:t>SPW</w:t>
      </w:r>
      <w:r>
        <w:rPr>
          <w:rFonts w:ascii="Times New Roman" w:cs="Times New Roman" w:eastAsia="Times New Roman" w:hAnsi="Times New Roman"/>
          <w:sz w:val="20"/>
          <w:szCs w:val="20"/>
          <w:color w:val="auto"/>
        </w:rPr>
        <w:t>” refer to StepStone Group Private Wealth LLC.</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9"/>
          <w:szCs w:val="19"/>
          <w:color w:val="auto"/>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2024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0"/>
              </w:rPr>
              <w:t>As of</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0" w:type="dxa"/>
            <w:vAlign w:val="bottom"/>
          </w:tcPr>
          <w:p>
            <w:pPr>
              <w:spacing w:after="0"/>
              <w:rPr>
                <w:sz w:val="1"/>
                <w:szCs w:val="1"/>
                <w:color w:val="auto"/>
              </w:rPr>
            </w:pP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223,103</w:t>
            </w:r>
          </w:p>
        </w:tc>
        <w:tc>
          <w:tcPr>
            <w:tcW w:w="4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143,430</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96,590</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67,531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in funds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172,748</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135,043</w:t>
            </w: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carried interest allocations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1,474,543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1,354,051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investments in funds and accrued carried interest allocations</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572,459</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631,197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356,122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184,512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right-of-use assets,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90,567</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97,763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66,114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274,122</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304,873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Assets of Consolidated Funds: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55,681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38,164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320,482</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131,858</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4,349,647</w:t>
            </w: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3,788,807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139,068</w:t>
            </w:r>
          </w:p>
        </w:tc>
        <w:tc>
          <w:tcPr>
            <w:tcW w:w="46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127,417</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690,321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101,481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carried interest-related compensation</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730,218</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719,497</w:t>
            </w: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accrued carried interest-related compensation</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439,898</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484,154</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315,739</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212,918</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112,175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119,739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168,942</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148,822</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Liabilities of Consolidated Funds:</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9,860</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0" w:type="dxa"/>
            <w:vAlign w:val="bottom"/>
          </w:tcPr>
          <w:p>
            <w:pPr>
              <w:spacing w:after="0"/>
              <w:rPr>
                <w:sz w:val="1"/>
                <w:szCs w:val="1"/>
                <w:color w:val="auto"/>
              </w:rPr>
            </w:pPr>
          </w:p>
        </w:tc>
      </w:tr>
      <w:tr>
        <w:trPr>
          <w:trHeight w:val="163"/>
        </w:trPr>
        <w:tc>
          <w:tcPr>
            <w:tcW w:w="8140" w:type="dxa"/>
            <w:vAlign w:val="bottom"/>
          </w:tcPr>
          <w:p>
            <w:pPr>
              <w:ind w:left="360"/>
              <w:spacing w:after="0" w:line="144" w:lineRule="exact"/>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2,606,221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1,915,673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Consolidated Funds</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102,623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subsidiaries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6,552</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115,920</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1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Class A common stock, $0.001 par value, 650,000,000 authorized; 75,841,118 and 65,614,902 issued and outstanding as of December 31, 2024 and March 31,</w:t>
            </w: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2024, respectively</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21"/>
        </w:trPr>
        <w:tc>
          <w:tcPr>
            <w:tcW w:w="81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Class B common stock, $0.001 par value, 125,000,000 authorized; 40,127,254 and 45,030,959 issued and outstanding as of December 31, 2024 and March 31,</w:t>
            </w: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2024, respectively</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415,059</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310,293</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(205,674)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0" w:type="dxa"/>
            <w:vAlign w:val="bottom"/>
          </w:tcPr>
          <w:p>
            <w:pPr>
              <w:spacing w:after="0"/>
              <w:rPr>
                <w:sz w:val="1"/>
                <w:szCs w:val="1"/>
                <w:color w:val="auto"/>
              </w:rPr>
            </w:pPr>
          </w:p>
        </w:tc>
      </w:tr>
      <w:tr>
        <w:trPr>
          <w:trHeight w:val="163"/>
        </w:trPr>
        <w:tc>
          <w:tcPr>
            <w:tcW w:w="81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StepStone Group Inc. stockholders’ equity</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209,842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324,476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1,051,919</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974,559</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Non-controlling interests in legacy Greenspring entities</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132,561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147,042</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 in the Partnership</w:t>
            </w:r>
          </w:p>
        </w:tc>
        <w:tc>
          <w:tcPr>
            <w:tcW w:w="1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55,730</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208,514</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1,450,052</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1,654,591</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4,349,647</w:t>
            </w: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3,788,807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 5 for more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The following presents the portion of the condensed consolidated balances presented above attributable to consolidated variable interest entities.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82,410</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52,566</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23,986</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572,459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38,164</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320,482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131,858</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1,223,545</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995,188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599,578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484,154</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1,101,846</w:t>
            </w:r>
          </w:p>
        </w:tc>
        <w:tc>
          <w:tcPr>
            <w:tcW w:w="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593,701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Income (Loss) (Unaudited)</w:t>
      </w:r>
    </w:p>
    <w:p>
      <w:pPr>
        <w:spacing w:after="0" w:line="1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2"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60" w:type="dxa"/>
            <w:vAlign w:val="bottom"/>
          </w:tcPr>
          <w:p>
            <w:pPr>
              <w:spacing w:after="0"/>
              <w:rPr>
                <w:sz w:val="15"/>
                <w:szCs w:val="15"/>
                <w:color w:val="auto"/>
              </w:rPr>
            </w:pPr>
          </w:p>
        </w:tc>
        <w:tc>
          <w:tcPr>
            <w:tcW w:w="2480" w:type="dxa"/>
            <w:vAlign w:val="bottom"/>
            <w:gridSpan w:val="4"/>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Nine Months Ended December 31,</w:t>
            </w:r>
          </w:p>
        </w:tc>
      </w:tr>
      <w:tr>
        <w:trPr>
          <w:trHeight w:val="171"/>
        </w:trPr>
        <w:tc>
          <w:tcPr>
            <w:tcW w:w="53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190,840</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151,492</w:t>
            </w:r>
          </w:p>
        </w:tc>
        <w:tc>
          <w:tcPr>
            <w:tcW w:w="260" w:type="dxa"/>
            <w:vAlign w:val="bottom"/>
          </w:tcPr>
          <w:p>
            <w:pPr>
              <w:spacing w:after="0"/>
              <w:rPr>
                <w:sz w:val="14"/>
                <w:szCs w:val="14"/>
                <w:color w:val="auto"/>
              </w:rPr>
            </w:pP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553,613</w:t>
            </w:r>
          </w:p>
        </w:tc>
        <w:tc>
          <w:tcPr>
            <w:tcW w:w="260" w:type="dxa"/>
            <w:vAlign w:val="bottom"/>
          </w:tcPr>
          <w:p>
            <w:pPr>
              <w:spacing w:after="0"/>
              <w:rPr>
                <w:sz w:val="14"/>
                <w:szCs w:val="14"/>
                <w:color w:val="auto"/>
              </w:rPr>
            </w:pPr>
          </w:p>
        </w:tc>
        <w:tc>
          <w:tcPr>
            <w:tcW w:w="280" w:type="dxa"/>
            <w:vAlign w:val="bottom"/>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431,730</w:t>
            </w:r>
          </w:p>
        </w:tc>
      </w:tr>
      <w:tr>
        <w:trPr>
          <w:trHeight w:val="18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Performance fees: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5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Incentive fees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22,843</w:t>
            </w:r>
          </w:p>
        </w:tc>
      </w:tr>
      <w:tr>
        <w:trPr>
          <w:trHeight w:val="181"/>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532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Realized</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83,718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31,347</w:t>
            </w:r>
          </w:p>
        </w:tc>
      </w:tr>
      <w:tr>
        <w:trPr>
          <w:trHeight w:val="181"/>
        </w:trPr>
        <w:tc>
          <w:tcPr>
            <w:tcW w:w="5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Unrealized</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93,325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(129,584)</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120,370</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(24,849)</w:t>
            </w:r>
          </w:p>
        </w:tc>
      </w:tr>
      <w:tr>
        <w:trPr>
          <w:trHeight w:val="163"/>
        </w:trPr>
        <w:tc>
          <w:tcPr>
            <w:tcW w:w="5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117,607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(114,295)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204,088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6,498</w:t>
            </w:r>
          </w:p>
        </w:tc>
      </w:tr>
      <w:tr>
        <w:trPr>
          <w:trHeight w:val="181"/>
        </w:trPr>
        <w:tc>
          <w:tcPr>
            <w:tcW w:w="532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8,207</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(69,700)</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13,035</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(106,250)</w:t>
            </w:r>
          </w:p>
        </w:tc>
      </w:tr>
      <w:tr>
        <w:trPr>
          <w:trHeight w:val="163"/>
        </w:trPr>
        <w:tc>
          <w:tcPr>
            <w:tcW w:w="5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performance fees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148,183</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(166,104)</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243,488</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(76,909)</w:t>
            </w:r>
          </w:p>
        </w:tc>
      </w:tr>
      <w:tr>
        <w:trPr>
          <w:trHeight w:val="175"/>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339,023</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(14,612)</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797,101</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354,821</w:t>
            </w:r>
          </w:p>
        </w:tc>
      </w:tr>
      <w:tr>
        <w:trPr>
          <w:trHeight w:val="151"/>
        </w:trPr>
        <w:tc>
          <w:tcPr>
            <w:tcW w:w="532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5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Cash-based compensation</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85,203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73,619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246,298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218,551</w:t>
            </w:r>
          </w:p>
        </w:tc>
      </w:tr>
      <w:tr>
        <w:trPr>
          <w:trHeight w:val="181"/>
        </w:trPr>
        <w:tc>
          <w:tcPr>
            <w:tcW w:w="5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486,418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14,032</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542,929</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28,420</w:t>
            </w:r>
          </w:p>
        </w:tc>
      </w:tr>
      <w:tr>
        <w:trPr>
          <w:trHeight w:val="170"/>
        </w:trPr>
        <w:tc>
          <w:tcPr>
            <w:tcW w:w="5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5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Realized</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15,444</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55,092</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26,266</w:t>
            </w:r>
          </w:p>
        </w:tc>
      </w:tr>
      <w:tr>
        <w:trPr>
          <w:trHeight w:val="170"/>
        </w:trPr>
        <w:tc>
          <w:tcPr>
            <w:tcW w:w="53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3"/>
                <w:szCs w:val="13"/>
                <w:color w:val="auto"/>
              </w:rPr>
              <w:t>Unrealized</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49,670</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(62,243)</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66,495</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(9,320)</w:t>
            </w:r>
          </w:p>
        </w:tc>
      </w:tr>
      <w:tr>
        <w:trPr>
          <w:trHeight w:val="175"/>
        </w:trPr>
        <w:tc>
          <w:tcPr>
            <w:tcW w:w="5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75,147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(46,799)</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121,587</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16,946</w:t>
            </w:r>
          </w:p>
        </w:tc>
      </w:tr>
      <w:tr>
        <w:trPr>
          <w:trHeight w:val="175"/>
        </w:trPr>
        <w:tc>
          <w:tcPr>
            <w:tcW w:w="5320" w:type="dxa"/>
            <w:vAlign w:val="bottom"/>
            <w:tcBorders>
              <w:bottom w:val="single" w:sz="8" w:color="CCEEFF"/>
            </w:tcBorders>
          </w:tcPr>
          <w:p>
            <w:pPr>
              <w:ind w:left="380"/>
              <w:spacing w:after="0" w:line="175"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8,207</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(69,700)</w:t>
            </w:r>
          </w:p>
        </w:tc>
        <w:tc>
          <w:tcPr>
            <w:tcW w:w="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13,035</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(106,250)</w:t>
            </w:r>
          </w:p>
        </w:tc>
      </w:tr>
      <w:tr>
        <w:trPr>
          <w:trHeight w:val="16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654,975</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(28,848)</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923,849</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157,667</w:t>
            </w:r>
          </w:p>
        </w:tc>
      </w:tr>
      <w:tr>
        <w:trPr>
          <w:trHeight w:val="17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43,130</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48,001</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134,202</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113,007</w:t>
            </w:r>
          </w:p>
        </w:tc>
      </w:tr>
      <w:tr>
        <w:trPr>
          <w:trHeight w:val="175"/>
        </w:trPr>
        <w:tc>
          <w:tcPr>
            <w:tcW w:w="5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expenses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698,105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19,153</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1,058,051</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270,674</w:t>
            </w:r>
          </w:p>
        </w:tc>
      </w:tr>
      <w:tr>
        <w:trPr>
          <w:trHeight w:val="151"/>
        </w:trPr>
        <w:tc>
          <w:tcPr>
            <w:tcW w:w="532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 (loss)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5,710</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4,115</w:t>
            </w:r>
          </w:p>
        </w:tc>
      </w:tr>
      <w:tr>
        <w:trPr>
          <w:trHeight w:val="175"/>
        </w:trPr>
        <w:tc>
          <w:tcPr>
            <w:tcW w:w="5320" w:type="dxa"/>
            <w:vAlign w:val="bottom"/>
          </w:tcPr>
          <w:p>
            <w:pPr>
              <w:spacing w:after="0" w:line="175"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(9,054)</w:t>
            </w:r>
          </w:p>
        </w:tc>
      </w:tr>
      <w:tr>
        <w:trPr>
          <w:trHeight w:val="175"/>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30,878</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22,357</w:t>
            </w: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w:t>
            </w:r>
          </w:p>
        </w:tc>
      </w:tr>
      <w:tr>
        <w:trPr>
          <w:trHeight w:val="18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(9,510)</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(6,682)</w:t>
            </w:r>
          </w:p>
        </w:tc>
      </w:tr>
      <w:tr>
        <w:trPr>
          <w:trHeight w:val="17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income (loss)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3,763</w:t>
            </w:r>
          </w:p>
        </w:tc>
      </w:tr>
      <w:tr>
        <w:trPr>
          <w:trHeight w:val="175"/>
        </w:trPr>
        <w:tc>
          <w:tcPr>
            <w:tcW w:w="5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other income</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14,367</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9,623</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28,965</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16,734</w:t>
            </w:r>
          </w:p>
        </w:tc>
      </w:tr>
      <w:tr>
        <w:trPr>
          <w:trHeight w:val="163"/>
        </w:trPr>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(344,715)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(24,142)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(231,985)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100,881</w:t>
            </w:r>
          </w:p>
        </w:tc>
      </w:tr>
      <w:tr>
        <w:trPr>
          <w:trHeight w:val="18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(57,552)</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2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(46,005)</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15,603</w:t>
            </w:r>
          </w:p>
        </w:tc>
      </w:tr>
      <w:tr>
        <w:trPr>
          <w:trHeight w:val="163"/>
        </w:trPr>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(287,163)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(185,980)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85,278</w:t>
            </w:r>
          </w:p>
        </w:tc>
      </w:tr>
      <w:tr>
        <w:trPr>
          <w:trHeight w:val="181"/>
        </w:trPr>
        <w:tc>
          <w:tcPr>
            <w:tcW w:w="5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27,226</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13,552</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62,966</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32,797</w:t>
            </w:r>
          </w:p>
        </w:tc>
      </w:tr>
      <w:tr>
        <w:trPr>
          <w:trHeight w:val="175"/>
        </w:trPr>
        <w:tc>
          <w:tcPr>
            <w:tcW w:w="5320" w:type="dxa"/>
            <w:vAlign w:val="bottom"/>
          </w:tcPr>
          <w:p>
            <w:pPr>
              <w:ind w:left="380"/>
              <w:spacing w:after="0" w:line="175" w:lineRule="exact"/>
              <w:rPr>
                <w:sz w:val="20"/>
                <w:szCs w:val="20"/>
                <w:color w:val="auto"/>
              </w:rPr>
            </w:pPr>
            <w:r>
              <w:rPr>
                <w:rFonts w:ascii="Times New Roman" w:cs="Times New Roman" w:eastAsia="Times New Roman" w:hAnsi="Times New Roman"/>
                <w:sz w:val="13"/>
                <w:szCs w:val="13"/>
                <w:color w:val="auto"/>
                <w:w w:val="98"/>
              </w:rPr>
              <w:t>Less: Net income (loss) attributable to non-controlling interests in legacy Greenspring entities</w:t>
            </w:r>
            <w:r>
              <w:rPr>
                <w:rFonts w:ascii="Times New Roman" w:cs="Times New Roman" w:eastAsia="Times New Roman" w:hAnsi="Times New Roman"/>
                <w:sz w:val="16"/>
                <w:szCs w:val="16"/>
                <w:color w:val="auto"/>
                <w:w w:val="98"/>
                <w:vertAlign w:val="superscript"/>
              </w:rPr>
              <w:t>(1)</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(9,054)</w:t>
            </w:r>
          </w:p>
        </w:tc>
      </w:tr>
      <w:tr>
        <w:trPr>
          <w:trHeight w:val="175"/>
        </w:trPr>
        <w:tc>
          <w:tcPr>
            <w:tcW w:w="5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(134,760)</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(20,111)</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(107,856)</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22,677</w:t>
            </w:r>
          </w:p>
        </w:tc>
      </w:tr>
      <w:tr>
        <w:trPr>
          <w:trHeight w:val="170"/>
        </w:trPr>
        <w:tc>
          <w:tcPr>
            <w:tcW w:w="5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11,590</w:t>
            </w:r>
          </w:p>
        </w:tc>
      </w:tr>
      <w:tr>
        <w:trPr>
          <w:trHeight w:val="175"/>
        </w:trPr>
        <w:tc>
          <w:tcPr>
            <w:tcW w:w="5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(192,015)</w:t>
            </w:r>
          </w:p>
        </w:tc>
        <w:tc>
          <w:tcPr>
            <w:tcW w:w="2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(20,226)</w:t>
            </w:r>
          </w:p>
        </w:tc>
        <w:tc>
          <w:tcPr>
            <w:tcW w:w="2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(161,055)</w:t>
            </w:r>
          </w:p>
        </w:tc>
        <w:tc>
          <w:tcPr>
            <w:tcW w:w="26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27,268</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per share of Class A common stock:</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5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0.43</w:t>
            </w:r>
          </w:p>
        </w:tc>
      </w:tr>
      <w:tr>
        <w:trPr>
          <w:trHeight w:val="170"/>
        </w:trPr>
        <w:tc>
          <w:tcPr>
            <w:tcW w:w="5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260" w:type="dxa"/>
            <w:vAlign w:val="bottom"/>
          </w:tcPr>
          <w:p>
            <w:pPr>
              <w:spacing w:after="0"/>
              <w:rPr>
                <w:sz w:val="14"/>
                <w:szCs w:val="14"/>
                <w:color w:val="auto"/>
              </w:rPr>
            </w:pPr>
          </w:p>
        </w:tc>
        <w:tc>
          <w:tcPr>
            <w:tcW w:w="2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60" w:type="dxa"/>
            <w:vAlign w:val="bottom"/>
          </w:tcPr>
          <w:p>
            <w:pPr>
              <w:spacing w:after="0"/>
              <w:rPr>
                <w:sz w:val="14"/>
                <w:szCs w:val="14"/>
                <w:color w:val="auto"/>
              </w:rPr>
            </w:pPr>
          </w:p>
        </w:tc>
        <w:tc>
          <w:tcPr>
            <w:tcW w:w="280" w:type="dxa"/>
            <w:vAlign w:val="bottom"/>
          </w:tcPr>
          <w:p>
            <w:pPr>
              <w:jc w:val="right"/>
              <w:ind w:right="16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0.43</w:t>
            </w:r>
          </w:p>
        </w:tc>
      </w:tr>
      <w:tr>
        <w:trPr>
          <w:trHeight w:val="181"/>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0"/>
        </w:trPr>
        <w:tc>
          <w:tcPr>
            <w:tcW w:w="5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73,687,289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64,068,952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69,561,254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63,255,604</w:t>
            </w:r>
          </w:p>
        </w:tc>
      </w:tr>
      <w:tr>
        <w:trPr>
          <w:trHeight w:val="181"/>
        </w:trPr>
        <w:tc>
          <w:tcPr>
            <w:tcW w:w="5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73,687,289</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64,068,952</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69,561,254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66,299,982</w:t>
            </w:r>
          </w:p>
        </w:tc>
      </w:tr>
    </w:tbl>
    <w:p>
      <w:pPr>
        <w:spacing w:after="0" w:line="292" w:lineRule="exact"/>
        <w:rPr>
          <w:sz w:val="20"/>
          <w:szCs w:val="20"/>
          <w:color w:val="auto"/>
        </w:rPr>
      </w:pPr>
    </w:p>
    <w:p>
      <w:pPr>
        <w:ind w:left="-8" w:right="2420" w:firstLine="8"/>
        <w:spacing w:after="0" w:line="348" w:lineRule="auto"/>
        <w:tabs>
          <w:tab w:leader="none" w:pos="63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amounts attributable to consolidated VIEs for which the Company did not acquire any direct economic interests. See notes 3 and 5 for more information. </w:t>
      </w:r>
      <w:r>
        <w:rPr>
          <w:rFonts w:ascii="Times New Roman" w:cs="Times New Roman" w:eastAsia="Times New Roman" w:hAnsi="Times New Roman"/>
          <w:sz w:val="13"/>
          <w:szCs w:val="13"/>
          <w:i w:val="1"/>
          <w:iCs w:val="1"/>
          <w:color w:val="auto"/>
        </w:rPr>
        <w:t>See accompanying notes to condensed consolidated financial statements.</w:t>
      </w: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4" w:right="35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Comprehensive Income (Loss) (Unaudited)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4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85,278</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(286,953)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(185,977)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84,288</w:t>
            </w:r>
          </w:p>
        </w:tc>
      </w:tr>
    </w:tbl>
    <w:p>
      <w:pPr>
        <w:spacing w:after="0" w:line="1" w:lineRule="exact"/>
        <w:rPr>
          <w:sz w:val="20"/>
          <w:szCs w:val="20"/>
          <w:color w:val="auto"/>
        </w:rPr>
      </w:pPr>
    </w:p>
    <w:p>
      <w:pPr>
        <w:sectPr>
          <w:pgSz w:w="11900" w:h="16838" w:orient="portrait"/>
          <w:cols w:equalWidth="0" w:num="1">
            <w:col w:w="11180"/>
          </w:cols>
          <w:pgMar w:left="320" w:top="114" w:right="399" w:bottom="1440" w:gutter="0" w:footer="0" w:header="0"/>
        </w:sectPr>
      </w:pPr>
    </w:p>
    <w:p>
      <w:pPr>
        <w:ind w:left="640" w:right="180" w:hanging="161"/>
        <w:spacing w:after="0" w:line="234" w:lineRule="auto"/>
        <w:rPr>
          <w:sz w:val="20"/>
          <w:szCs w:val="20"/>
          <w:color w:val="auto"/>
        </w:rPr>
      </w:pPr>
      <w:r>
        <w:rPr>
          <w:rFonts w:ascii="Times New Roman" w:cs="Times New Roman" w:eastAsia="Times New Roman" w:hAnsi="Times New Roman"/>
          <w:sz w:val="18"/>
          <w:szCs w:val="18"/>
          <w:color w:val="auto"/>
        </w:rPr>
        <w:t>Less: Comprehensive income attributable to non-controlling interests in subsidiaries</w:t>
      </w:r>
    </w:p>
    <w:p>
      <w:pPr>
        <w:spacing w:after="0" w:line="10" w:lineRule="exact"/>
        <w:rPr>
          <w:sz w:val="20"/>
          <w:szCs w:val="20"/>
          <w:color w:val="auto"/>
        </w:rPr>
      </w:pPr>
    </w:p>
    <w:p>
      <w:pPr>
        <w:ind w:left="640" w:right="38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legacy Greenspring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-255905</wp:posOffset>
            </wp:positionV>
            <wp:extent cx="7046595"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265430"/>
                    </a:xfrm>
                    <a:prstGeom prst="rect">
                      <a:avLst/>
                    </a:prstGeom>
                    <a:noFill/>
                  </pic:spPr>
                </pic:pic>
              </a:graphicData>
            </a:graphic>
          </wp:anchor>
        </w:drawing>
      </w:r>
    </w:p>
    <w:p>
      <w:pPr>
        <w:ind w:left="640" w:right="38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the Partnership</w:t>
      </w:r>
    </w:p>
    <w:p>
      <w:pPr>
        <w:spacing w:after="0" w:line="10" w:lineRule="exact"/>
        <w:rPr>
          <w:sz w:val="20"/>
          <w:szCs w:val="20"/>
          <w:color w:val="auto"/>
        </w:rPr>
      </w:pPr>
    </w:p>
    <w:p>
      <w:pPr>
        <w:ind w:left="640" w:right="74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 Consolidated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-255905</wp:posOffset>
            </wp:positionV>
            <wp:extent cx="704659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265430"/>
                    </a:xfrm>
                    <a:prstGeom prst="rect">
                      <a:avLst/>
                    </a:prstGeom>
                    <a:noFill/>
                  </pic:spPr>
                </pic:pic>
              </a:graphicData>
            </a:graphic>
          </wp:anchor>
        </w:drawing>
      </w:r>
    </w:p>
    <w:p>
      <w:pPr>
        <w:ind w:left="640" w:right="740" w:hanging="161"/>
        <w:spacing w:after="0" w:line="237" w:lineRule="auto"/>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9525</wp:posOffset>
            </wp:positionV>
            <wp:extent cx="70465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6595" cy="171450"/>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5520" w:val="left"/>
        </w:tabs>
        <w:rPr>
          <w:sz w:val="20"/>
          <w:szCs w:val="20"/>
          <w:color w:val="auto"/>
        </w:rPr>
      </w:pPr>
      <w:r>
        <w:rPr>
          <w:rFonts w:ascii="Times New Roman" w:cs="Times New Roman" w:eastAsia="Times New Roman" w:hAnsi="Times New Roman"/>
          <w:sz w:val="18"/>
          <w:szCs w:val="18"/>
          <w:color w:val="auto"/>
        </w:rPr>
        <w:t>Comprehensive income (loss) attributable to StepStone Group Inc.</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27,268</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w:t>
            </w:r>
          </w:p>
        </w:tc>
      </w:tr>
      <w:tr>
        <w:trPr>
          <w:trHeight w:val="418"/>
        </w:trPr>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1,167</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r>
      <w:tr>
        <w:trPr>
          <w:trHeight w:val="418"/>
        </w:trPr>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(134,697)</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(107,837)</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22,459</w:t>
            </w:r>
          </w:p>
        </w:tc>
      </w:tr>
      <w:tr>
        <w:trPr>
          <w:trHeight w:val="418"/>
        </w:trPr>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10,905</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w:t>
            </w:r>
          </w:p>
        </w:tc>
      </w:tr>
      <w:tr>
        <w:trPr>
          <w:trHeight w:val="418"/>
        </w:trPr>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314</w:t>
            </w:r>
          </w:p>
        </w:tc>
        <w:tc>
          <w:tcPr>
            <w:tcW w:w="36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(191,910)</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(161,018)</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26,984</w:t>
            </w:r>
          </w:p>
        </w:tc>
      </w:tr>
      <w:tr>
        <w:trPr>
          <w:trHeight w:val="20"/>
        </w:trPr>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-8255</wp:posOffset>
            </wp:positionV>
            <wp:extent cx="7969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420"/>
            <w:col w:w="5120"/>
          </w:cols>
          <w:pgMar w:left="320" w:top="114" w:right="39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See accompanying notes to condensed consolidated financial statements.</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40" w:type="dxa"/>
            <w:vAlign w:val="bottom"/>
          </w:tcPr>
          <w:p>
            <w:pPr>
              <w:spacing w:after="0"/>
              <w:rPr>
                <w:sz w:val="9"/>
                <w:szCs w:val="9"/>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2024</w:t>
            </w: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393,115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1,021,775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150,852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218,391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1,788,477</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27,226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(298,382)</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7,579</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1,690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2,920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(38,464)</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(17,651)</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Exchange of Class B, Class C and Class D units for Class</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A common stock and redemption of corresponding</w:t>
            </w:r>
          </w:p>
        </w:tc>
        <w:tc>
          <w:tcPr>
            <w:tcW w:w="14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Class B common stock</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14,891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(14,891)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5,366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5,366</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2024</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415,059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(205,674)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1,051,919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132,561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55,730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1,450,052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40" w:type="dxa"/>
            <w:vAlign w:val="bottom"/>
          </w:tcPr>
          <w:p>
            <w:pPr>
              <w:spacing w:after="0"/>
              <w:rPr>
                <w:sz w:val="9"/>
                <w:szCs w:val="9"/>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2024</w:t>
            </w: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310,293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13,768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974,559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147,042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208,514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1,654,591</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(161,055)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62,966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(107,856)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(210,064)</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26,325</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7,803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5,513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13,928</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(126,537)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(58,387)</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RSUs, net of shares withheld for employee</w:t>
            </w:r>
          </w:p>
        </w:tc>
        <w:tc>
          <w:tcPr>
            <w:tcW w:w="14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taxes</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Class A common stock issued under ESPP</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1,115</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Exchange of Class B, Class C and Class D units for Class</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240"/>
              <w:spacing w:after="0" w:line="108" w:lineRule="exact"/>
              <w:rPr>
                <w:sz w:val="20"/>
                <w:szCs w:val="20"/>
                <w:color w:val="auto"/>
              </w:rPr>
            </w:pPr>
            <w:r>
              <w:rPr>
                <w:rFonts w:ascii="Times New Roman" w:cs="Times New Roman" w:eastAsia="Times New Roman" w:hAnsi="Times New Roman"/>
                <w:sz w:val="11"/>
                <w:szCs w:val="11"/>
                <w:color w:val="auto"/>
              </w:rPr>
              <w:t>A common stock and redemption of corresponding</w:t>
            </w:r>
          </w:p>
        </w:tc>
        <w:tc>
          <w:tcPr>
            <w:tcW w:w="140" w:type="dxa"/>
            <w:vAlign w:val="bottom"/>
          </w:tcPr>
          <w:p>
            <w:pPr>
              <w:spacing w:after="0"/>
              <w:rPr>
                <w:sz w:val="9"/>
                <w:szCs w:val="9"/>
                <w:color w:val="auto"/>
              </w:rPr>
            </w:pPr>
          </w:p>
        </w:tc>
        <w:tc>
          <w:tcPr>
            <w:tcW w:w="6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Class B common stock</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Class B2 units and issuance of corresponding</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Class B common stock at par value</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 of non-controlling interests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Settlement of non-controlling interests related to awards</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54,977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54,977</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of carried interest allocations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Redemption of redeemable non-controlling interests in</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55,879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41,504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97,383</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subsidiaries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40,987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(28,321)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3,244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3,244</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2024</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415,059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(205,674)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1,051,919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132,561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55,730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1,450,052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and 13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Stockholders’ Equity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40" w:type="dxa"/>
            <w:vAlign w:val="bottom"/>
          </w:tcPr>
          <w:p>
            <w:pPr>
              <w:spacing w:after="0"/>
              <w:rPr>
                <w:sz w:val="9"/>
                <w:szCs w:val="9"/>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Legacy</w:t>
            </w:r>
          </w:p>
        </w:tc>
        <w:tc>
          <w:tcPr>
            <w:tcW w:w="10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10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Interests in the</w:t>
            </w:r>
          </w:p>
        </w:tc>
        <w:tc>
          <w:tcPr>
            <w:tcW w:w="100" w:type="dxa"/>
            <w:vAlign w:val="bottom"/>
          </w:tcPr>
          <w:p>
            <w:pPr>
              <w:spacing w:after="0"/>
              <w:rPr>
                <w:sz w:val="9"/>
                <w:szCs w:val="9"/>
                <w:color w:val="auto"/>
              </w:rPr>
            </w:pPr>
          </w:p>
        </w:tc>
        <w:tc>
          <w:tcPr>
            <w:tcW w:w="80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Entities</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Partnership</w:t>
            </w:r>
          </w:p>
        </w:tc>
        <w:tc>
          <w:tcPr>
            <w:tcW w:w="100" w:type="dxa"/>
            <w:vAlign w:val="bottom"/>
          </w:tcPr>
          <w:p>
            <w:pPr>
              <w:spacing w:after="0"/>
              <w:rPr>
                <w:sz w:val="13"/>
                <w:szCs w:val="13"/>
                <w:color w:val="auto"/>
              </w:rPr>
            </w:pPr>
          </w:p>
        </w:tc>
        <w:tc>
          <w:tcPr>
            <w:tcW w:w="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2023</w:t>
            </w: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628,977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165,240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30,394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144,255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669,097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1,638,411</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(29,007)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4,257</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2,874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2,166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5,188</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(13,213)</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(13,676)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(13,676)</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630,208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131,338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36,827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145,738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645,365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1,589,772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March 31, 2023</w:t>
            </w: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610,567</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160,430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36,380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152,658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668,182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1,628,787</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(loss)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27,268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32,797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22,677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73,688</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Contributed capital</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8,870</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7,949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6,117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14,510</w:t>
            </w: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(78,229)</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declared</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(56,360)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(56,360)</w:t>
            </w: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Vesting of RSUs, net of shares withheld for employee</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0" w:type="dxa"/>
            <w:vAlign w:val="bottom"/>
          </w:tcPr>
          <w:p>
            <w:pPr>
              <w:spacing w:after="0"/>
              <w:rPr>
                <w:sz w:val="1"/>
                <w:szCs w:val="1"/>
                <w:color w:val="auto"/>
              </w:rPr>
            </w:pPr>
          </w:p>
        </w:tc>
      </w:tr>
      <w:tr>
        <w:trPr>
          <w:trHeight w:val="140"/>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taxes</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Exchange of Class B and Class C units for Class A</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1"/>
                <w:szCs w:val="11"/>
                <w:color w:val="auto"/>
                <w:w w:val="99"/>
              </w:rPr>
              <w:t>common stock and redemption of corresponding Class</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B common stock</w:t>
            </w: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Sale of non-controlling interests</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3,045</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Equity reallocation between controlling and non-</w:t>
            </w: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14,123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controlling interests</w:t>
            </w: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Deferred tax effect resulting from equity transactions</w:t>
            </w:r>
          </w:p>
        </w:tc>
        <w:tc>
          <w:tcPr>
            <w:tcW w:w="140" w:type="dxa"/>
            <w:vAlign w:val="bottom"/>
          </w:tcPr>
          <w:p>
            <w:pPr>
              <w:spacing w:after="0"/>
              <w:rPr>
                <w:sz w:val="9"/>
                <w:szCs w:val="9"/>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(2,936)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(2,936)</w:t>
            </w: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affecting ownership in the Partnership</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630,208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131,338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36,827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145,738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645,365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1,589,772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10 and 13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7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(185,980)</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carried interest allocations and investment (income) loss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26,222</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carried interest allocations and investment loss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54,718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145,828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performance fee-related compensation</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(9,320)</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legacy Greenspring performance fee-related compensation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(132,228)</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529,788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deferred income taxes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adjustment for acquisition-related contingent consideration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remeasurement of lease liabilities</w:t>
            </w: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subsidiary</w:t>
            </w:r>
          </w:p>
        </w:tc>
        <w:tc>
          <w:tcPr>
            <w:tcW w:w="3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non-cash activities</w:t>
            </w: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to net cash used in operating activities of Consolidated Funds: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income of Consolidated Funds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 of Consolidated Funds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(165,967)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(58,476)</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 of Consolidated Funds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Fees and accounts receivable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(13,706)</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Due from affiliates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(12,129)</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12,591</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72,980</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52,275</w:t>
            </w: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Due to affiliates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right-of-use assets, net and lease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 of Consolidated Funds: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8"/>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receivables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213"/>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liabilities and payables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212"/>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131,451</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153,893</w:t>
            </w: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to investments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(15,956)</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to investments in legacy Greenspring entities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(19,247)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received from investments in legacy Greenspring entities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(18,692)</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(36,671)</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(38,264)</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capital contributions from non-controlling interests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redeemable non-controlling interests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non-controlling interests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Class A common stock of shares under ESPP</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notes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on revolving credit facility</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(71,530)</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capital contributions to legacy Greenspring entities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legacy Greenspring entities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to common stockholders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(54,986)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employee taxes related to net settlement of RSUs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to related parties under Tax Receivable Agreements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Cash flows from financing activities of Consolidated Funds: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on fund credit facility</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redeemable non-controlling interests in Consolidated Funds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169,943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Redemptions of redeemable non-controlling interests in Consolidated Funds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(8,845)</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(67,237)</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 changes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182,312</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129,517</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279,504</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174,310</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operating, investing, and financing activities: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0" w:type="dxa"/>
            <w:vAlign w:val="bottom"/>
          </w:tcPr>
          <w:p>
            <w:pPr>
              <w:spacing w:after="0"/>
              <w:rPr>
                <w:sz w:val="1"/>
                <w:szCs w:val="1"/>
                <w:color w:val="auto"/>
              </w:rPr>
            </w:pPr>
          </w:p>
        </w:tc>
      </w:tr>
      <w:tr>
        <w:trPr>
          <w:trHeight w:val="165"/>
        </w:trPr>
        <w:tc>
          <w:tcPr>
            <w:tcW w:w="78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Deferred tax effect resulting from transactions affecting ownership in the Partnership, including net amounts</w:t>
            </w:r>
          </w:p>
        </w:tc>
        <w:tc>
          <w:tcPr>
            <w:tcW w:w="2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0" w:type="dxa"/>
            <w:vAlign w:val="bottom"/>
          </w:tcPr>
          <w:p>
            <w:pPr>
              <w:spacing w:after="0"/>
              <w:rPr>
                <w:sz w:val="1"/>
                <w:szCs w:val="1"/>
                <w:color w:val="auto"/>
              </w:rPr>
            </w:pPr>
          </w:p>
        </w:tc>
      </w:tr>
      <w:tr>
        <w:trPr>
          <w:trHeight w:val="129"/>
        </w:trPr>
        <w:tc>
          <w:tcPr>
            <w:tcW w:w="786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payable under Tax Receivable Agreements</w:t>
            </w:r>
          </w:p>
        </w:tc>
        <w:tc>
          <w:tcPr>
            <w:tcW w:w="24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786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Establishment of lease liabilities in exchange for lease right-of-use assets</w:t>
            </w:r>
          </w:p>
        </w:tc>
        <w:tc>
          <w:tcPr>
            <w:tcW w:w="24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Issuance of note related to sale of subsidiary</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Settlement of non-controlling interests related to awards of carried interest allocations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issued for redemption of redeemable non-controlling interests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223,103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139,970</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of Consolidated Funds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33,589</w:t>
            </w:r>
          </w:p>
        </w:tc>
        <w:tc>
          <w:tcPr>
            <w:tcW w:w="0" w:type="dxa"/>
            <w:vAlign w:val="bottom"/>
          </w:tcPr>
          <w:p>
            <w:pPr>
              <w:spacing w:after="0"/>
              <w:rPr>
                <w:sz w:val="1"/>
                <w:szCs w:val="1"/>
                <w:color w:val="auto"/>
              </w:rPr>
            </w:pPr>
          </w:p>
        </w:tc>
      </w:tr>
      <w:tr>
        <w:trPr>
          <w:trHeight w:val="207"/>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279,504</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174,310</w:t>
            </w: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spacing w:after="0" w:line="19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700" w:firstLine="648"/>
        <w:spacing w:after="0" w:line="283" w:lineRule="auto"/>
        <w:rPr>
          <w:sz w:val="20"/>
          <w:szCs w:val="20"/>
          <w:color w:val="auto"/>
        </w:rPr>
      </w:pPr>
      <w:r>
        <w:rPr>
          <w:rFonts w:ascii="Times New Roman" w:cs="Times New Roman" w:eastAsia="Times New Roman" w:hAnsi="Times New Roman"/>
          <w:sz w:val="20"/>
          <w:szCs w:val="20"/>
          <w:color w:val="auto"/>
        </w:rPr>
        <w:t>The Company, through its subsidiaries, acts as the investment advisor and general partner or managing member to separately managed accounts (“SMAs”) and focused commingled funds (collectively, the “StepStone Funds”).</w:t>
      </w:r>
    </w:p>
    <w:p>
      <w:pPr>
        <w:spacing w:after="0" w:line="16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is entitled to one vote and each share of Class B common stock is entitled to five votes. As of December 31, 2024, SSG held approximately 64.0%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2024 filed with the Securities and Exchange Commission (“SEC”).</w:t>
      </w:r>
    </w:p>
    <w:p>
      <w:pPr>
        <w:spacing w:after="0" w:line="17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that are VIEs could affect the entity’s status as a VIE or the determination of the primary beneficiary.</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Certain StepStone Funds are VIEs because they have not granted unaffiliated limited partners or members substantive rights to terminate the fund or remove the general partner or substantive rights to participate. The Company does not consolidate these StepStone Funds because it is not the primary beneficiary of those funds, primarily because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Company has determined that certain of its operating subsidiaries, including StepStone Group Real Assets LP (“SRA”), StepStone Group Real Estate LP (“SRE”), StepStone Group Private Debt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w:t>
      </w:r>
    </w:p>
    <w:p>
      <w:pPr>
        <w:spacing w:after="0" w:line="17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95"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and amounts related to economic interests held by third-party investors are reflected as redeemable non-controlling interests in Consolidated Funds. The revenues earned by the Company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 See note 13 for more information on ownership interests in the Company.</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SRA, SRE, and SPD (the variable interest entities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included in the Company’s condensed consolidated financial statements), and certain general partner entities for the StepStone Funds, held by 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7"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64"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Class C and Class D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7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subsidiaries </w:t>
      </w:r>
      <w:r>
        <w:rPr>
          <w:rFonts w:ascii="Times New Roman" w:cs="Times New Roman" w:eastAsia="Times New Roman" w:hAnsi="Times New Roman"/>
          <w:sz w:val="20"/>
          <w:szCs w:val="20"/>
          <w:color w:val="auto"/>
        </w:rPr>
        <w:t>represent the redeemable economic interests in the consolidated subsidiaries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Partnership held by third parties and employees in those entities that were established in connection with the Transaction Agreements as described in note 13.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3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auto"/>
        </w:rPr>
        <w:t>The StepStone Funds primarily have a fiscal year end as of December 31. The Company accounts for its investments in the StepStone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for its share of capital contributions to and distributions from the StepStone Funds during the three-month lag period. For this interim period ended December 31, 2024, the Company used the September 30, 2024 unaudited financial statements of the StepStone Funds, which reflect the underlying private market funds as of September 30, 2024, to record its investments (including any carried interest allocated from those investments), as adjusted for capital contributions and distributions during the three-month lag period ended December 31, 2024.</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0" w:firstLine="648"/>
        <w:spacing w:after="0" w:line="283" w:lineRule="auto"/>
        <w:rPr>
          <w:sz w:val="20"/>
          <w:szCs w:val="20"/>
          <w:color w:val="auto"/>
        </w:rPr>
      </w:pPr>
      <w:r>
        <w:rPr>
          <w:rFonts w:ascii="Times New Roman" w:cs="Times New Roman" w:eastAsia="Times New Roman" w:hAnsi="Times New Roman"/>
          <w:sz w:val="20"/>
          <w:szCs w:val="20"/>
          <w:color w:val="auto"/>
        </w:rPr>
        <w:t>To the extent that management becomes aware of any material events that affect the StepStone Funds during the three-month lag period, the effect of the events would be disclosed in the notes to the condensed consolidated financial statements.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In 2024, signs of easing inflation coupled with the expansion of economic activity at a sustained pace and low unemployment rates contributed to positive returns in most financial markets despite inflation remaining elevated. Between September 2024 and December 2024, the Federal Reserve announced several decisions to lower the target range for the federal funds rate ultimately to a range of 4.25% to 4.50% in response to positive trends in economic data, including a measure of inflation.</w:t>
      </w:r>
    </w:p>
    <w:p>
      <w:pPr>
        <w:spacing w:after="0" w:line="17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Company is continuing to closely monitor developments related to inflation, decreasing but still higher interest rates, potential trade, regulatory and governmental policy developments as a result of U.S. elections, banking system volatility, geopolitical tension, unrest or conflicts, including in or with China, Russia, Ukraine, and the Middle East,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condensed consolidated financial statements.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62"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60"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15" w:lineRule="exact"/>
        <w:rPr>
          <w:rFonts w:ascii="Times New Roman" w:cs="Times New Roman" w:eastAsia="Times New Roman" w:hAnsi="Times New Roman"/>
          <w:sz w:val="20"/>
          <w:szCs w:val="20"/>
          <w:color w:val="auto"/>
        </w:rPr>
      </w:pPr>
    </w:p>
    <w:p>
      <w:pPr>
        <w:ind w:left="660" w:right="120" w:hanging="328"/>
        <w:spacing w:after="0" w:line="258"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85" w:lineRule="exact"/>
        <w:rPr>
          <w:rFonts w:ascii="Times New Roman" w:cs="Times New Roman" w:eastAsia="Times New Roman" w:hAnsi="Times New Roman"/>
          <w:sz w:val="20"/>
          <w:szCs w:val="20"/>
          <w:color w:val="auto"/>
        </w:rPr>
      </w:pPr>
    </w:p>
    <w:p>
      <w:pPr>
        <w:ind w:left="660" w:right="380" w:hanging="328"/>
        <w:spacing w:after="0" w:line="261"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notes payable, revolving credit facility, and contingent consideration obligation balance to be financial instruments. The carrying amounts of cash, cash equivalents, restricted cash, fees and accounts receivable and accounts payable equal or approximate their fair values due to their nature and/or the relatively short period over which they are held. See note 6 for additional details regarding the fair value of the Company’s contingent consideration obligation balance and see note 8 for additional details regarding the fair value of the Company’s notes payable and revolving credit facility balances.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220"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3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7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 general, administrative and other expenses in the condensed consolidated statements of income. Minimum lease payments for leases with an initial term of twelve months or less are not recorded in the condensed consolidated balance sheets. See note 14 for more information.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20"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range from 8 to 10 years. The Company did not have any intangible assets that were deemed to have an indefinite life as of December 31, 2024.</w:t>
      </w:r>
    </w:p>
    <w:p>
      <w:pPr>
        <w:spacing w:after="0" w:line="16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and nine months ended December 31, 2024 and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7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Legacy Greenspring carried interest allocations </w:t>
      </w:r>
      <w:r>
        <w:rPr>
          <w:rFonts w:ascii="Times New Roman" w:cs="Times New Roman" w:eastAsia="Times New Roman" w:hAnsi="Times New Roman"/>
          <w:sz w:val="20"/>
          <w:szCs w:val="20"/>
          <w:color w:val="231F20"/>
        </w:rPr>
        <w:t>reflect the allocation of carried interest to legacy Greenspring general partner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 w:cs="Times New Roman" w:eastAsia="Times New Roman" w:hAnsi="Times New Roman"/>
          <w:sz w:val="20"/>
          <w:szCs w:val="20"/>
          <w:color w:val="000000"/>
        </w:rPr>
        <w:t>because 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is presumed to have significant influence as the general partner or managing member</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color w:val="000000"/>
        </w:rPr>
        <w:t xml:space="preserve"> Accordingly, legacy Greenspring carried interest allocations are not deemed to be within the scope of ASC 606. </w:t>
      </w:r>
      <w:r>
        <w:rPr>
          <w:rFonts w:ascii="Times New Roman" w:cs="Times New Roman" w:eastAsia="Times New Roman" w:hAnsi="Times New Roman"/>
          <w:sz w:val="20"/>
          <w:szCs w:val="20"/>
          <w:color w:val="231F20"/>
        </w:rPr>
        <w:t>The Company does not hold any direct economic interests in the legacy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2024 and March 31, 2024, no material amounts for potential clawback obligations had been accrued.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Equity-based compensation represents grants of equity-based awards or arrangements to certain employees and directors. The Company accounts for grants of equity-based awards, including restricted stock units (“RSUs”), to certain employees and directors at fair value as of the grant date. The Company recognizes non-cash compensation expense attributable to these grants on a straight-line basis over the requisite service period, which is generally the vesting period. Expense related to grants of equity-based awards is recognized as equity-based compensation expense in the condensed consolidated statements of income. The fair value of 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9 for additional information regarding the Company’s accounting for equity-based awards.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As a result, the Partnership does not record U.S. federal and state income taxes on income in the Partnership or its subsidiaries, except for certain local and foreign income taxes discussed above.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9"/>
          <w:szCs w:val="19"/>
          <w:color w:val="auto"/>
        </w:rPr>
        <w:t xml:space="preserve">The Company is subject to the provisions of ASC Subtopic 740-10, </w:t>
      </w:r>
      <w:r>
        <w:rPr>
          <w:rFonts w:ascii="Times New Roman" w:cs="Times New Roman" w:eastAsia="Times New Roman" w:hAnsi="Times New Roman"/>
          <w:sz w:val="19"/>
          <w:szCs w:val="19"/>
          <w:i w:val="1"/>
          <w:iCs w:val="1"/>
          <w:color w:val="auto"/>
        </w:rPr>
        <w:t>Accounting for Uncertainty in Income Taxes</w:t>
      </w:r>
      <w:r>
        <w:rPr>
          <w:rFonts w:ascii="Times New Roman" w:cs="Times New Roman" w:eastAsia="Times New Roman" w:hAnsi="Times New Roman"/>
          <w:sz w:val="19"/>
          <w:szCs w:val="19"/>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See note 10 for more information.</w:t>
      </w:r>
    </w:p>
    <w:p>
      <w:pPr>
        <w:spacing w:after="0" w:line="166"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reviews its tax positions quarterly and adjusts its tax balances as new information becomes available.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220" w:firstLine="648"/>
        <w:spacing w:after="0" w:line="251" w:lineRule="auto"/>
        <w:rPr>
          <w:sz w:val="20"/>
          <w:szCs w:val="20"/>
          <w:color w:val="auto"/>
        </w:rPr>
      </w:pPr>
      <w:r>
        <w:rPr>
          <w:rFonts w:ascii="Times New Roman" w:cs="Times New Roman" w:eastAsia="Times New Roman" w:hAnsi="Times New Roman"/>
          <w:sz w:val="20"/>
          <w:szCs w:val="20"/>
          <w:color w:val="auto"/>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both Tax Receivable Agreements. See note 13 for more information.</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33"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60" w:type="dxa"/>
            <w:vAlign w:val="bottom"/>
            <w:tcBorders>
              <w:bottom w:val="single" w:sz="8" w:color="auto"/>
            </w:tcBorders>
          </w:tcPr>
          <w:p>
            <w:pPr>
              <w:spacing w:after="0"/>
              <w:rPr>
                <w:sz w:val="18"/>
                <w:szCs w:val="18"/>
                <w:color w:val="auto"/>
              </w:rPr>
            </w:pPr>
          </w:p>
        </w:tc>
      </w:tr>
      <w:tr>
        <w:trPr>
          <w:trHeight w:val="211"/>
        </w:trPr>
        <w:tc>
          <w:tcPr>
            <w:tcW w:w="81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8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spacing w:after="0" w:line="16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Reportable Segment</w:t>
      </w:r>
    </w:p>
    <w:p>
      <w:pPr>
        <w:spacing w:after="0" w:line="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i w:val="1"/>
          <w:iCs w:val="1"/>
          <w:color w:val="auto"/>
        </w:rPr>
        <w:t xml:space="preserve">Disclosures, </w:t>
      </w:r>
      <w:r>
        <w:rPr>
          <w:rFonts w:ascii="Times New Roman" w:cs="Times New Roman" w:eastAsia="Times New Roman" w:hAnsi="Times New Roman"/>
          <w:sz w:val="19"/>
          <w:szCs w:val="19"/>
          <w:color w:val="auto"/>
        </w:rPr>
        <w:t>which amends current guidance for reportable segment disclosure requirements. The updated disclosure requirements include:</w:t>
      </w:r>
    </w:p>
    <w:p>
      <w:pPr>
        <w:spacing w:after="0" w:line="25" w:lineRule="exact"/>
        <w:rPr>
          <w:sz w:val="20"/>
          <w:szCs w:val="20"/>
          <w:color w:val="auto"/>
        </w:rPr>
      </w:pPr>
    </w:p>
    <w:p>
      <w:pPr>
        <w:ind w:firstLine="8"/>
        <w:spacing w:after="0" w:line="248" w:lineRule="auto"/>
        <w:tabs>
          <w:tab w:leader="none" w:pos="2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of segment expenses that are regularly provided to the CODM and included within each reported measure of segment profit or loss, (2) reporting of an amount for other segment items by reportable segment and a description of its composition, (3) reporting in interim periods of all annual disclosures about a reportable segment’s profit or loss and assets as currently required by Topic 280, (4) reporting of one or more additional measures of segment profit or loss if used by the CODM in assessing segment performance and determining allocation of resources, (5) reporting of the title and position of the CODM and an explanation of how the CODM uses the reported measure(s) of segment profit or loss, and (6) the requirement for single reportable segment entities to provide all required disclosures in Topic 280 for annual and interim periods. The amendments are effective for fiscal years beginning after December 15, 2023, and interim periods within fiscal years beginning after December 15, 2024, with early adoption permitted. The Company plans to include expanded disclosures beginning with its annual report on Form 10-K for the fiscal year ending March 31, 2025.</w:t>
      </w:r>
    </w:p>
    <w:p>
      <w:pPr>
        <w:spacing w:after="0" w:line="19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amends current guidance to provide expanded disclosure for the rate reconciliation with information about specific categories and reconciling items that meet a specific threshold, and to provide additional information about income taxes paid disaggregated by jurisdiction. The amendments are effective for annual periods beginning after December 15, 2024, with early adoption permitted. The Company does not expect the adoption of this guidance to have a material effect on the condensed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(Subtopic 220-40): Disaggregation of Income Statement Expenses, </w:t>
      </w:r>
      <w:r>
        <w:rPr>
          <w:rFonts w:ascii="Times New Roman" w:cs="Times New Roman" w:eastAsia="Times New Roman" w:hAnsi="Times New Roman"/>
          <w:sz w:val="20"/>
          <w:szCs w:val="20"/>
          <w:color w:val="auto"/>
        </w:rPr>
        <w:t>which amends current guidance to add requirements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disaggregation of certain costs and expenses included within relevant expense captions. The update also requires the separate disclosure of total selling costs. The amendments are effective for annual reporting periods beginning after December 15, 2026, and interim reporting periods beginning after December 15, 2027, with early adoption permitted. The Company is currently evaluating the impact on the condensed consolidated financial statements.</w:t>
      </w:r>
    </w:p>
    <w:p>
      <w:pPr>
        <w:spacing w:after="0" w:line="1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20"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104,891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215,757</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151,492</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553,613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100" w:hanging="652"/>
        <w:spacing w:after="0" w:line="260"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income-based incentive fees of $2.1 million and $0.6 million for the three months ended December 31, 2024 and 2023, respectively, and $4.6 million and $0.6 million for the nine months ended December 31, 2024 and 2023,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incentive fees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26,365</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gridSpan w:val="8"/>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vMerge w:val="continue"/>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(92,554)</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133,705</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43,188</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70,383</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(114,295)</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204,088</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(69,660)</w:t>
            </w: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(106,308)</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400"/>
              <w:spacing w:after="0" w:line="223" w:lineRule="exact"/>
              <w:rPr>
                <w:sz w:val="20"/>
                <w:szCs w:val="20"/>
                <w:color w:val="auto"/>
              </w:rPr>
            </w:pPr>
            <w:r>
              <w:rPr>
                <w:rFonts w:ascii="Times New Roman" w:cs="Times New Roman" w:eastAsia="Times New Roman" w:hAnsi="Times New Roman"/>
                <w:sz w:val="18"/>
                <w:szCs w:val="18"/>
                <w:color w:val="auto"/>
              </w:rPr>
              <w:t>Total legacy Greenspring carried interest allocations</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(69,700)</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(106,250)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8" w:lineRule="exact"/>
        <w:rPr>
          <w:sz w:val="20"/>
          <w:szCs w:val="20"/>
          <w:color w:val="auto"/>
        </w:rPr>
      </w:pPr>
    </w:p>
    <w:p>
      <w:pPr>
        <w:ind w:left="660" w:right="80" w:hanging="652"/>
        <w:spacing w:after="0" w:line="266"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December 31, 2024 and 2023 reflect the net effect of gross realized carried interest allocations of $38.3 million and $0.1 million, respectively, and the nine months ended December 31, 2024 and 2023 reflect the net effect of gross realized carried interest allocations of $56.8 million and $26.0 million, respectively, and the reversal of such amounts in unrealized carried interest allocations for such periods.</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See note 5 for a discussion of changes in carried interest allocations and legacy Greenspring carried interest allocations.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312,178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83,777</w:t>
            </w:r>
          </w:p>
        </w:tc>
        <w:tc>
          <w:tcPr>
            <w:tcW w:w="0" w:type="dxa"/>
            <w:vAlign w:val="bottom"/>
          </w:tcPr>
          <w:p>
            <w:pPr>
              <w:spacing w:after="0"/>
              <w:rPr>
                <w:sz w:val="1"/>
                <w:szCs w:val="1"/>
                <w:color w:val="auto"/>
              </w:rPr>
            </w:pPr>
          </w:p>
        </w:tc>
      </w:tr>
      <w:tr>
        <w:trPr>
          <w:trHeight w:val="234"/>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196,656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484,923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271,044</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60" w:hanging="652"/>
        <w:spacing w:after="0" w:line="260"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For the three and nine months ended December 31, 2024 and 2023, no individual client represented 10% or more of the Company’s net management and advisory fees.</w:t>
      </w:r>
    </w:p>
    <w:p>
      <w:pPr>
        <w:spacing w:after="0" w:line="16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For the three months ended December 31, 2024, the Company had management and advisory fee revenues attributable to the United States and Luxembourg, each of which represented 10% or more of the Company’s net management and advisory fees. For the three months ended December 31, 2023, the Company had management and advisory fee revenues attributable to the United States and Cayman Islands, each of which represented 10% or more of the Company’s net management and advisory fees. For the nine months ended December 31, 2024 and 2023, the Company had management and advisory fee revenues attributable to the United States and Cayman Islands, each of which represented 10% or more of the Company’s net management and advisory fees.</w:t>
      </w:r>
    </w:p>
    <w:p>
      <w:pPr>
        <w:spacing w:after="0" w:line="1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As of December 31, 2024 and March 31, 2024, the Company had $29.2 million and $31.0 million, respectively, of deferred revenues, which is included in accounts payable, accrued expenses and other liabilities in the condensed consolidated balance sheets. During the nine months ended December 31, 2024, the Company had recognized $3.2 million as revenue from amounts included in the deferred revenue balance as of March 31, 2024.</w:t>
      </w:r>
    </w:p>
    <w:p>
      <w:pPr>
        <w:spacing w:after="0" w:line="182" w:lineRule="exact"/>
        <w:rPr>
          <w:sz w:val="20"/>
          <w:szCs w:val="20"/>
          <w:color w:val="auto"/>
        </w:rPr>
      </w:pPr>
    </w:p>
    <w:p>
      <w:pPr>
        <w:ind w:left="660" w:right="8760" w:hanging="652"/>
        <w:spacing w:after="0" w:line="499" w:lineRule="auto"/>
        <w:tabs>
          <w:tab w:leader="none" w:pos="355" w:val="left"/>
        </w:tabs>
        <w:numPr>
          <w:ilvl w:val="0"/>
          <w:numId w:val="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Variable Interest Entities Consolidated VIEs</w:t>
      </w:r>
    </w:p>
    <w:p>
      <w:pPr>
        <w:ind w:right="140" w:firstLine="648"/>
        <w:spacing w:after="0" w:line="266" w:lineRule="auto"/>
        <w:rPr>
          <w:sz w:val="20"/>
          <w:szCs w:val="20"/>
          <w:color w:val="auto"/>
        </w:rPr>
      </w:pPr>
      <w:r>
        <w:rPr>
          <w:rFonts w:ascii="Times New Roman" w:cs="Times New Roman" w:eastAsia="Times New Roman" w:hAnsi="Times New Roman"/>
          <w:sz w:val="19"/>
          <w:szCs w:val="19"/>
          <w:color w:val="auto"/>
        </w:rPr>
        <w:t>The Company consolidates certain VIEs for which it is the primary beneficiary. Such VIEs consist of certain operating entities not wholly-owned by the Company (e.g., SPD, SRA and SRE), SPW, legacy Greenspring general partner entities and certain StepStone Funds. See note 2 for more information on the Company’s accounting policies related to the consolidation of VIEs. The assets of the consolidated VIEs totaled $1,223.5 million and $995.2 million as of December 31, 2024 and March 31, 2024, respectively. The liabilities of the consolidated VIEs totaled $1,101.8 million and $593.7 million as of December 31, 2024 and March 31, 2024,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December 31, 2024 and March 31, 2024, no material amounts previously distributed have been accrued for clawback liabilities.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The carrying value of the assets and liabilities recognized in the condensed consolidated balance sheets with respect to the Company’s interests in VIEs that were not consolidated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560" w:type="dxa"/>
            <w:vAlign w:val="bottom"/>
            <w:tcBorders>
              <w:bottom w:val="single" w:sz="8" w:color="auto"/>
            </w:tcBorders>
          </w:tcPr>
          <w:p>
            <w:pPr>
              <w:spacing w:after="0"/>
              <w:rPr>
                <w:sz w:val="18"/>
                <w:szCs w:val="18"/>
                <w:color w:val="auto"/>
              </w:rPr>
            </w:pPr>
          </w:p>
        </w:tc>
      </w:tr>
      <w:tr>
        <w:trPr>
          <w:trHeight w:val="211"/>
        </w:trPr>
        <w:tc>
          <w:tcPr>
            <w:tcW w:w="7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135,043</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147,042</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34,744</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132,561</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147,042</w:t>
            </w:r>
          </w:p>
        </w:tc>
      </w:tr>
      <w:tr>
        <w:trPr>
          <w:trHeight w:val="22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203,965</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144,425</w:t>
            </w:r>
          </w:p>
        </w:tc>
      </w:tr>
      <w:tr>
        <w:trPr>
          <w:trHeight w:val="21"/>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2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in the condensed consolidated statements of income.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in the condensed consolidated statements of income.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equity method investments consist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560" w:type="dxa"/>
            <w:vAlign w:val="bottom"/>
            <w:tcBorders>
              <w:bottom w:val="single" w:sz="8" w:color="auto"/>
            </w:tcBorders>
          </w:tcPr>
          <w:p>
            <w:pPr>
              <w:spacing w:after="0"/>
              <w:rPr>
                <w:sz w:val="18"/>
                <w:szCs w:val="18"/>
                <w:color w:val="auto"/>
              </w:rPr>
            </w:pPr>
          </w:p>
        </w:tc>
      </w:tr>
      <w:tr>
        <w:trPr>
          <w:trHeight w:val="211"/>
        </w:trPr>
        <w:tc>
          <w:tcPr>
            <w:tcW w:w="7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744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135,043</w:t>
            </w: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1,474,543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1,354,051</w:t>
            </w:r>
          </w:p>
        </w:tc>
      </w:tr>
      <w:tr>
        <w:trPr>
          <w:trHeight w:val="230"/>
        </w:trPr>
        <w:tc>
          <w:tcPr>
            <w:tcW w:w="7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572,459</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631,197</w:t>
            </w:r>
          </w:p>
        </w:tc>
      </w:tr>
      <w:tr>
        <w:trPr>
          <w:trHeight w:val="22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2,219,750</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2,120,291</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40" w:hanging="652"/>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were $266.0 million and $204.8 million as of December 31, 2024 and March 31, 2024,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$132.6 million and $147.0 million and carried interest allocations of $439.9 million and $484.2 million as of December 31, 2024 and March 31, 2024, respectively.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equity method income (loss)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income (loss)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w:t>
            </w:r>
          </w:p>
        </w:tc>
      </w:tr>
      <w:tr>
        <w:trPr>
          <w:trHeight w:val="248"/>
        </w:trPr>
        <w:tc>
          <w:tcPr>
            <w:tcW w:w="56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The increase in carried interest allocations for the three months ended December 31, 2024 as compared to the three months ended December 31, 2023 was primarily attributable to net unrealized appreciation in the fair value of the underlying investments in the Company’s private equity funds. The increase in carried interest allocations for the nine months ended December 31, 2024 as compared to the nine months ended December 31, 2023 was primarily attributable to higher net unrealized appreciation in the fair value of the underlying investments in the Company’s private equity and infrastructure funds. The increase in legacy Greenspring carried interest allocations for the three months ended December 31, 2024 as compared to the three months ended December 31, 2023 was primarily attributable to net unrealized appreciation in the fair value of certain underlying fund investments in the current year period as compared to net unrealized depreciation in the prior year period. The increase in legacy Greenspring carried interest allocations for the nine months ended December 31, 2024 as compared to the nine months ended December 31, 2023 was primarily attributable to net unrealized appreciation in the fair value of certain underlying fund investments in the current year period as compared to net unrealized depreciation in the prior year period. See note 2 for a discussion of the Company’s accounting policy for investments on a three-month lag.</w:t>
      </w:r>
    </w:p>
    <w:p>
      <w:pPr>
        <w:spacing w:after="0" w:line="200"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2024 and March 31, 2024, the Company’s investments in one and two SMAs, respectively, each individually represented 10% or more of the total accrued carried interest allocations balance, and in the aggregate represented approximately 15% and 26%, respectively, of the total accrued carried interest allocations balance as of those dates. As of December 31, 2024 and March 31, 2024, the Company’s investments in three commingled funds each individually represented 10% or more of the total legacy Greenspring accrued carried interest allocations balance, and in the aggregate represented approximately 37% and 36%, respectively, of the total legacy Greenspring accrued carried interest allocations balances as of those dates.</w:t>
      </w:r>
    </w:p>
    <w:p>
      <w:pPr>
        <w:spacing w:after="0" w:line="179"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Of the total accrued carried interest allocations balance as of December 31, 2024 and March 31, 2024, $730.2 million and $719.5 million, respectively, were payable to affiliates and are included in accrued carried interest-related compensation in the condensed consolidated balance sheets. Of the total legacy Greenspring investments in funds and accrued carried interest allocations balance as of December 31, 2024 and March 31, 2024, $439.9 million and $484.2 million, respectively, were payable to employees who are considered affiliates of the Company and are included in legacy Greenspring accrued carried interest-related compensation in the condensed consolidated balance sheets and $132.6 million and $147.0 million, respectively, are reflected as non-controlling interests in legacy Greenspring entities in the condensed consolidated balance sheets.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and March 31, 2024, no individual equity method investment held by the Company met the significance criteria.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result, the Company is not required to provide separate financial statements for any of its equity method investments.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right="920" w:firstLine="648"/>
        <w:spacing w:after="0" w:line="269"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The activity of the Consolidated Funds is reflected within the condensed consolidated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40" w:type="dxa"/>
            <w:vAlign w:val="bottom"/>
          </w:tcPr>
          <w:p>
            <w:pPr>
              <w:spacing w:after="0"/>
              <w:rPr>
                <w:sz w:val="18"/>
                <w:szCs w:val="18"/>
                <w:color w:val="auto"/>
              </w:rPr>
            </w:pPr>
          </w:p>
        </w:tc>
        <w:tc>
          <w:tcPr>
            <w:tcW w:w="290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c>
          <w:tcPr>
            <w:tcW w:w="0" w:type="dxa"/>
            <w:vAlign w:val="bottom"/>
          </w:tcPr>
          <w:p>
            <w:pPr>
              <w:spacing w:after="0"/>
              <w:rPr>
                <w:sz w:val="1"/>
                <w:szCs w:val="1"/>
                <w:color w:val="auto"/>
              </w:rPr>
            </w:pPr>
          </w:p>
        </w:tc>
      </w:tr>
      <w:tr>
        <w:trPr>
          <w:trHeight w:val="158"/>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22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240" w:type="dxa"/>
            <w:vAlign w:val="bottom"/>
          </w:tcPr>
          <w:p>
            <w:pPr>
              <w:spacing w:after="0"/>
              <w:rPr>
                <w:sz w:val="13"/>
                <w:szCs w:val="13"/>
                <w:color w:val="auto"/>
              </w:rPr>
            </w:pPr>
          </w:p>
        </w:tc>
        <w:tc>
          <w:tcPr>
            <w:tcW w:w="158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5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securities (cost of $44.2 million and $15.6 million as of</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March 31, 2024,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84"/>
        </w:trPr>
        <w:tc>
          <w:tcPr>
            <w:tcW w:w="53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Partnership and LLC interests (cost of $213.7 million and $76.0 million</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December 31, 2024 and March 31, 2024, respectively)</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273,516</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320,482</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2024 and March 31, 2024, no individual investment had a fair value greater than 5% of the Company’s total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net realized and unrealized gains (losses) from investment activities of the Consolidated Funds: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r>
      <w:tr>
        <w:trPr>
          <w:trHeight w:val="211"/>
        </w:trPr>
        <w:tc>
          <w:tcPr>
            <w:tcW w:w="5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21,024</w:t>
            </w:r>
          </w:p>
        </w:tc>
      </w:tr>
      <w:tr>
        <w:trPr>
          <w:trHeight w:val="223"/>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15,037</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22,357</w:t>
            </w: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 The following tables provide details regarding the classification of these assets and liabilities within the fair value hierarchy as of the dates presented: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5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67,446</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60" w:type="dxa"/>
            <w:vAlign w:val="bottom"/>
          </w:tcPr>
          <w:p>
            <w:pPr>
              <w:spacing w:after="0"/>
              <w:rPr>
                <w:sz w:val="18"/>
                <w:szCs w:val="18"/>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5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r>
      <w:tr>
        <w:trPr>
          <w:trHeight w:val="24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three and nine months ended December 31, 2024 and 2023.</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the Company are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40" w:type="dxa"/>
            <w:vAlign w:val="bottom"/>
          </w:tcPr>
          <w:p>
            <w:pPr>
              <w:spacing w:after="0"/>
              <w:rPr>
                <w:sz w:val="18"/>
                <w:szCs w:val="18"/>
                <w:color w:val="auto"/>
              </w:rPr>
            </w:pPr>
          </w:p>
        </w:tc>
        <w:tc>
          <w:tcPr>
            <w:tcW w:w="258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obligations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67,115</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67,446</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67,446</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unrealized losses included in earnings related to financial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4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2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24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0" w:type="dxa"/>
            <w:vAlign w:val="bottom"/>
          </w:tcPr>
          <w:p>
            <w:pPr>
              <w:spacing w:after="0"/>
              <w:rPr>
                <w:sz w:val="1"/>
                <w:szCs w:val="1"/>
                <w:color w:val="auto"/>
              </w:rPr>
            </w:pPr>
          </w:p>
        </w:tc>
      </w:tr>
      <w:tr>
        <w:trPr>
          <w:trHeight w:val="221"/>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instruments still held at the reporting date</w:t>
            </w: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The fair value of the contingent consideration obligation is based on a discounted cash flow analysis using a probability-weighted average estimate of certain performance targets, including revenue levels. The assumptions used in the analysis are inherently subjective; therefore, the ultimate amount of the contingent consideration obligations may differ materially from the current estimate. As of December 31, 2024, the contingent consideration obligation reflects the achievement of management fee revenue targets for calendar year 2024 resulting in the full earn-out of $75.0 million which is expected to be paid in the first half of calendar year 2025. The significant unobservable inputs required to value the contingent consideration obligation primarily relate to the future expected revenues and the discount rate applied to the expected future revenues and payments of obligations. In accordance with the contingent consideration arrangement, a portion of the contingent earn-out liability otherwise payable to the sellers included amounts paid to certain of the Company’s employees and former employees during the three months ended December 31, 2024. As a result, the contingent consideration liability is recorded net of the amounts paid. The contingent consideration obligation balance is included in accounts payable, accrued expenses and other liabilities in the condensed consolidated balance sheets. Changes in the fair value of the liabilities are included in general, administrative and other expenses in the condensed consolidated statements of income.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41,569</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42,435</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Partnership and LLC interests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13,694</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three and nine months ended December 31, 2024 and 2023.</w:t>
      </w:r>
    </w:p>
    <w:p>
      <w:pPr>
        <w:spacing w:after="0" w:line="173"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The Company generally values its investment funds, which are generally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December 31, 2024 and March 31, 2024, investments with a combined fair value of $278.0 million and $118.2 million, respectively, are excluded from presentation in the fair value hierarchy as the fair value of these investments were measured at net asset value. As of December 31, 2024 and March 31, 2024, investments with a combined fair value of $42.4 million and $13.7 million, respectively, were classified as Level III investments. The significant unobservable input used to value these investments classified as Level III are the discounts to recent transaction prices.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Consolidated Funds are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8"/>
                <w:szCs w:val="18"/>
                <w:color w:val="auto"/>
              </w:rPr>
            </w:pPr>
          </w:p>
        </w:tc>
        <w:tc>
          <w:tcPr>
            <w:tcW w:w="2520" w:type="dxa"/>
            <w:vAlign w:val="bottom"/>
            <w:gridSpan w:val="4"/>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0" w:type="dxa"/>
            <w:vAlign w:val="bottom"/>
          </w:tcPr>
          <w:p>
            <w:pPr>
              <w:spacing w:after="0"/>
              <w:rPr>
                <w:sz w:val="1"/>
                <w:szCs w:val="1"/>
                <w:color w:val="auto"/>
              </w:rPr>
            </w:pPr>
          </w:p>
        </w:tc>
      </w:tr>
      <w:tr>
        <w:trPr>
          <w:trHeight w:val="211"/>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2"/>
        </w:trPr>
        <w:tc>
          <w:tcPr>
            <w:tcW w:w="5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2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Transfers into Level III</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Transfers out of Level III</w:t>
            </w:r>
          </w:p>
        </w:tc>
        <w:tc>
          <w:tcPr>
            <w:tcW w:w="1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0" w:type="dxa"/>
            <w:vAlign w:val="bottom"/>
          </w:tcPr>
          <w:p>
            <w:pPr>
              <w:spacing w:after="0"/>
              <w:rPr>
                <w:sz w:val="1"/>
                <w:szCs w:val="1"/>
                <w:color w:val="auto"/>
              </w:rPr>
            </w:pPr>
          </w:p>
        </w:tc>
      </w:tr>
      <w:tr>
        <w:trPr>
          <w:trHeight w:val="230"/>
        </w:trPr>
        <w:tc>
          <w:tcPr>
            <w:tcW w:w="56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Changes in unrealized gains included in earnings related to financial</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instruments still held at the reporting date</w:t>
            </w: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20" w:lineRule="exact"/>
        <w:rPr>
          <w:sz w:val="20"/>
          <w:szCs w:val="20"/>
          <w:color w:val="auto"/>
        </w:rPr>
      </w:pPr>
    </w:p>
    <w:p>
      <w:pPr>
        <w:ind w:right="980" w:firstLine="648"/>
        <w:spacing w:after="0" w:line="283"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211"/>
        </w:trPr>
        <w:tc>
          <w:tcPr>
            <w:tcW w:w="814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(174,530)</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(143,779)</w:t>
            </w:r>
          </w:p>
        </w:tc>
      </w:tr>
      <w:tr>
        <w:trPr>
          <w:trHeight w:val="223"/>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274,122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304,873</w:t>
            </w:r>
          </w:p>
        </w:tc>
      </w:tr>
      <w:tr>
        <w:trPr>
          <w:trHeight w:val="20"/>
        </w:trPr>
        <w:tc>
          <w:tcPr>
            <w:tcW w:w="8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$10.3 million and $10.7 million for the three months ended December 31, 2024 and 2023, respectively, and $30.8 million and $32.0 million for the nine months ended December 31, 2024 and 2023, respectively. These amounts are included in general, administrative and other expenses in the condensed consolidated statements of income.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9800" w:type="dxa"/>
            <w:vAlign w:val="bottom"/>
          </w:tcPr>
          <w:p>
            <w:pPr>
              <w:jc w:val="center"/>
              <w:ind w:left="1368"/>
              <w:spacing w:after="0"/>
              <w:rPr>
                <w:sz w:val="20"/>
                <w:szCs w:val="20"/>
                <w:color w:val="auto"/>
              </w:rPr>
            </w:pPr>
            <w:r>
              <w:rPr>
                <w:rFonts w:ascii="Times New Roman" w:cs="Times New Roman" w:eastAsia="Times New Roman" w:hAnsi="Times New Roman"/>
                <w:sz w:val="20"/>
                <w:szCs w:val="20"/>
                <w:b w:val="1"/>
                <w:bCs w:val="1"/>
                <w:color w:val="auto"/>
                <w:w w:val="98"/>
              </w:rPr>
              <w:t>StepStone Group Inc.</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2"/>
        </w:trPr>
        <w:tc>
          <w:tcPr>
            <w:tcW w:w="9800" w:type="dxa"/>
            <w:vAlign w:val="bottom"/>
          </w:tcPr>
          <w:p>
            <w:pPr>
              <w:jc w:val="center"/>
              <w:ind w:left="1348"/>
              <w:spacing w:after="0"/>
              <w:rPr>
                <w:sz w:val="20"/>
                <w:szCs w:val="20"/>
                <w:color w:val="auto"/>
              </w:rPr>
            </w:pPr>
            <w:r>
              <w:rPr>
                <w:rFonts w:ascii="Times New Roman" w:cs="Times New Roman" w:eastAsia="Times New Roman" w:hAnsi="Times New Roman"/>
                <w:sz w:val="20"/>
                <w:szCs w:val="20"/>
                <w:b w:val="1"/>
                <w:bCs w:val="1"/>
                <w:color w:val="auto"/>
                <w:w w:val="98"/>
              </w:rPr>
              <w:t>Notes to Condensed Consolidated Financial Statements (Unaudited)</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8"/>
        </w:trPr>
        <w:tc>
          <w:tcPr>
            <w:tcW w:w="9800" w:type="dxa"/>
            <w:vAlign w:val="bottom"/>
          </w:tcPr>
          <w:p>
            <w:pPr>
              <w:jc w:val="center"/>
              <w:ind w:left="1368"/>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73"/>
        </w:trPr>
        <w:tc>
          <w:tcPr>
            <w:tcW w:w="9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At December 31, 2024, the expected future amortization of finite-lived intangible assets is as follows: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1"/>
        </w:trPr>
        <w:tc>
          <w:tcPr>
            <w:tcW w:w="9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100,768</w:t>
            </w:r>
          </w:p>
        </w:tc>
      </w:tr>
      <w:tr>
        <w:trPr>
          <w:trHeight w:val="248"/>
        </w:trPr>
        <w:tc>
          <w:tcPr>
            <w:tcW w:w="9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260" w:firstLine="648"/>
        <w:spacing w:after="0" w:line="283" w:lineRule="auto"/>
        <w:rPr>
          <w:sz w:val="20"/>
          <w:szCs w:val="20"/>
          <w:color w:val="auto"/>
        </w:rPr>
      </w:pPr>
      <w:r>
        <w:rPr>
          <w:rFonts w:ascii="Times New Roman" w:cs="Times New Roman" w:eastAsia="Times New Roman" w:hAnsi="Times New Roman"/>
          <w:sz w:val="20"/>
          <w:szCs w:val="20"/>
          <w:color w:val="auto"/>
        </w:rPr>
        <w:t>The carrying value of goodwill was $580.5 million as of December 31, 2024 and March 31, 2024. The Company determined there was no indication of goodwill impairment as of December 31, 2024 and March 31,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Debt Obligations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19"/>
                <w:szCs w:val="19"/>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senior notes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40" w:type="dxa"/>
            <w:vAlign w:val="bottom"/>
          </w:tcPr>
          <w:p>
            <w:pPr>
              <w:spacing w:after="0"/>
              <w:rPr>
                <w:sz w:val="19"/>
                <w:szCs w:val="19"/>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3"/>
        </w:trPr>
        <w:tc>
          <w:tcPr>
            <w:tcW w:w="6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principal</w:t>
            </w:r>
          </w:p>
        </w:tc>
        <w:tc>
          <w:tcPr>
            <w:tcW w:w="24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the Partnership issued $175.0 million aggregate principal amount of its 5.52% Series A senior notes due October 22, 2029 (the “Notes”), pursuant to a note purchase agreement, dated as of October 22, 2024 (the “Note Purchase Agreement”), in a private placement exempt from registration under the Securities Act.</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will be payable semi-annually in arrears on April 22 and October 22 of each year, commencing on April 22, 2025. Interest on the Notes will accrue from and including October 22, 2024. The Notes will mature on October 22, 2029. The Partnership may, at its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7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Notes, which are recorded at amortized cost, is classified as a Level III valuation within the fair value hierarchy. As of December 31, 2024, the carrying value of the Notes, net of debt issuance costs, approximated fair value. There were no Notes outstanding as of March 31,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33"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 As of December 31, 2024, there were no amounts outstanding on the Revolver.</w:t>
      </w:r>
    </w:p>
    <w:p>
      <w:pPr>
        <w:spacing w:after="0" w:line="19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81"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8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December 31, 2024, the Company had outstanding letters of credit totaling $6.5 million.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 of Consolidated Funds</w:t>
      </w:r>
    </w:p>
    <w:p>
      <w:pPr>
        <w:spacing w:after="0" w:line="220"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the Company.</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In December 2024, one of the Company’s consolidated investment funds entered into a credit agreement with Northern Trust Global Service SE (the “Fund Credit Facility”). The Fund Credit Facility provides for a multi-currency revolving credit facility of up to</w:t>
      </w:r>
    </w:p>
    <w:p>
      <w:pPr>
        <w:jc w:val="both"/>
        <w:ind w:right="60"/>
        <w:spacing w:after="0" w:line="249" w:lineRule="auto"/>
        <w:rPr>
          <w:sz w:val="20"/>
          <w:szCs w:val="20"/>
          <w:color w:val="auto"/>
        </w:rPr>
      </w:pPr>
      <w:r>
        <w:rPr>
          <w:rFonts w:ascii="Times New Roman" w:cs="Times New Roman" w:eastAsia="Times New Roman" w:hAnsi="Times New Roman"/>
          <w:sz w:val="20"/>
          <w:szCs w:val="20"/>
          <w:color w:val="auto"/>
        </w:rPr>
        <w:t>$125.0 million. Amounts drawn under the facility must be repaid within 180 days. As of December 31, 2024, the outstanding balance on the Fund Credit Facility was $7.9 million and is presented within other liabilities of Consolidated Funds in the condensed consolidated balance sheets. The outstanding borrowings under the Fund Credit Facility mature in June 2025.</w:t>
      </w:r>
    </w:p>
    <w:p>
      <w:pPr>
        <w:spacing w:after="0" w:line="19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 The weighted-average interest rate in effect for the Fund Credit Facility as of December 31, 2024 was 5.65%.</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Fund Credit Facility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33"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the Company to maintain a total net leverage ratio and a minimum total of fee-earning assets under management.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Note Purchase Agreement contains certain covenants, including those requiring the Company to (a) maintain a total net leverage ratio, (b) maintain a minimum total of fee-earning assets under management, (c) cause at least 80% of all management fees payable by material subsidiaries to the Company to be collected each period without deferral, waiver or reduction, (d) limit the amount of secured indebtedness to be incurred by the Company,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Fund Credit Facility</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0" w:right="3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2024, the Company was in compliance with the covenants under its various debt agreements.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1,422,658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27.12</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w w:val="98"/>
              </w:rPr>
              <w:t>50.93</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33.43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right="760"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2024, $28.0 million of unrecognized non-cash compensation expense in respect of equity-based awards remained to be recognized over a weighted-average period of approximately 4.1 years.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Awards of Partnership Units</w:t>
      </w:r>
    </w:p>
    <w:p>
      <w:pPr>
        <w:spacing w:after="0" w:line="220" w:lineRule="exact"/>
        <w:rPr>
          <w:sz w:val="20"/>
          <w:szCs w:val="20"/>
          <w:color w:val="auto"/>
        </w:rPr>
      </w:pPr>
    </w:p>
    <w:p>
      <w:pPr>
        <w:ind w:right="760" w:firstLine="648"/>
        <w:spacing w:after="0" w:line="310" w:lineRule="auto"/>
        <w:rPr>
          <w:sz w:val="20"/>
          <w:szCs w:val="20"/>
          <w:color w:val="auto"/>
        </w:rPr>
      </w:pPr>
      <w:r>
        <w:rPr>
          <w:rFonts w:ascii="Times New Roman" w:cs="Times New Roman" w:eastAsia="Times New Roman" w:hAnsi="Times New Roman"/>
          <w:sz w:val="19"/>
          <w:szCs w:val="19"/>
          <w:color w:val="auto"/>
        </w:rPr>
        <w:t>In June 2024, 2,566,566 outstanding Class B2 units fully vested and were automatically converted into Class B units and all unitholders were entitled to purchase from the Company one share of Class B common stock for each Class B unit at its par value.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33"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9"/>
          <w:szCs w:val="19"/>
          <w:color w:val="auto"/>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162"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19"/>
          <w:szCs w:val="19"/>
          <w:color w:val="auto"/>
        </w:rPr>
        <w:t>The Company accounted for the profits interest and option agreement as a single unit of account as a liability classified equity-based award. There are no vesting provisions or service requirements related to the award. In determining the fair value of the liability classified awards, the Company considers an income approach using a discounted cash flow analysis, a market approach using observable inputs from similar or comparable transactions in the market and the contractual redemption price. The assumptions used in the analysis are inherently subjective; therefore, the ultimate settlement amount for the liability classified awards may differ materially from the current estimate. The significant unobservable inputs required to value the liability classified awards primarily relate to future projected earnings of SPW, the contractual transaction price and the discount rate applied to the expected future earnings, which was 38% as of December 31, 2024.</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9"/>
          <w:szCs w:val="19"/>
          <w:color w:val="auto"/>
        </w:rPr>
        <w:t>The Company recognized $483.5 million and $9.0 million during the three months ended December 31, 2024 and 2023, respectively, and $529.0 million and $14.1 million during the nine months ended December 31, 2024 and 2023, respectively, of expense related to liability classified awards within equity-based compensation expense in the condensed consolidated statements of income. For the three and nine months ended December 31, 2024, the Company paid $2.3 million and $3.0 million, respectively, related to the settlement of liability classified awards. For the three and nine months ended December 31, 2023, no amounts were paid related to the settlement of liability classified awards. As of December 31, 2024 and March 31, 2024, the Company had recognized $554.3 million and $28.3 million, respectively, for liability classified awards within accrued compensation and benefits in the condensed consolidated balance sheets.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Company has an ESPP under which eligible employees may purchase shares of Class A common stock of the Company at six-month period intervals for 85% of the lower of the fair market value on either the first or last trading day of the offering period. Each eligible employee may purchase up to five thousand dollars worth of shares each six-month offering period, limited to a maximum of 1,000 shares. During the three and nine months ended December 31, 2024, 38,096 shares were purchased under the ESPP. There were no shares purchased under the ESPP during the three and nine months ended December 31, 2023 as the ESPP had not yet commenced. As of December 31, 2024, the Company has 2,161,904 shares of Class A common stock reserved for future issuances under the ESPP.</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3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exchanges of Class B, Class C and Class D units of the Partnership for Class A common stock by certain limited partners of the Partnership during the three months ended December 31, 2024, the Company recorded an increase to the deferred tax asset of $52.1 million and an increase in the valuation allowance of $0.8 million. Additionally, a corresponding Tax Receivable Agreements liability of $46.4 million was recorded, representing 85% of the incremental net cash tax savings for the Company as a result of these exchanges. The Company made payments of $17 thousand and $2.6 million during the three months ended December 31, 2024 and 2023, respectively, and payments of $9.8 million and $10.3 million during the nine months ended December 31, 2024 and 2023, respectively, under the Tax Receivable Agreements. As of December 31, 2024, the Company’s total Tax Receivable Agreements liability was $307.9 million. See note 12 for more information on the Tax Receivable Agreements.</w:t>
      </w:r>
    </w:p>
    <w:p>
      <w:pPr>
        <w:spacing w:after="0" w:line="1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effective tax rate was 16.7% and 3.0% for the three months ended December 31, 2024 and 2023, respectively, and 19.8% and 15.5% for the nine months ended December 31, 2024 and 2023, respectively. The Company’s overall effective tax rate in each of the periods described above is less than the statutory rate as a portion of income was allocated to non-controlling interests and the tax liability on such income is borne by the holders of non-controlling interests. The primary rate difference was driven by an increase in tax benefits associated with income allocated to non-controlling interests for the three and nine months ended December 31, 2024.</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Company continues to monitor and evaluate legislative developments related to the proposed Global Anti-Base Erosion (“GloBE”) Model Rules established under the Organization for Economic Co-operation and Development’s Pillar Two framework. Several countries where the Company operates have adopted GloBE into their legislation, and additional countries are anticipated to adopt these rules in the future. To date, these legislative changes have not had a material impact on the Company’s effective tax rate.</w:t>
      </w:r>
    </w:p>
    <w:p>
      <w:pPr>
        <w:spacing w:after="0" w:line="187"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auto"/>
        </w:rPr>
        <w:t>As of December 31, 2024, the Company has not recorded any unrecognized tax benefits and does not expect there to be any material changes to uncertain tax positions within the next 12 months.</w:t>
      </w:r>
    </w:p>
    <w:p>
      <w:pPr>
        <w:spacing w:after="0" w:line="14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three and nine months ended December 31, 2024 and 2023. The following table sets forth reconciliations of the numerators and denominators used to compute basic and diluted earnings per share of Class A common stock:</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40" w:type="dxa"/>
            <w:vAlign w:val="bottom"/>
          </w:tcPr>
          <w:p>
            <w:pPr>
              <w:spacing w:after="0"/>
              <w:rPr>
                <w:sz w:val="20"/>
                <w:szCs w:val="20"/>
                <w:color w:val="auto"/>
              </w:rPr>
            </w:pPr>
          </w:p>
        </w:tc>
        <w:tc>
          <w:tcPr>
            <w:tcW w:w="3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1"/>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61"/>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27,268</w:t>
            </w:r>
          </w:p>
        </w:tc>
      </w:tr>
      <w:tr>
        <w:trPr>
          <w:trHeight w:val="230"/>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175"/>
        </w:trPr>
        <w:tc>
          <w:tcPr>
            <w:tcW w:w="42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Incremental income from assumed vesting and</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exchange of Class B2 units</w:t>
            </w:r>
          </w:p>
        </w:tc>
        <w:tc>
          <w:tcPr>
            <w:tcW w:w="2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191"/>
        </w:trPr>
        <w:tc>
          <w:tcPr>
            <w:tcW w:w="424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StepStone Group Inc.</w:t>
            </w: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34"/>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Diluted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(192,015)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(161,055)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28,540</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1"/>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61"/>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 Basic</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73,687,289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64,068,952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69,561,254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63,255,604</w:t>
            </w:r>
          </w:p>
        </w:tc>
      </w:tr>
      <w:tr>
        <w:trPr>
          <w:trHeight w:val="229"/>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511,889</w:t>
            </w:r>
          </w:p>
        </w:tc>
      </w:tr>
      <w:tr>
        <w:trPr>
          <w:trHeight w:val="230"/>
        </w:trPr>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and exchange of Class B2 units</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2,532,489</w:t>
            </w:r>
          </w:p>
        </w:tc>
      </w:tr>
      <w:tr>
        <w:trPr>
          <w:trHeight w:val="230"/>
        </w:trPr>
        <w:tc>
          <w:tcPr>
            <w:tcW w:w="4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purchase under ESPP</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4240" w:type="dxa"/>
            <w:vAlign w:val="bottom"/>
            <w:tcBorders>
              <w:top w:val="single" w:sz="8" w:color="CCEEFF"/>
            </w:tcBorders>
            <w:shd w:val="clear" w:color="auto" w:fill="CCEEFF"/>
          </w:tcPr>
          <w:p>
            <w:pPr>
              <w:ind w:left="240"/>
              <w:spacing w:after="0" w:line="191"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6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259"/>
        </w:trPr>
        <w:tc>
          <w:tcPr>
            <w:tcW w:w="4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 Diluted</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73,687,289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64,068,952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69,561,254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66,299,982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bl>
    <w:p>
      <w:pPr>
        <w:spacing w:after="0" w:line="274"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The calculation of diluted earnings per share excludes 40,127,254 Class B units, 965,761 Class C units and 1,536,970 Class D units of the Partnership outstanding as of December 31, 2024, and 46,314,543 Class B units and 1,962,131 Class C units of the Partnership outstanding as of December 31, 2023, all of which are exchangeable into Class A common stock under the if-converted method, as the inclusion of such shares would be anti-dilutive.</w:t>
      </w:r>
    </w:p>
    <w:p>
      <w:pPr>
        <w:spacing w:after="0" w:line="172"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20"/>
          <w:szCs w:val="20"/>
          <w:color w:val="auto"/>
        </w:rPr>
        <w:t>As the Company was in a net loss position for the three and nine months ended December 31, 2024, the calculation of diluted earnings per share excludes potential shares of Class A common stock for 839,883 outstanding RSUs, as the inclusion of such shares would be anti-dilutive.</w:t>
      </w:r>
    </w:p>
    <w:p>
      <w:pPr>
        <w:spacing w:after="0" w:line="16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As the Company was in a net loss position for the three months ended December 31, 2023, the calculation of diluted earnings per share excludes potential shares of Class A common stock for 1,153,640 outstanding RSUs, 2,566,566 Class B2 units and 23,417 Class B units issuable pursuant to anti-dilution rights in connection with the vesting of Class B2 units that are convertible into Class A common stock under the if-converted method, as the inclusion of such shares would be anti-dilutive.</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20"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9"/>
          <w:szCs w:val="19"/>
          <w:color w:val="auto"/>
        </w:rPr>
        <w:t>The Company considers its directors, greater than 5% beneficial owner of any class of the Company’s stock, senior executives, employees and equity method investments to be related parties. A substantial portion of the Company’s management and advisory fees and carried interest allocations is earned from various StepStone Funds that are considered equity method investments. The Company earned net management and advisory fees from the StepStone Funds of $121.2 million and $100.8 million for the three months ended December 31, 2024 and 2023, respectively, and $369.8 million and $289.8 million for the nine months ended December 31, 2024 and 2023, respectively. Carried interest allocation revenues earned from the StepStone Funds totaled $117.6 million and $(114.3) million for the three months ended December 31, 2024 and 2023, respectively, and $204.1 million and $6.5 million for the nine months ended December 31, 2024 and 2023, respectively. Legacy Greenspring carried interest allocation revenues earned from certain legacy Greenspring funds for which the Company has no direct economic interests totaled $8.2 million and $(69.7) million for the three months ended December 31, 2024 and 2023, respectively, and $13.0 million and $(106.3) million for the nine months ended December 31, 2024 and 2023, respectively.</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Due from affiliates in the condensed consolidated balance sheets consists primarily of fees and accounts receivable from the</w:t>
      </w:r>
    </w:p>
    <w:p>
      <w:pPr>
        <w:spacing w:after="0" w:line="2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9"/>
          <w:szCs w:val="19"/>
          <w:color w:val="auto"/>
        </w:rPr>
        <w:t>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60" w:type="dxa"/>
            <w:vAlign w:val="bottom"/>
            <w:tcBorders>
              <w:bottom w:val="single" w:sz="8" w:color="auto"/>
            </w:tcBorders>
          </w:tcPr>
          <w:p>
            <w:pPr>
              <w:spacing w:after="0"/>
              <w:rPr>
                <w:sz w:val="18"/>
                <w:szCs w:val="18"/>
                <w:color w:val="auto"/>
              </w:rPr>
            </w:pPr>
          </w:p>
        </w:tc>
      </w:tr>
      <w:tr>
        <w:trPr>
          <w:trHeight w:val="211"/>
        </w:trPr>
        <w:tc>
          <w:tcPr>
            <w:tcW w:w="81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70,767</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r>
      <w:tr>
        <w:trPr>
          <w:trHeight w:val="223"/>
        </w:trPr>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67,531</w:t>
            </w:r>
          </w:p>
        </w:tc>
      </w:tr>
      <w:tr>
        <w:trPr>
          <w:trHeight w:val="21"/>
        </w:trPr>
        <w:tc>
          <w:tcPr>
            <w:tcW w:w="8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Due to affiliates in the condensed consolidated balance sheets consists primarily of amounts payable to certain non-controlling interest holders in connection with the Tax Receivable Agreements, amounts payable to the StepStone Funds and distributions payable to certain employee equity holders of consolidated subsidiaries, as set forth below.</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60" w:type="dxa"/>
            <w:vAlign w:val="bottom"/>
            <w:tcBorders>
              <w:bottom w:val="single" w:sz="8" w:color="auto"/>
            </w:tcBorders>
          </w:tcPr>
          <w:p>
            <w:pPr>
              <w:spacing w:after="0"/>
              <w:rPr>
                <w:sz w:val="18"/>
                <w:szCs w:val="18"/>
                <w:color w:val="auto"/>
              </w:rPr>
            </w:pPr>
          </w:p>
        </w:tc>
      </w:tr>
      <w:tr>
        <w:trPr>
          <w:trHeight w:val="211"/>
        </w:trPr>
        <w:tc>
          <w:tcPr>
            <w:tcW w:w="81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42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307,864</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206,841</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payable to certain employee equity holders of consolidated subsidiaries</w:t>
            </w: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8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315,739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212,918</w:t>
            </w:r>
          </w:p>
        </w:tc>
      </w:tr>
      <w:tr>
        <w:trPr>
          <w:trHeight w:val="20"/>
        </w:trPr>
        <w:tc>
          <w:tcPr>
            <w:tcW w:w="8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560" w:firstLine="648"/>
        <w:spacing w:after="0" w:line="261" w:lineRule="auto"/>
        <w:rPr>
          <w:sz w:val="20"/>
          <w:szCs w:val="20"/>
          <w:color w:val="auto"/>
        </w:rPr>
      </w:pPr>
      <w:r>
        <w:rPr>
          <w:rFonts w:ascii="Times New Roman" w:cs="Times New Roman" w:eastAsia="Times New Roman" w:hAnsi="Times New Roman"/>
          <w:sz w:val="20"/>
          <w:szCs w:val="20"/>
          <w:color w:val="auto"/>
        </w:rPr>
        <w:t>The Company made payments of $17 thousand and $2.6 million during the three months ended December 31, 2024 and 2023, respectively, and $9.8 million and $10.3 million for the nine months ended December 31, 2024 and 2023, respectively, under the Tax Receivable Agreements.</w:t>
      </w:r>
    </w:p>
    <w:p>
      <w:pPr>
        <w:spacing w:after="0" w:line="164" w:lineRule="exact"/>
        <w:rPr>
          <w:sz w:val="20"/>
          <w:szCs w:val="20"/>
          <w:color w:val="auto"/>
        </w:rPr>
      </w:pPr>
    </w:p>
    <w:p>
      <w:pPr>
        <w:ind w:left="660" w:right="5280" w:hanging="652"/>
        <w:spacing w:after="0" w:line="481" w:lineRule="auto"/>
        <w:tabs>
          <w:tab w:leader="none" w:pos="457"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and Redeemable Non-Controlling Interests Stockholders’ Equity</w:t>
      </w: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0" w:right="37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65,614,902</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45,030,959</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7,493,688</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(7,493,688)</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886,451</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D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729,449</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2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issued for vesting of RSUs, net of shares withheld for</w:t>
            </w:r>
          </w:p>
        </w:tc>
        <w:tc>
          <w:tcPr>
            <w:tcW w:w="2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24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employee taxes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565,138</w:t>
            </w:r>
          </w:p>
        </w:tc>
        <w:tc>
          <w:tcPr>
            <w:tcW w:w="14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for purchase of asset class non-controlling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513,394</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under ESPP</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38,096</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2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purchased at par value in connection with vesting of Class</w:t>
            </w: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43"/>
        </w:trPr>
        <w:tc>
          <w:tcPr>
            <w:tcW w:w="6280" w:type="dxa"/>
            <w:vAlign w:val="bottom"/>
          </w:tcPr>
          <w:p>
            <w:pPr>
              <w:ind w:left="460"/>
              <w:spacing w:after="0" w:line="243" w:lineRule="exact"/>
              <w:rPr>
                <w:sz w:val="20"/>
                <w:szCs w:val="20"/>
                <w:color w:val="auto"/>
              </w:rPr>
            </w:pPr>
            <w:r>
              <w:rPr>
                <w:rFonts w:ascii="Times New Roman" w:cs="Times New Roman" w:eastAsia="Times New Roman" w:hAnsi="Times New Roman"/>
                <w:sz w:val="18"/>
                <w:szCs w:val="18"/>
                <w:color w:val="auto"/>
              </w:rPr>
              <w:t>B2 units</w:t>
            </w:r>
            <w:r>
              <w:rPr>
                <w:rFonts w:ascii="Times New Roman" w:cs="Times New Roman" w:eastAsia="Times New Roman" w:hAnsi="Times New Roman"/>
                <w:sz w:val="23"/>
                <w:szCs w:val="23"/>
                <w:color w:val="auto"/>
                <w:vertAlign w:val="superscript"/>
              </w:rPr>
              <w:t>(1)</w:t>
            </w:r>
          </w:p>
        </w:tc>
        <w:tc>
          <w:tcPr>
            <w:tcW w:w="2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2,589,983</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75,841,118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40,127,254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23,417 Class B units issued pursuant to anti-dilution rights in connection with the vesting of Class B2 units.</w:t>
      </w:r>
    </w:p>
    <w:p>
      <w:pPr>
        <w:spacing w:after="0" w:line="202"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December 31, 2024, no shares of preferred stock were issued or outstanding.</w:t>
      </w:r>
    </w:p>
    <w:p>
      <w:pPr>
        <w:spacing w:after="0" w:line="14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In December 2024, the Company issued 2,354,788 shares of Class A common stock to certain limited partners of the Partnership in exchange for 2,354,788 Class B units of the Partnership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75,642 shares of Class A common stock to certain limited partners of the Partnership in exchange for 75,642 Class C units of the Partnership in accordance with the elective exchange notices submitted pursuant to the Class C Exchange Agreement, and a corresponding number of Class A units of the Partnership were issued to the Company. The Company also issued 729,449 shares of Class A common stock to certain limited partners of the Partnership in exchange for 729,449 Class D units of the Partnership in accordance with the elective exchange notices submitted pursuant to the Class D Exchange Agreement, and a corresponding number of Class A units of the Partnership were issued to the Company.</w:t>
      </w:r>
    </w:p>
    <w:p>
      <w:pPr>
        <w:spacing w:after="0" w:line="200"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In September 2024, the Company issued 312,112 shares of Class A common stock to certain limited partners of the Partnership in exchange for 312,112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34,027 shares of Class A common stock to certain limited partners of the Partnership in exchange for 34,027 Class C units of the Partnership in accordance with the elective exchange notices submitted pursuant to the Class C Exchange Agreement, and a corresponding number of Class A units of the Partnership were issued to the Company.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Also in September 2024, the Company conducted an underwritten public offering of 4,099,997 shares of Class A common stock (the “September 2024 Offering”) at a public offering price of $50.00 per share. The Company used all of the net proceeds from the offering, after underwriting discounts and commissions and expenses, to purchase (i) 300,000 shares of Class A common stock of the Company from certain selling stockholders, (ii) 3,094,981 Class B units of the Partnership from certain holders thereof, including certain directors and executive officers of the Company, and (iii) 705,016 Class C units of the Partnership from certain holders thereof. 3,094,981 shares of Class B common stock were automatically redeemed at par value and canceled in connection with such exchange and 3,799,997 Class A units of the Partnership were issued to the Company.</w:t>
      </w:r>
    </w:p>
    <w:p>
      <w:pPr>
        <w:spacing w:after="0" w:line="17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In June 2024, the Company issued 1,731,807 shares of Class A common stock to certain limited partners of the Partnership in exchange for 1,731,807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71,766 shares of Class A common stock to certain limited partners of the Partnership in exchange for 71,766 Class C units of the Partnership in accordance with the elective exchange notices submitted pursuant to the Class C Exchange Agreement, and a corresponding number of Class A units of the Partnership were issued to the Company.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newly-created Class D equity interests (“Class D units”) in the Partnership with terms substantially similar to the Partnership’s existing Class C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w:t>
      </w:r>
    </w:p>
    <w:p>
      <w:pPr>
        <w:spacing w:after="0" w:line="192"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April 1, 2024, certain of the Company’s subsidiaries 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spacing w:after="0" w:line="1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Also on April 1, 2024, the Company exchanged certain ordinary shares in the SPD subsidiary and paid $5.4 million to purchase certain preferred shares in SPD with liquidation preference rights in connection with the Transaction Agreements (defined below). There was no change in the Company’s economic interest in SPD as a result of the transaction.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300" w:firstLine="648"/>
        <w:spacing w:after="0" w:line="270" w:lineRule="auto"/>
        <w:rPr>
          <w:sz w:val="20"/>
          <w:szCs w:val="20"/>
          <w:color w:val="auto"/>
        </w:rPr>
      </w:pPr>
      <w:r>
        <w:rPr>
          <w:rFonts w:ascii="Times New Roman" w:cs="Times New Roman" w:eastAsia="Times New Roman" w:hAnsi="Times New Roman"/>
          <w:sz w:val="19"/>
          <w:szCs w:val="19"/>
          <w:color w:val="auto"/>
        </w:rPr>
        <w:t>On May 31, 2024, the Company completed the first annual exchange (the “2024 Exchange”) to acquire approximately 5% of the equity interests of each of SRA, SRE and SPD pursuant to the Transaction Agreements. As a result of the 2024 Exchange, the Partnership now owns approximately 54% of the outstanding equity interests of SRA, 56% of the outstanding equity interests of SRE and 54% of the outstanding equity interests of SPD. The aggregate consideration paid by the Company in the 2024 Exchange was approximately (i) $13 million in cash, (ii) 513,394 shares of the Company’s Class A common stock and (iii) 2,239,185 Class D units of the Partnership.</w:t>
      </w:r>
    </w:p>
    <w:p>
      <w:pPr>
        <w:spacing w:after="0" w:line="17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95"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spacing w:after="0" w:line="182"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20"/>
          <w:szCs w:val="20"/>
          <w:color w:val="auto"/>
        </w:rPr>
        <w:t>As of December 31, 2024, the Company determined that redemption of the redeemable non-controlling interests in subsidiaries was probable and presented the carrying value at the redemption amount based on the conditions that existed as of that date of $6.6 million in the condensed consolidated balance sheets within redeemable non-controlling interests in subsidiaries.</w:t>
      </w:r>
    </w:p>
    <w:p>
      <w:pPr>
        <w:spacing w:after="0" w:line="161" w:lineRule="exact"/>
        <w:rPr>
          <w:sz w:val="20"/>
          <w:szCs w:val="20"/>
          <w:color w:val="auto"/>
        </w:rPr>
      </w:pPr>
    </w:p>
    <w:p>
      <w:pPr>
        <w:jc w:val="both"/>
        <w:ind w:right="480" w:firstLine="648"/>
        <w:spacing w:after="0" w:line="261" w:lineRule="auto"/>
        <w:rPr>
          <w:sz w:val="20"/>
          <w:szCs w:val="20"/>
          <w:color w:val="auto"/>
        </w:rPr>
      </w:pPr>
      <w:r>
        <w:rPr>
          <w:rFonts w:ascii="Times New Roman" w:cs="Times New Roman" w:eastAsia="Times New Roman" w:hAnsi="Times New Roman"/>
          <w:sz w:val="20"/>
          <w:szCs w:val="20"/>
          <w:color w:val="auto"/>
        </w:rPr>
        <w:t>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Dividends and Distributions</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168"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On November 7, 2024, the Company announced a quarterly cash dividend of $0.24 per share of Class A common stock, which was paid on December 13, 2024 to holders of record at the close of business on November 29, 2024.</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Redeemable Non-Controlling Interests</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20"/>
                <w:szCs w:val="20"/>
                <w:color w:val="auto"/>
              </w:rPr>
            </w:pPr>
          </w:p>
        </w:tc>
        <w:tc>
          <w:tcPr>
            <w:tcW w:w="3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39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102,623</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r>
      <w:tr>
        <w:trPr>
          <w:trHeight w:val="230"/>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169,943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39,956</w:t>
            </w:r>
          </w:p>
        </w:tc>
      </w:tr>
      <w:tr>
        <w:trPr>
          <w:trHeight w:val="184"/>
        </w:trPr>
        <w:tc>
          <w:tcPr>
            <w:tcW w:w="39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Redemption of redeemable non-controlling</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34"/>
        </w:trPr>
        <w:tc>
          <w:tcPr>
            <w:tcW w:w="3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23,101</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11,590</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286,822</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286,822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subsidiaries: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39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39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Redemption of redeemable non-controlling</w:t>
            </w: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34"/>
        </w:trPr>
        <w:tc>
          <w:tcPr>
            <w:tcW w:w="3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interests</w:t>
            </w:r>
          </w:p>
        </w:tc>
        <w:tc>
          <w:tcPr>
            <w:tcW w:w="1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(110,351)</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2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December 31, 2024.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20" w:lineRule="exact"/>
        <w:rPr>
          <w:sz w:val="20"/>
          <w:szCs w:val="20"/>
          <w:color w:val="auto"/>
        </w:rPr>
      </w:pPr>
    </w:p>
    <w:p>
      <w:pPr>
        <w:ind w:right="480" w:firstLine="648"/>
        <w:spacing w:after="0" w:line="268" w:lineRule="auto"/>
        <w:rPr>
          <w:sz w:val="20"/>
          <w:szCs w:val="20"/>
          <w:color w:val="auto"/>
        </w:rPr>
      </w:pPr>
      <w:r>
        <w:rPr>
          <w:rFonts w:ascii="Times New Roman" w:cs="Times New Roman" w:eastAsia="Times New Roman" w:hAnsi="Times New Roman"/>
          <w:sz w:val="20"/>
          <w:szCs w:val="20"/>
          <w:color w:val="auto"/>
        </w:rPr>
        <w:t>The Company leases offices in 26 cities in North America, South America, Europe, Asia and Australia, and certain equipment subject to operating lease agreements expiring through 2039, some of which may include options to extend or terminate the lease. As of December 31, 2024, there were no finance leases outstanding.</w:t>
      </w:r>
    </w:p>
    <w:p>
      <w:pPr>
        <w:spacing w:after="0" w:line="161"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In December 2024, the Company executed an agreement to enter into a new lease for its Dublin office. The Company expects to gain access to the additional space in April 2025. At that time, the Company will establish a ROU asset and lease liability for the new lease. Upon lease commencement, total future lease payments are expected to be approximately $5.6 million over approximately 10 years.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4"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condensed consolidated statements of income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76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396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(1)(2)</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3"/>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w:t>
            </w:r>
          </w:p>
        </w:tc>
      </w:tr>
      <w:tr>
        <w:trPr>
          <w:trHeight w:val="21"/>
        </w:trPr>
        <w:tc>
          <w:tcPr>
            <w:tcW w:w="3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an immaterial amount of short-term leases.</w:t>
      </w:r>
    </w:p>
    <w:p>
      <w:pPr>
        <w:spacing w:after="0" w:line="9" w:lineRule="exact"/>
        <w:rPr>
          <w:rFonts w:ascii="Times New Roman" w:cs="Times New Roman" w:eastAsia="Times New Roman" w:hAnsi="Times New Roman"/>
          <w:sz w:val="18"/>
          <w:szCs w:val="18"/>
          <w:color w:val="auto"/>
        </w:rPr>
      </w:pPr>
    </w:p>
    <w:p>
      <w:pPr>
        <w:ind w:left="660" w:right="500" w:hanging="652"/>
        <w:spacing w:after="0" w:line="260"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of $0.1 million for the three and nine months ended December 31, 2023 related to lease remeasurement adjustments due to a reduction in lease terms.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76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11,298</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9,851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2024, maturities of operating lease liabilities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FY2025</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84,593</w:t>
            </w:r>
          </w:p>
        </w:tc>
      </w:tr>
      <w:tr>
        <w:trPr>
          <w:trHeight w:val="223"/>
        </w:trPr>
        <w:tc>
          <w:tcPr>
            <w:tcW w:w="9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148,345</w:t>
            </w:r>
          </w:p>
        </w:tc>
      </w:tr>
      <w:tr>
        <w:trPr>
          <w:trHeight w:val="229"/>
        </w:trPr>
        <w:tc>
          <w:tcPr>
            <w:tcW w:w="9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(36,170)</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112,175</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As of December 31, 2024 and March 31, 2024, the Company, generally in its capacity as general partner or managing member of the StepStone Funds, had unfunded commitments totaling $116.5 million and $115.7 million, respectively. The $116.5 million and $115.7 million of unfunded commitments as of December 31, 2024 and March 31, 2024, respectively, exclude $51.6 million and $67.8 million, respectively, related to commitments held by general partner entities for certain funds in which the Company does not hold any direct economic interests, including the legacy Greenspring funds.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December 31, 2024 and March 31, 2024, no material amounts for potential clawback obligations had been accrued. This contingent obligation is normally reduced by income taxes that the Company has paid related to the carried interest allocations. As of December 31, 2024, the maximum amount of carried interest allocations (excluding legacy Greenspring carried interest allocations) attributable to the Company subject to contingent repayment was an estimated $317.2 million, net of tax, assuming the fair value of all investments was zero, a possibility that the Company views as remote.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December 31, 2024 and March 31, 2024. Based on past experience, management believes that the risk of loss related to these indemnities is remote.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3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auto"/>
        </w:rPr>
        <w:t>As of the end of January 2025, the private wealth platform grew to an AUM of over $7 billion, due in part to StepStone Private Credit Income Fund (“CRDEX”) executing a secondary transaction of a high-quality, private credit portfolio. The purchase was executed through the issuance of CRDEX shares to the sellers.</w:t>
      </w:r>
    </w:p>
    <w:p>
      <w:pPr>
        <w:spacing w:after="0" w:line="181" w:lineRule="exact"/>
        <w:rPr>
          <w:sz w:val="20"/>
          <w:szCs w:val="20"/>
          <w:color w:val="auto"/>
        </w:rPr>
      </w:pPr>
    </w:p>
    <w:p>
      <w:pPr>
        <w:ind w:right="280" w:firstLine="648"/>
        <w:spacing w:after="0" w:line="269" w:lineRule="auto"/>
        <w:rPr>
          <w:sz w:val="20"/>
          <w:szCs w:val="20"/>
          <w:color w:val="auto"/>
        </w:rPr>
      </w:pPr>
      <w:r>
        <w:rPr>
          <w:rFonts w:ascii="Times New Roman" w:cs="Times New Roman" w:eastAsia="Times New Roman" w:hAnsi="Times New Roman"/>
          <w:sz w:val="20"/>
          <w:szCs w:val="20"/>
          <w:color w:val="auto"/>
        </w:rPr>
        <w:t>On February 6, 2025, the Company announced a quarterly cash dividend of $0.24 per share of Class A common stock, payable on March 14, 2025 to holders of record as of the close of business on February 28, 2025.</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0" w:right="359" w:bottom="1440" w:gutter="0" w:footer="0" w:header="0"/>
        </w:sectPr>
      </w:pPr>
    </w:p>
    <w:bookmarkStart w:id="48" w:name="page49"/>
    <w:bookmarkEnd w:id="48"/>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2024 filed with the SEC. In this quarterly report, references to “we,” “us,” “our,” “StepStone” and similar terms refer to SSG and its consolidated subsidiaries, including the Partnership.</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December 31, 2024, we were responsible for approximately $698 billion of total capital, including $179 billion of AUM and $519 billion of AUA.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are a global firm and believe that our multi-asset class expertise, local knowledge, business relationships, proprietary data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technology, and presence are all critical to securing a competitive edge in the private markets. We deploy a local staffing model, operating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26 cities across 16 countries on five continents. Our offices are staffed by investment professionals who bring valuable regional insights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language proficiency to enhance existing client relationships and build new client relationships. Since our inception in 2007, we have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invested and continue to invest heavily in our platforms to drive growth and expand our investment solutions capabilities and service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offerings, including through opportunistic transactions that have helped accelerate the growth of our team and capabilities. As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2024, we had approximately 1,090 total employees, including approximately 375 investment professionals and 715 employees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across our operating team and implementation teams dedicated to sourcing, executing, analyzing and monitoring private markets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opportunities.</w:t>
      </w:r>
    </w:p>
    <w:p>
      <w:pPr>
        <w:spacing w:after="0" w:line="200"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42" w:lineRule="exact"/>
        <w:rPr>
          <w:sz w:val="20"/>
          <w:szCs w:val="20"/>
          <w:color w:val="auto"/>
        </w:rPr>
      </w:pPr>
    </w:p>
    <w:p>
      <w:pPr>
        <w:ind w:left="660" w:right="80" w:hanging="328"/>
        <w:spacing w:after="0" w:line="260"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00000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00000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$109 billion of our AUM as of December 31, 2024</w:t>
      </w:r>
      <w:r>
        <w:rPr>
          <w:rFonts w:ascii="Times New Roman" w:cs="Times New Roman" w:eastAsia="Times New Roman" w:hAnsi="Times New Roman"/>
          <w:sz w:val="20"/>
          <w:szCs w:val="20"/>
          <w:color w:val="231F20"/>
        </w:rPr>
        <w:t>.</w:t>
      </w:r>
    </w:p>
    <w:p>
      <w:pPr>
        <w:spacing w:after="0" w:line="177" w:lineRule="exact"/>
        <w:rPr>
          <w:rFonts w:ascii="Times New Roman" w:cs="Times New Roman" w:eastAsia="Times New Roman" w:hAnsi="Times New Roman"/>
          <w:sz w:val="20"/>
          <w:szCs w:val="20"/>
          <w:color w:val="auto"/>
        </w:rPr>
      </w:pPr>
    </w:p>
    <w:p>
      <w:pPr>
        <w:ind w:left="660" w:right="200" w:hanging="328"/>
        <w:spacing w:after="0" w:line="27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Focused commingled funds. </w:t>
      </w:r>
      <w:r>
        <w:rPr>
          <w:rFonts w:ascii="Times New Roman" w:cs="Times New Roman" w:eastAsia="Times New Roman" w:hAnsi="Times New Roman"/>
          <w:sz w:val="20"/>
          <w:szCs w:val="20"/>
          <w:color w:val="231F20"/>
        </w:rPr>
        <w:t>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defined investment strategies. Focused commingled funds comprised $55 billion of our AUM as of </w:t>
      </w:r>
      <w:r>
        <w:rPr>
          <w:rFonts w:ascii="Times New Roman" w:cs="Times New Roman" w:eastAsia="Times New Roman" w:hAnsi="Times New Roman"/>
          <w:sz w:val="20"/>
          <w:szCs w:val="20"/>
          <w:color w:val="000000"/>
        </w:rPr>
        <w:t>December 31, 2024</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347" w:lineRule="exact"/>
        <w:rPr>
          <w:sz w:val="20"/>
          <w:szCs w:val="20"/>
          <w:color w:val="auto"/>
        </w:rPr>
      </w:pPr>
    </w:p>
    <w:p>
      <w:pPr>
        <w:ind w:left="660" w:right="40" w:hanging="328"/>
        <w:spacing w:after="0" w:line="270" w:lineRule="auto"/>
        <w:tabs>
          <w:tab w:leader="none" w:pos="648"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231F20"/>
        </w:rPr>
        <w:t xml:space="preserve">Advisory and data services. </w:t>
      </w:r>
      <w:r>
        <w:rPr>
          <w:rFonts w:ascii="Times New Roman" w:cs="Times New Roman" w:eastAsia="Times New Roman" w:hAnsi="Times New Roman"/>
          <w:sz w:val="19"/>
          <w:szCs w:val="19"/>
          <w:color w:val="231F20"/>
        </w:rPr>
        <w:t>These services include one or more of the following for our clients: (i) recurring support of portfolio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Research and our other proprietary tools. Advisory relationships comprised </w:t>
      </w:r>
      <w:r>
        <w:rPr>
          <w:rFonts w:ascii="Times New Roman" w:cs="Times New Roman" w:eastAsia="Times New Roman" w:hAnsi="Times New Roman"/>
          <w:sz w:val="19"/>
          <w:szCs w:val="19"/>
          <w:color w:val="000000"/>
        </w:rPr>
        <w:t>$519 billion</w:t>
      </w:r>
      <w:r>
        <w:rPr>
          <w:rFonts w:ascii="Times New Roman" w:cs="Times New Roman" w:eastAsia="Times New Roman" w:hAnsi="Times New Roman"/>
          <w:sz w:val="19"/>
          <w:szCs w:val="19"/>
          <w:color w:val="231F20"/>
        </w:rPr>
        <w:t xml:space="preserve"> of our AUA and $15 billion of our AUM as of </w:t>
      </w:r>
      <w:r>
        <w:rPr>
          <w:rFonts w:ascii="Times New Roman" w:cs="Times New Roman" w:eastAsia="Times New Roman" w:hAnsi="Times New Roman"/>
          <w:sz w:val="19"/>
          <w:szCs w:val="19"/>
          <w:color w:val="000000"/>
        </w:rPr>
        <w:t>December 31, 2024</w:t>
      </w:r>
      <w:r>
        <w:rPr>
          <w:rFonts w:ascii="Times New Roman" w:cs="Times New Roman" w:eastAsia="Times New Roman" w:hAnsi="Times New Roman"/>
          <w:sz w:val="19"/>
          <w:szCs w:val="19"/>
          <w:color w:val="231F20"/>
        </w:rPr>
        <w:t>.</w:t>
      </w:r>
    </w:p>
    <w:p>
      <w:pPr>
        <w:spacing w:after="0" w:line="172" w:lineRule="exact"/>
        <w:rPr>
          <w:rFonts w:ascii="Times New Roman" w:cs="Times New Roman" w:eastAsia="Times New Roman" w:hAnsi="Times New Roman"/>
          <w:sz w:val="19"/>
          <w:szCs w:val="19"/>
          <w:color w:val="auto"/>
        </w:rPr>
      </w:pPr>
    </w:p>
    <w:p>
      <w:pPr>
        <w:ind w:left="660" w:right="60" w:hanging="328"/>
        <w:spacing w:after="0" w:line="254"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Portfolio analytics and reporting. </w:t>
      </w:r>
      <w:r>
        <w:rPr>
          <w:rFonts w:ascii="Times New Roman" w:cs="Times New Roman" w:eastAsia="Times New Roman" w:hAnsi="Times New Roman"/>
          <w:sz w:val="20"/>
          <w:szCs w:val="20"/>
          <w:color w:val="231F20"/>
        </w:rPr>
        <w:t>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benchmarks as well as associated compliance, administrative and tax capabilities. Mandates for portfolio analytics and reporting services typically include licensed access to our proprietary performance monitoring software, SPI Reporting. SPI Reporting tracked detailed information on over $755 billion of client commitments as of </w:t>
      </w:r>
      <w:r>
        <w:rPr>
          <w:rFonts w:ascii="Times New Roman" w:cs="Times New Roman" w:eastAsia="Times New Roman" w:hAnsi="Times New Roman"/>
          <w:sz w:val="20"/>
          <w:szCs w:val="20"/>
          <w:color w:val="000000"/>
        </w:rPr>
        <w:t>December 31, 2024</w:t>
      </w:r>
      <w:r>
        <w:rPr>
          <w:rFonts w:ascii="Times New Roman" w:cs="Times New Roman" w:eastAsia="Times New Roman" w:hAnsi="Times New Roman"/>
          <w:sz w:val="20"/>
          <w:szCs w:val="20"/>
          <w:color w:val="231F20"/>
        </w:rPr>
        <w:t>, inclusive of our total capital responsibility, previously exited investments and investments of former clients.</w:t>
      </w:r>
    </w:p>
    <w:p>
      <w:pPr>
        <w:spacing w:after="0" w:line="191"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the StepStone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In addition to these macroeconomic trends and market factors, we believe our future performance will be influenced by the following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factors:</w:t>
      </w:r>
    </w:p>
    <w:p>
      <w:pPr>
        <w:spacing w:after="0" w:line="203" w:lineRule="exact"/>
        <w:rPr>
          <w:sz w:val="20"/>
          <w:szCs w:val="20"/>
          <w:color w:val="auto"/>
        </w:rPr>
      </w:pPr>
    </w:p>
    <w:p>
      <w:pPr>
        <w:ind w:left="660" w:hanging="328"/>
        <w:spacing w:after="0" w:line="254"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The extent to which clients favor private markets investments. </w:t>
      </w:r>
      <w:r>
        <w:rPr>
          <w:rFonts w:ascii="Times New Roman" w:cs="Times New Roman" w:eastAsia="Times New Roman" w:hAnsi="Times New Roman"/>
          <w:sz w:val="20"/>
          <w:szCs w:val="20"/>
          <w:color w:val="231F20"/>
        </w:rPr>
        <w:t>Our ability to attract new capital is partially dependent on clients’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73"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generate strong, stable returns. </w:t>
      </w:r>
      <w:r>
        <w:rPr>
          <w:rFonts w:ascii="Times New Roman" w:cs="Times New Roman" w:eastAsia="Times New Roman" w:hAnsi="Times New Roman"/>
          <w:sz w:val="20"/>
          <w:szCs w:val="20"/>
          <w:color w:val="231F20"/>
        </w:rPr>
        <w:t>Our ability to raise and retain capital is partially dependent on the investment returns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347" w:lineRule="exact"/>
        <w:rPr>
          <w:sz w:val="20"/>
          <w:szCs w:val="20"/>
          <w:color w:val="auto"/>
        </w:rPr>
      </w:pPr>
    </w:p>
    <w:p>
      <w:pPr>
        <w:ind w:left="660" w:right="60" w:hanging="328"/>
        <w:spacing w:after="0" w:line="254"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maintain our data advantage relative to competitors. </w:t>
      </w:r>
      <w:r>
        <w:rPr>
          <w:rFonts w:ascii="Times New Roman" w:cs="Times New Roman" w:eastAsia="Times New Roman" w:hAnsi="Times New Roman"/>
          <w:sz w:val="20"/>
          <w:szCs w:val="20"/>
          <w:color w:val="231F20"/>
        </w:rPr>
        <w:t>Our proprietary data and technology platforms, analytical tools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Our ability to source investments with attractive risk-adjusted returns. </w:t>
      </w:r>
      <w:r>
        <w:rPr>
          <w:rFonts w:ascii="Times New Roman" w:cs="Times New Roman" w:eastAsia="Times New Roman" w:hAnsi="Times New Roman"/>
          <w:sz w:val="20"/>
          <w:szCs w:val="20"/>
          <w:color w:val="231F20"/>
        </w:rPr>
        <w:t>The continued growth in our revenues is dependent on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72"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 xml:space="preserve">Increased competition and clients’ desire to work with fewer managers. </w:t>
      </w:r>
      <w:r>
        <w:rPr>
          <w:rFonts w:ascii="Times New Roman" w:cs="Times New Roman" w:eastAsia="Times New Roman" w:hAnsi="Times New Roman"/>
          <w:sz w:val="20"/>
          <w:szCs w:val="20"/>
          <w:color w:val="231F20"/>
        </w:rPr>
        <w:t>There has been an increasing desire on the part of larger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In 2024, signs of easing inflation coupled with the expansion of economic activity at a sustained pace and low unemployment rates contributed to positive returns in most financial markets </w:t>
      </w:r>
      <w:r>
        <w:rPr>
          <w:rFonts w:ascii="Times New Roman" w:cs="Times New Roman" w:eastAsia="Times New Roman" w:hAnsi="Times New Roman"/>
          <w:sz w:val="20"/>
          <w:szCs w:val="20"/>
          <w:color w:val="000000"/>
        </w:rPr>
        <w:t>despite inflation remaining elevated. Between September 2024 and December 2024,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the Federal Reserve announced several decisions to lower the target range for the federal funds rate ultimately to a range of 4.25% to 4.50% in response to positive trends in economic data, including a measure of inflation.</w:t>
      </w:r>
    </w:p>
    <w:p>
      <w:pPr>
        <w:spacing w:after="0" w:line="18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231F20"/>
        </w:rPr>
        <w:t xml:space="preserve">We are continuing to closely monitor developments related to inflation, decreasing but still higher interest rates, </w:t>
      </w:r>
      <w:r>
        <w:rPr>
          <w:rFonts w:ascii="Times New Roman" w:cs="Times New Roman" w:eastAsia="Times New Roman" w:hAnsi="Times New Roman"/>
          <w:sz w:val="20"/>
          <w:szCs w:val="20"/>
          <w:color w:val="000000"/>
        </w:rPr>
        <w:t>potential trade,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regulatory and governmental policy developments as a result of U.S. elections</w:t>
      </w:r>
      <w:r>
        <w:rPr>
          <w:rFonts w:ascii="Times New Roman" w:cs="Times New Roman" w:eastAsia="Times New Roman" w:hAnsi="Times New Roman"/>
          <w:sz w:val="20"/>
          <w:szCs w:val="20"/>
          <w:color w:val="231F20"/>
        </w:rPr>
        <w:t>, banking system volatility,</w:t>
      </w:r>
      <w:r>
        <w:rPr>
          <w:rFonts w:ascii="Times New Roman" w:cs="Times New Roman" w:eastAsia="Times New Roman" w:hAnsi="Times New Roman"/>
          <w:sz w:val="20"/>
          <w:szCs w:val="20"/>
          <w:color w:val="000000"/>
        </w:rPr>
        <w:t xml:space="preserve"> geopolitical tension, unrest or conflicts, including in or with China, Russia, Ukraine, and the Middle East</w:t>
      </w:r>
      <w:r>
        <w:rPr>
          <w:rFonts w:ascii="Times New Roman" w:cs="Times New Roman" w:eastAsia="Times New Roman" w:hAnsi="Times New Roman"/>
          <w:sz w:val="20"/>
          <w:szCs w:val="20"/>
          <w:color w:val="231F20"/>
        </w:rPr>
        <w:t>, and assess the impact on financial markets and on our business.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Our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Times New Roman" w:cs="Times New Roman" w:eastAsia="Times New Roman" w:hAnsi="Times New Roman"/>
          <w:sz w:val="20"/>
          <w:szCs w:val="20"/>
          <w:color w:val="000000"/>
        </w:rPr>
        <w:t>t is currently not possible to predict the ultimate effects of these events on the financial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markets, overall 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included in Part II, Item 1A of this quarterly report on Form 10-Q and “Risk Factors—Banking system volatility may adversely affect the results and financial condition of the StepStone Funds or StepStone generally” included in our annual report on Form 10-K for the fiscal year ended March 31,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Corporate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2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(the “Notes”), pursuant to a note purchase agreement, dated as of October 22, 2024 (the “Note Purchase Agreement”), in a private placement exempt from registration under the Securities Act.</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will be payable semi-annually in arrears on April 22 and October 22 of each year, commencing on April 22, 2025. Interest on the Notes will accrue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newly-created Class D equity interests (“Class D units”) in the Partnership with terms substantially similar to the Partnership’s existing Class C units, in the case of SRA and SRE, or shares of Class A common stock, in the case of SPD, and (ii) cash (at our discretion for all exchanges except the initial exchange), in up to ten annual exchanges (or up to fifteen annual exchanges in certain circumstances in the case of the sellers of SRA equity interests).</w:t>
      </w:r>
    </w:p>
    <w:p>
      <w:pPr>
        <w:spacing w:after="0" w:line="17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9"/>
          <w:szCs w:val="19"/>
          <w:color w:val="auto"/>
        </w:rPr>
        <w:t>On May 31, 2024, we completed the first annual exchange (the “2024 Exchange”) to acquire approximately 5% of the equity interests of each of SRA, SRE and SPD pursuant to the Transaction Agreements dated as of February 7, 2024. As a result of the 2024 Exchange, the Partnership now owns approximately 54% of the outstanding equity interests of SRA, 56% of the outstanding equity interests of SRE and 54% of the outstanding equity interests of SPD. The aggregate consideration paid by us in the 2024 Exchange was approximately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$13 million in cash, (ii) 513,394 shares of Class A common stock and (iii) 2,239,185 Class D units of the Partnership.</w:t>
      </w:r>
    </w:p>
    <w:p>
      <w:pPr>
        <w:spacing w:after="0" w:line="200"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9"/>
          <w:szCs w:val="19"/>
          <w:color w:val="auto"/>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In June 2024, we issued 1,731,807 shares of Class A common stock to certain limited partners of the Partnership in exchange for 1,731,807 Class B units of the Partnership in accordance with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On the same date, we also issued 71,766 shares of Class A common stock to certain limited partners of the Partnership in exchange for 71,766 Class C units of the Partnership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w:t>
      </w:r>
    </w:p>
    <w:p>
      <w:pPr>
        <w:spacing w:after="0" w:line="19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In September 2024, we conducted an underwritten public offering of 4,099,997 shares of Class A common stock (the “September 2024 Offering”) at a public offering price of $50.00 per share. We used all of the net proceeds from the offering, after underwriting discounts and commissions and expenses, to purchase (i) 300,000 shares of our Class A common stock from certain selling stockholders, (ii) 3,094,981 Class B units of the Partnership from certain holders thereof, including certain of our directors and executive officers, and (iii) 705,016 Class C units of the Partnership from certain holders thereof. 3,094,981 shares of Class B common stock were automatically redeemed at par value and canceled in connection with such exchange and 3,799,997 Class A units of the Partnership were issued to us.</w:t>
      </w:r>
    </w:p>
    <w:p>
      <w:pPr>
        <w:spacing w:after="0" w:line="179"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Also in September 2024, we issued 312,112 shares of Class A common stock to certain limited partners of the Partnership in exchange for 312,112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On the same date, we also issued 34,027 shares of Class A common stock to certain limited partners of the Partnership in exchange for 34,027 Class C units of the Partnership pursuant to the Class C Exchange Agreement. A corresponding number of Class A units of the Partnership were issued to us.</w:t>
      </w:r>
    </w:p>
    <w:p>
      <w:pPr>
        <w:spacing w:after="0" w:line="19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In December 2024, we issued 2,354,788 shares of Class A common stock to certain limited partners of the Partnership in exchange for 2,354,788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75,642 shares of Class A common stock to certain limited partners of the Partnership in exchange for 75,642 Class C units of the Partnership in accordance with the elective exchange notices submitted pursuant to the Class C Exchange Agreement, and a corresponding number of Class A units of the Partnership were issued to us. We also issued 729,449 shares of Class A common stock to certain limited partners of the Partnership in exchange for 729,449 Class D units of the Partnership in accordance with the elective exchange notices submitted pursuant to the Class D Exchange Agreement, and a corresponding number of Class A units of the Partnership were issued to us.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spacing w:after="0" w:line="19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151130</wp:posOffset>
            </wp:positionV>
            <wp:extent cx="5863590" cy="2477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359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100% due to rounding.</w:t>
      </w:r>
    </w:p>
    <w:p>
      <w:pPr>
        <w:spacing w:after="0" w:line="27"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60" w:hanging="644"/>
        <w:spacing w:after="0" w:line="250" w:lineRule="auto"/>
        <w:tabs>
          <w:tab w:leader="none" w:pos="12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owners and outside investors, all of whom own Class B units and an equivalent number of shares of Class B common stock;</w:t>
      </w: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C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D units.</w:t>
      </w:r>
    </w:p>
    <w:p>
      <w:pPr>
        <w:spacing w:after="0" w:line="9" w:lineRule="exact"/>
        <w:rPr>
          <w:rFonts w:ascii="Times New Roman" w:cs="Times New Roman" w:eastAsia="Times New Roman" w:hAnsi="Times New Roman"/>
          <w:sz w:val="18"/>
          <w:szCs w:val="18"/>
          <w:color w:val="auto"/>
        </w:rPr>
      </w:pPr>
    </w:p>
    <w:p>
      <w:pPr>
        <w:ind w:left="660" w:right="100" w:hanging="652"/>
        <w:spacing w:after="0" w:line="250"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right="100" w:hanging="652"/>
        <w:spacing w:after="0" w:line="255"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five votes prior to a Sunset (as defined below). After a Sunset becomes effective, each share of our Class B common stock will then entitle its holder to one vote. The economic rights of our Class B common stock are limited to the right to be redeemed at par value.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35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A “Sunset” is triggered upon the earliest to occur of the following: (i) Monte Brem, Scott Hart, Jason Ment, Jose Fernandez, Johnny Randel, Michael McCabe, Mark Maruszewski, Thomas Keck, Thomas Bradley, David Jeffrey and Darren Friedman (including their respective family trusts and any other permitted transferees, the “Sunset Holders”) collectively cease to maintain direct or indirect beneficial ownership of at least 10% of the outstanding shares of Class A common stock (determined assuming all outstanding Class B units have been exchanged for Class A common stock); (ii) the Sunset Holders cease collectively to maintain direct or indirect beneficial ownership of an aggregate of at least 25% of the aggregate voting power of our outstanding Class A common stock and Class B common stock, before giving effect to a Sunset; and (iii) September 18, 2025. As of December 31, 2024, the Sunset Holders collectively maintained direct or indirect beneficial ownership of approximately 27.9% of the Class A common stock (determined assuming all outstanding Class B units have been exchanged for Class A common stock) and approximately 55.9% of the aggregate voting power of our outstanding Class A common stock and Class B common stock.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condensed consolidated financial statements included elsewhere in this quarterly report.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231F20"/>
        </w:rPr>
        <w:t>Management and advisory fees, net, consist of fees received from managing SMAs and focused commingled funds, advisory and data services, and portfolio analytics and reporting. Management fees include income-based incentive fees, which are predictable and recurring in nature and paid quarterly based on net investment income of certain funds</w:t>
      </w:r>
      <w:r>
        <w:rPr>
          <w:rFonts w:ascii="Times New Roman" w:cs="Times New Roman" w:eastAsia="Times New Roman" w:hAnsi="Times New Roman"/>
          <w:sz w:val="20"/>
          <w:szCs w:val="20"/>
          <w:color w:val="000000"/>
        </w:rPr>
        <w:t>.</w:t>
      </w:r>
    </w:p>
    <w:p>
      <w:pPr>
        <w:spacing w:after="0" w:line="168" w:lineRule="exact"/>
        <w:rPr>
          <w:sz w:val="20"/>
          <w:szCs w:val="20"/>
          <w:color w:val="auto"/>
        </w:rPr>
      </w:pPr>
    </w:p>
    <w:p>
      <w:pPr>
        <w:ind w:left="660" w:right="20" w:hanging="328"/>
        <w:spacing w:after="0" w:line="276" w:lineRule="auto"/>
        <w:tabs>
          <w:tab w:leader="none" w:pos="648"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0.40% and 0.39% of average FEAUM for the twelve months ended December 31, 2023 and 2024, respectively.</w:t>
      </w:r>
    </w:p>
    <w:p>
      <w:pPr>
        <w:spacing w:after="0" w:line="169" w:lineRule="exact"/>
        <w:rPr>
          <w:rFonts w:ascii="Times New Roman" w:cs="Times New Roman" w:eastAsia="Times New Roman" w:hAnsi="Times New Roman"/>
          <w:sz w:val="19"/>
          <w:szCs w:val="19"/>
          <w:color w:val="auto"/>
        </w:rPr>
      </w:pPr>
    </w:p>
    <w:p>
      <w:pPr>
        <w:ind w:left="660" w:hanging="328"/>
        <w:spacing w:after="0" w:line="253"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0.90% and 1.03% of average FEAUM for the twelve months ended December 31, 2023 and 2024, respectively, and primarily reflected the timing of new funds, and shifts in asset class mix.</w:t>
      </w:r>
    </w:p>
    <w:p>
      <w:pPr>
        <w:spacing w:after="0" w:line="178" w:lineRule="exact"/>
        <w:rPr>
          <w:rFonts w:ascii="Times New Roman" w:cs="Times New Roman" w:eastAsia="Times New Roman" w:hAnsi="Times New Roman"/>
          <w:sz w:val="20"/>
          <w:szCs w:val="20"/>
          <w:color w:val="auto"/>
        </w:rPr>
      </w:pPr>
    </w:p>
    <w:p>
      <w:pPr>
        <w:ind w:left="660" w:right="140" w:hanging="328"/>
        <w:spacing w:after="0" w:line="261"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The weighted-average management fee rate across SMAs and focused commingled funds was approximately 0.58% and 0.64% of average FEAUM for the twelve months ended December 31, 2023 and 2024, respectively, and primarily reflected the timing of new funds and shifts in mix between SMAs and focused commingled funds.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51" w:lineRule="exact"/>
        <w:rPr>
          <w:sz w:val="20"/>
          <w:szCs w:val="20"/>
          <w:color w:val="auto"/>
        </w:rPr>
      </w:pPr>
    </w:p>
    <w:p>
      <w:pPr>
        <w:ind w:left="660" w:hanging="328"/>
        <w:spacing w:after="0" w:line="253" w:lineRule="auto"/>
        <w:tabs>
          <w:tab w:leader="none" w:pos="648"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Fee revenues from advisory, StepStone Portfolio Analytics &amp; Reporting (“SPAR”) and SPI Research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91" w:lineRule="exact"/>
        <w:rPr>
          <w:rFonts w:ascii="Times New Roman" w:cs="Times New Roman" w:eastAsia="Times New Roman" w:hAnsi="Times New Roman"/>
          <w:sz w:val="20"/>
          <w:szCs w:val="20"/>
          <w:color w:val="231F20"/>
        </w:rPr>
      </w:pPr>
    </w:p>
    <w:p>
      <w:pPr>
        <w:ind w:left="660" w:right="20" w:hanging="328"/>
        <w:spacing w:after="0" w:line="258"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6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33"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20"/>
          <w:szCs w:val="20"/>
          <w:color w:val="auto"/>
        </w:rPr>
        <w:t>We earn two types of performance fee revenues: incentive fees and carried interest allocations, as described below. As of December 31, 2024, we had over $90 billion of performance fee-eligible capital (excluding certain legacy Greenspring funds) across over 200 programs.</w:t>
      </w:r>
    </w:p>
    <w:p>
      <w:pPr>
        <w:spacing w:after="0" w:line="17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Incentive fees </w:t>
      </w:r>
      <w:r>
        <w:rPr>
          <w:rFonts w:ascii="Times New Roman" w:cs="Times New Roman" w:eastAsia="Times New Roman" w:hAnsi="Times New Roman"/>
          <w:sz w:val="20"/>
          <w:szCs w:val="20"/>
          <w:color w:val="231F20"/>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0"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231F20"/>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spacing w:after="0" w:line="18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Carried interest allocations </w:t>
      </w:r>
      <w:r>
        <w:rPr>
          <w:rFonts w:ascii="Times New Roman" w:cs="Times New Roman" w:eastAsia="Times New Roman" w:hAnsi="Times New Roman"/>
          <w:sz w:val="20"/>
          <w:szCs w:val="20"/>
          <w:color w:val="231F20"/>
        </w:rPr>
        <w:t>include the allocation of performance-based fees, commonly referred to as carried interest, to us from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generally not deemed to be within the scope of Accounting Standards Codification Topic 606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47"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19"/>
          <w:szCs w:val="19"/>
          <w:i w:val="1"/>
          <w:iCs w:val="1"/>
          <w:color w:val="231F20"/>
        </w:rPr>
        <w:t xml:space="preserve">Legacy Greenspring carried interest allocations </w:t>
      </w:r>
      <w:r>
        <w:rPr>
          <w:rFonts w:ascii="Times New Roman" w:cs="Times New Roman" w:eastAsia="Times New Roman" w:hAnsi="Times New Roman"/>
          <w:sz w:val="19"/>
          <w:szCs w:val="19"/>
          <w:color w:val="231F20"/>
        </w:rPr>
        <w:t>include the allocation of carried interest to legacy Greenspring general partner</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w:t>
      </w:r>
    </w:p>
    <w:p>
      <w:pPr>
        <w:spacing w:after="0" w:line="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231F20"/>
        </w:rPr>
        <w:t>interest allocations in respect of such legacy Greenspring funds are payable to employees who are considered affiliates to us and are therefore reflected as legacy Greenspring performance fee-related compensation in the consolidated statements of income.</w:t>
      </w:r>
    </w:p>
    <w:p>
      <w:pPr>
        <w:spacing w:after="0" w:line="17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7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December 31, 2024 and March 31, 2024, no material amounts for potential clawback obligations had been accrued.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and employer-related payroll taxes.</w:t>
      </w:r>
    </w:p>
    <w:p>
      <w:pPr>
        <w:spacing w:after="0" w:line="229" w:lineRule="exact"/>
        <w:rPr>
          <w:sz w:val="20"/>
          <w:szCs w:val="20"/>
          <w:color w:val="auto"/>
        </w:rPr>
      </w:pPr>
    </w:p>
    <w:p>
      <w:pPr>
        <w:ind w:right="60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associated with the employee stock purchase plan (“ESPP”).</w:t>
      </w:r>
    </w:p>
    <w:p>
      <w:pPr>
        <w:spacing w:after="0" w:line="13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20"/>
          <w:szCs w:val="20"/>
          <w:color w:val="231F20"/>
        </w:rPr>
        <w:t>Approximately 50% of carried interest allocation revenue is awarded to employees as part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Amounts presented as realized indicate the amounts paid or payable to employees based on the receipt of carried interest allocation revenue from realized investment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35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231F20"/>
        </w:rPr>
        <w:t>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On 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spacing w:after="0" w:line="19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73"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our business.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i w:val="1"/>
          <w:iCs w:val="1"/>
          <w:color w:val="231F20"/>
        </w:rPr>
        <w:t xml:space="preserve">Investment income (loss) </w:t>
      </w:r>
      <w:r>
        <w:rPr>
          <w:rFonts w:ascii="Times New Roman" w:cs="Times New Roman" w:eastAsia="Times New Roman" w:hAnsi="Times New Roman"/>
          <w:sz w:val="20"/>
          <w:szCs w:val="20"/>
          <w:color w:val="231F20"/>
        </w:rPr>
        <w:t>primarily represents our share of earnings (losses) from the investments we make in our SMAs and focused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19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231F20"/>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77" w:lineRule="exact"/>
        <w:rPr>
          <w:sz w:val="20"/>
          <w:szCs w:val="20"/>
          <w:color w:val="auto"/>
        </w:rPr>
      </w:pPr>
    </w:p>
    <w:p>
      <w:pPr>
        <w:ind w:right="46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(loss) </w:t>
      </w:r>
      <w:r>
        <w:rPr>
          <w:rFonts w:ascii="Times New Roman" w:cs="Times New Roman" w:eastAsia="Times New Roman" w:hAnsi="Times New Roman"/>
          <w:sz w:val="20"/>
          <w:szCs w:val="20"/>
          <w:color w:val="231F20"/>
        </w:rPr>
        <w:t>represents our share of earnings (losses) from the investments we make in certain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347" w:lineRule="exact"/>
        <w:rPr>
          <w:sz w:val="20"/>
          <w:szCs w:val="20"/>
          <w:color w:val="auto"/>
        </w:rPr>
      </w:pPr>
    </w:p>
    <w:p>
      <w:pPr>
        <w:ind w:right="1000" w:firstLine="648"/>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65" w:lineRule="exact"/>
        <w:rPr>
          <w:sz w:val="20"/>
          <w:szCs w:val="20"/>
          <w:color w:val="auto"/>
        </w:rPr>
      </w:pPr>
    </w:p>
    <w:p>
      <w:pPr>
        <w:ind w:right="5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and the Notes, as well as the related amortization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deferred financing costs.</w:t>
      </w:r>
    </w:p>
    <w:p>
      <w:pPr>
        <w:spacing w:after="0" w:line="165"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0"/>
          <w:szCs w:val="20"/>
          <w:color w:val="231F20"/>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reflect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to clearly distinguish between our interests and the economic interests of third parties and employees in those entities. Net income (loss) attributable to SSG, as reported in the condensed consolidated statements of income, is presented net of the portion of net income (loss) attributable to holders of non-controlling interests.</w:t>
      </w:r>
    </w:p>
    <w:p>
      <w:pPr>
        <w:spacing w:after="0" w:line="188" w:lineRule="exact"/>
        <w:rPr>
          <w:sz w:val="20"/>
          <w:szCs w:val="20"/>
          <w:color w:val="auto"/>
        </w:rPr>
      </w:pPr>
    </w:p>
    <w:p>
      <w:pPr>
        <w:ind w:right="70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certain general partner entities for the StepStone Funds, held by third parties and employees.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4"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legacy Greenspring entities </w:t>
      </w:r>
      <w:r>
        <w:rPr>
          <w:rFonts w:ascii="Times New Roman" w:cs="Times New Roman" w:eastAsia="Times New Roman" w:hAnsi="Times New Roman"/>
          <w:sz w:val="19"/>
          <w:szCs w:val="19"/>
          <w:color w:val="auto"/>
        </w:rPr>
        <w:t>represent the economic interests in the legacy Greenspring general partner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59"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Class C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Class D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Consolidated Funds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347" w:lineRule="exact"/>
        <w:rPr>
          <w:sz w:val="20"/>
          <w:szCs w:val="20"/>
          <w:color w:val="auto"/>
        </w:rPr>
      </w:pPr>
    </w:p>
    <w:p>
      <w:pPr>
        <w:ind w:right="80" w:firstLine="648"/>
        <w:spacing w:after="0" w:line="278" w:lineRule="auto"/>
        <w:rPr>
          <w:sz w:val="20"/>
          <w:szCs w:val="20"/>
          <w:color w:val="auto"/>
        </w:rPr>
      </w:pPr>
      <w:r>
        <w:rPr>
          <w:rFonts w:ascii="Times New Roman" w:cs="Times New Roman" w:eastAsia="Times New Roman" w:hAnsi="Times New Roman"/>
          <w:sz w:val="19"/>
          <w:szCs w:val="19"/>
          <w:i w:val="1"/>
          <w:iCs w:val="1"/>
          <w:color w:val="auto"/>
        </w:rPr>
        <w:t xml:space="preserve">Redeemable non-controlling interests in subsidiaries </w:t>
      </w:r>
      <w:r>
        <w:rPr>
          <w:rFonts w:ascii="Times New Roman" w:cs="Times New Roman" w:eastAsia="Times New Roman" w:hAnsi="Times New Roman"/>
          <w:sz w:val="19"/>
          <w:szCs w:val="19"/>
          <w:color w:val="auto"/>
        </w:rPr>
        <w:t>represent the redeemable economic interests in the consolidated subsidiaries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33"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20"/>
          <w:szCs w:val="20"/>
          <w:color w:val="231F20"/>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7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December 31, 2024 reflects final data for the prior period (September 30, 2024), adjusted for net new client account activity through December 31, 2024. NAV data for underlying investments is as of September 30, 2024, as reported by underlying managers up to the business day occurring on or after 100 days following September 30, 2024. When NAV data is not available by the business day occurring on or after 100 days following September 30, 2024, such NAVs are adjusted for cash activity following the last available reported NAV.</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Our AUA is calculated as the sum of (i) the NAV of client portfolio assets for which we do not have full discretion and (ii)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unfunded commitments of clients to the underlying investments. Our AUA reflects the investment valuations in respect of the underlying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investments of our client accounts on a three-month lag, adjusted for new client account activity through the period end. Our AUA does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include post-period investment valuation or cash activity. AUA as of December 31, 2024 reflects final data for the prior period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(September 30, 2024), adjusted for net new client account activity through December 31, 2024. NAV data for underlying investments is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September 30, 2024, as reported by underlying managers up to the business day occurring on or after 100 days following September 30,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2024. When NAV data is not available by the business day occurring on or after 100 days following September 30, 2024, such NAVs 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adjusted for cash activity following the last available reported NAV.</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spacing w:after="0" w:line="193" w:lineRule="exact"/>
        <w:rPr>
          <w:sz w:val="20"/>
          <w:szCs w:val="20"/>
          <w:color w:val="auto"/>
        </w:rPr>
      </w:pPr>
    </w:p>
    <w:p>
      <w:pPr>
        <w:ind w:right="400" w:firstLine="648"/>
        <w:spacing w:after="0" w:line="269" w:lineRule="auto"/>
        <w:rPr>
          <w:sz w:val="20"/>
          <w:szCs w:val="20"/>
          <w:color w:val="auto"/>
        </w:rPr>
      </w:pPr>
      <w:r>
        <w:rPr>
          <w:rFonts w:ascii="Times New Roman" w:cs="Times New Roman" w:eastAsia="Times New Roman" w:hAnsi="Times New Roman"/>
          <w:sz w:val="20"/>
          <w:szCs w:val="20"/>
          <w:color w:val="231F20"/>
        </w:rPr>
        <w:t>Our calculation of FEAUM may differ from the calculations of other asset managers and, as a result, may not be comparable to similar measures presented by other asset managers.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as redeemable non-controlling interests in Consolidated Funds in our condensed consolidated financial statements.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2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1" w:name="page62"/>
    <w:bookmarkEnd w:id="61"/>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6"/>
                <w:szCs w:val="16"/>
                <w:color w:val="auto"/>
              </w:rPr>
            </w:pPr>
          </w:p>
        </w:tc>
        <w:tc>
          <w:tcPr>
            <w:tcW w:w="2640" w:type="dxa"/>
            <w:vAlign w:val="bottom"/>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2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190,840</w:t>
            </w:r>
          </w:p>
        </w:tc>
        <w:tc>
          <w:tcPr>
            <w:tcW w:w="26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151,492</w:t>
            </w:r>
          </w:p>
        </w:tc>
        <w:tc>
          <w:tcPr>
            <w:tcW w:w="24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553,613</w:t>
            </w:r>
          </w:p>
        </w:tc>
        <w:tc>
          <w:tcPr>
            <w:tcW w:w="24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431,730</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22,843</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24,282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83,718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31,347</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93,325</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(129,584)</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120,370</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(24,849)</w:t>
            </w:r>
          </w:p>
        </w:tc>
        <w:tc>
          <w:tcPr>
            <w:tcW w:w="0" w:type="dxa"/>
            <w:vAlign w:val="bottom"/>
          </w:tcPr>
          <w:p>
            <w:pPr>
              <w:spacing w:after="0"/>
              <w:rPr>
                <w:sz w:val="1"/>
                <w:szCs w:val="1"/>
                <w:color w:val="auto"/>
              </w:rPr>
            </w:pPr>
          </w:p>
        </w:tc>
      </w:tr>
      <w:tr>
        <w:trPr>
          <w:trHeight w:val="163"/>
        </w:trPr>
        <w:tc>
          <w:tcPr>
            <w:tcW w:w="5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117,607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(114,295)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204,088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6,498</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8,207</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(69,700)</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(106,250)</w:t>
            </w:r>
          </w:p>
        </w:tc>
        <w:tc>
          <w:tcPr>
            <w:tcW w:w="0" w:type="dxa"/>
            <w:vAlign w:val="bottom"/>
          </w:tcPr>
          <w:p>
            <w:pPr>
              <w:spacing w:after="0"/>
              <w:rPr>
                <w:sz w:val="1"/>
                <w:szCs w:val="1"/>
                <w:color w:val="auto"/>
              </w:rPr>
            </w:pPr>
          </w:p>
        </w:tc>
      </w:tr>
      <w:tr>
        <w:trPr>
          <w:trHeight w:val="163"/>
        </w:trPr>
        <w:tc>
          <w:tcPr>
            <w:tcW w:w="5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performance fees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148,183</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(166,104)</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243,488</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(76,909)</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339,023</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(14,612)</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797,101</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354,821</w:t>
            </w:r>
          </w:p>
        </w:tc>
        <w:tc>
          <w:tcPr>
            <w:tcW w:w="0" w:type="dxa"/>
            <w:vAlign w:val="bottom"/>
          </w:tcPr>
          <w:p>
            <w:pPr>
              <w:spacing w:after="0"/>
              <w:rPr>
                <w:sz w:val="1"/>
                <w:szCs w:val="1"/>
                <w:color w:val="auto"/>
              </w:rPr>
            </w:pPr>
          </w:p>
        </w:tc>
      </w:tr>
      <w:tr>
        <w:trPr>
          <w:trHeight w:val="151"/>
        </w:trPr>
        <w:tc>
          <w:tcPr>
            <w:tcW w:w="5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85,203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246,298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218,551</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486,418</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14,032</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542,929</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28,420</w:t>
            </w:r>
          </w:p>
        </w:tc>
        <w:tc>
          <w:tcPr>
            <w:tcW w:w="0" w:type="dxa"/>
            <w:vAlign w:val="bottom"/>
          </w:tcPr>
          <w:p>
            <w:pPr>
              <w:spacing w:after="0"/>
              <w:rPr>
                <w:sz w:val="1"/>
                <w:szCs w:val="1"/>
                <w:color w:val="auto"/>
              </w:rPr>
            </w:pPr>
          </w:p>
        </w:tc>
      </w:tr>
      <w:tr>
        <w:trPr>
          <w:trHeight w:val="170"/>
        </w:trPr>
        <w:tc>
          <w:tcPr>
            <w:tcW w:w="52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25,477</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15,444</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26,266</w:t>
            </w:r>
          </w:p>
        </w:tc>
        <w:tc>
          <w:tcPr>
            <w:tcW w:w="0" w:type="dxa"/>
            <w:vAlign w:val="bottom"/>
          </w:tcPr>
          <w:p>
            <w:pPr>
              <w:spacing w:after="0"/>
              <w:rPr>
                <w:sz w:val="1"/>
                <w:szCs w:val="1"/>
                <w:color w:val="auto"/>
              </w:rPr>
            </w:pPr>
          </w:p>
        </w:tc>
      </w:tr>
      <w:tr>
        <w:trPr>
          <w:trHeight w:val="170"/>
        </w:trPr>
        <w:tc>
          <w:tcPr>
            <w:tcW w:w="52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49,670</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(62,243)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66,495</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(9,320)</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75,147</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(46,799)</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121,587</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16,946</w:t>
            </w:r>
          </w:p>
        </w:tc>
        <w:tc>
          <w:tcPr>
            <w:tcW w:w="0" w:type="dxa"/>
            <w:vAlign w:val="bottom"/>
          </w:tcPr>
          <w:p>
            <w:pPr>
              <w:spacing w:after="0"/>
              <w:rPr>
                <w:sz w:val="1"/>
                <w:szCs w:val="1"/>
                <w:color w:val="auto"/>
              </w:rPr>
            </w:pPr>
          </w:p>
        </w:tc>
      </w:tr>
      <w:tr>
        <w:trPr>
          <w:trHeight w:val="176"/>
        </w:trPr>
        <w:tc>
          <w:tcPr>
            <w:tcW w:w="5260" w:type="dxa"/>
            <w:vAlign w:val="bottom"/>
            <w:tcBorders>
              <w:bottom w:val="single" w:sz="8" w:color="CCEEFF"/>
            </w:tcBorders>
          </w:tcPr>
          <w:p>
            <w:pPr>
              <w:ind w:left="400"/>
              <w:spacing w:after="0" w:line="175"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8,207</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(69,700)</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13,035</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(106,250)</w:t>
            </w: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654,975</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923,849</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157,667</w:t>
            </w:r>
          </w:p>
        </w:tc>
        <w:tc>
          <w:tcPr>
            <w:tcW w:w="0" w:type="dxa"/>
            <w:vAlign w:val="bottom"/>
          </w:tcPr>
          <w:p>
            <w:pPr>
              <w:spacing w:after="0"/>
              <w:rPr>
                <w:sz w:val="1"/>
                <w:szCs w:val="1"/>
                <w:color w:val="auto"/>
              </w:rPr>
            </w:pPr>
          </w:p>
        </w:tc>
      </w:tr>
      <w:tr>
        <w:trPr>
          <w:trHeight w:val="17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43,130</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48,001</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134,202</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113,007</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698,105</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19,153</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1,058,051</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270,674</w:t>
            </w:r>
          </w:p>
        </w:tc>
        <w:tc>
          <w:tcPr>
            <w:tcW w:w="0" w:type="dxa"/>
            <w:vAlign w:val="bottom"/>
          </w:tcPr>
          <w:p>
            <w:pPr>
              <w:spacing w:after="0"/>
              <w:rPr>
                <w:sz w:val="1"/>
                <w:szCs w:val="1"/>
                <w:color w:val="auto"/>
              </w:rPr>
            </w:pPr>
          </w:p>
        </w:tc>
      </w:tr>
      <w:tr>
        <w:trPr>
          <w:trHeight w:val="151"/>
        </w:trPr>
        <w:tc>
          <w:tcPr>
            <w:tcW w:w="5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(loss)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5,710</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4,115</w:t>
            </w: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(9,054)</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15,037</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11,223</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30,878</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22,357</w:t>
            </w:r>
          </w:p>
        </w:tc>
        <w:tc>
          <w:tcPr>
            <w:tcW w:w="0" w:type="dxa"/>
            <w:vAlign w:val="bottom"/>
          </w:tcPr>
          <w:p>
            <w:pPr>
              <w:spacing w:after="0"/>
              <w:rPr>
                <w:sz w:val="1"/>
                <w:szCs w:val="1"/>
                <w:color w:val="auto"/>
              </w:rPr>
            </w:pPr>
          </w:p>
        </w:tc>
      </w:tr>
      <w:tr>
        <w:trPr>
          <w:trHeight w:val="170"/>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(9,510)</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(6,682)</w:t>
            </w:r>
          </w:p>
        </w:tc>
        <w:tc>
          <w:tcPr>
            <w:tcW w:w="0" w:type="dxa"/>
            <w:vAlign w:val="bottom"/>
          </w:tcPr>
          <w:p>
            <w:pPr>
              <w:spacing w:after="0"/>
              <w:rPr>
                <w:sz w:val="1"/>
                <w:szCs w:val="1"/>
                <w:color w:val="auto"/>
              </w:rPr>
            </w:pPr>
          </w:p>
        </w:tc>
      </w:tr>
      <w:tr>
        <w:trPr>
          <w:trHeight w:val="17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3,763</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14,367</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9,623</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16,734</w:t>
            </w:r>
          </w:p>
        </w:tc>
        <w:tc>
          <w:tcPr>
            <w:tcW w:w="0" w:type="dxa"/>
            <w:vAlign w:val="bottom"/>
          </w:tcPr>
          <w:p>
            <w:pPr>
              <w:spacing w:after="0"/>
              <w:rPr>
                <w:sz w:val="1"/>
                <w:szCs w:val="1"/>
                <w:color w:val="auto"/>
              </w:rPr>
            </w:pPr>
          </w:p>
        </w:tc>
      </w:tr>
      <w:tr>
        <w:trPr>
          <w:trHeight w:val="163"/>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(344,715)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(24,142)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(231,985)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100,881</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(57,552)</w:t>
            </w: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(46,005)</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15,603</w:t>
            </w:r>
          </w:p>
        </w:tc>
        <w:tc>
          <w:tcPr>
            <w:tcW w:w="0" w:type="dxa"/>
            <w:vAlign w:val="bottom"/>
          </w:tcPr>
          <w:p>
            <w:pPr>
              <w:spacing w:after="0"/>
              <w:rPr>
                <w:sz w:val="1"/>
                <w:szCs w:val="1"/>
                <w:color w:val="auto"/>
              </w:rPr>
            </w:pPr>
          </w:p>
        </w:tc>
      </w:tr>
      <w:tr>
        <w:trPr>
          <w:trHeight w:val="163"/>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(287,163)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(185,980)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85,278</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27,226</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13,552</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62,966</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32,797</w:t>
            </w:r>
          </w:p>
        </w:tc>
        <w:tc>
          <w:tcPr>
            <w:tcW w:w="0" w:type="dxa"/>
            <w:vAlign w:val="bottom"/>
          </w:tcPr>
          <w:p>
            <w:pPr>
              <w:spacing w:after="0"/>
              <w:rPr>
                <w:sz w:val="1"/>
                <w:szCs w:val="1"/>
                <w:color w:val="auto"/>
              </w:rPr>
            </w:pPr>
          </w:p>
        </w:tc>
      </w:tr>
      <w:tr>
        <w:trPr>
          <w:trHeight w:val="175"/>
        </w:trPr>
        <w:tc>
          <w:tcPr>
            <w:tcW w:w="5260" w:type="dxa"/>
            <w:vAlign w:val="bottom"/>
          </w:tcPr>
          <w:p>
            <w:pPr>
              <w:ind w:left="400"/>
              <w:spacing w:after="0" w:line="175" w:lineRule="exact"/>
              <w:rPr>
                <w:sz w:val="20"/>
                <w:szCs w:val="20"/>
                <w:color w:val="auto"/>
              </w:rPr>
            </w:pPr>
            <w:r>
              <w:rPr>
                <w:rFonts w:ascii="Times New Roman" w:cs="Times New Roman" w:eastAsia="Times New Roman" w:hAnsi="Times New Roman"/>
                <w:sz w:val="13"/>
                <w:szCs w:val="13"/>
                <w:color w:val="auto"/>
                <w:w w:val="96"/>
              </w:rPr>
              <w:t>Less: Net income (loss) attributable to non-controlling interests in legacy Greenspring entities</w:t>
            </w:r>
            <w:r>
              <w:rPr>
                <w:rFonts w:ascii="Times New Roman" w:cs="Times New Roman" w:eastAsia="Times New Roman" w:hAnsi="Times New Roman"/>
                <w:sz w:val="16"/>
                <w:szCs w:val="16"/>
                <w:color w:val="auto"/>
                <w:w w:val="96"/>
                <w:vertAlign w:val="superscript"/>
              </w:rPr>
              <w:t>(1)</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(9,054)</w:t>
            </w: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(134,760)</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(107,856)</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22,677</w:t>
            </w:r>
          </w:p>
        </w:tc>
        <w:tc>
          <w:tcPr>
            <w:tcW w:w="0" w:type="dxa"/>
            <w:vAlign w:val="bottom"/>
          </w:tcPr>
          <w:p>
            <w:pPr>
              <w:spacing w:after="0"/>
              <w:rPr>
                <w:sz w:val="1"/>
                <w:szCs w:val="1"/>
                <w:color w:val="auto"/>
              </w:rPr>
            </w:pPr>
          </w:p>
        </w:tc>
      </w:tr>
      <w:tr>
        <w:trPr>
          <w:trHeight w:val="170"/>
        </w:trPr>
        <w:tc>
          <w:tcPr>
            <w:tcW w:w="52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11,590</w:t>
            </w:r>
          </w:p>
        </w:tc>
        <w:tc>
          <w:tcPr>
            <w:tcW w:w="0" w:type="dxa"/>
            <w:vAlign w:val="bottom"/>
          </w:tcPr>
          <w:p>
            <w:pPr>
              <w:spacing w:after="0"/>
              <w:rPr>
                <w:sz w:val="1"/>
                <w:szCs w:val="1"/>
                <w:color w:val="auto"/>
              </w:rPr>
            </w:pPr>
          </w:p>
        </w:tc>
      </w:tr>
      <w:tr>
        <w:trPr>
          <w:trHeight w:val="176"/>
        </w:trPr>
        <w:tc>
          <w:tcPr>
            <w:tcW w:w="5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(192,015)</w:t>
            </w:r>
          </w:p>
        </w:tc>
        <w:tc>
          <w:tcPr>
            <w:tcW w:w="26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(20,226)</w:t>
            </w: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(161,055)</w:t>
            </w:r>
          </w:p>
        </w:tc>
        <w:tc>
          <w:tcPr>
            <w:tcW w:w="2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27,268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20" w:lineRule="exact"/>
        <w:rPr>
          <w:sz w:val="20"/>
          <w:szCs w:val="20"/>
          <w:color w:val="auto"/>
        </w:rPr>
      </w:pPr>
    </w:p>
    <w:p>
      <w:pPr>
        <w:ind w:left="660" w:right="200" w:hanging="652"/>
        <w:spacing w:after="0" w:line="278" w:lineRule="auto"/>
        <w:tabs>
          <w:tab w:leader="none" w:pos="6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3 and 5 to our condensed consolidated financial statements included elsewhere in this quarterly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2024 Compared to Three Months Ended December 31, 2023</w:t>
      </w:r>
    </w:p>
    <w:p>
      <w:pPr>
        <w:spacing w:after="0" w:line="220"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20"/>
          <w:szCs w:val="20"/>
          <w:color w:val="auto"/>
        </w:rPr>
        <w:t>Total revenues increased $353.6 million to $339.0 million for the three months ended December 31, 2024 as compared to the three months ended December 31, 2023. The overall increase was driven by positive carried interest allocations and legacy Greenspring carried interest allocations in the current period as compared to a reversal in the prior year period, higher management and advisory fees, net, and higher incentive fees, in each case, as described below.</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$39.3 million, or 26%, to $190.8 million for the three months ended December 31, 2024 as compared to the three months ended December 31, 2023. The increase was driven by new client activity and 24% growth in average FEAUM across the platform. The three months ended December 31, 2024 included retroactive fees of $9.7 million from the closings of StepStone’s special situation real estate secondaries, multi-strategy growth equity and Infrastructure Co-Investment Partners 2022 funds. The three months ended December 31, 2023 included retroactive fees of $8.6 million from the closings of StepStone’s Secondary Opportunities V, VC Global Partners XI and Infrastructure Co-Investment Partners 2022 funds.</w:t>
      </w:r>
    </w:p>
    <w:p>
      <w:pPr>
        <w:spacing w:after="0" w:line="17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20"/>
          <w:szCs w:val="20"/>
          <w:color w:val="auto"/>
        </w:rPr>
        <w:t>Incentive fees increased $4.5 million, or 25%, to $22.4 million for the three months ended December 31, 2024 as compared to the three months ended December 31, 2023 largely due to higher incentive fees generated by StepStone’s Private Venture and Growth Fund (“SPRING”).</w:t>
      </w:r>
    </w:p>
    <w:p>
      <w:pPr>
        <w:spacing w:after="0" w:line="181"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Realized carried interest allocation revenues increased $9.0 million, or 59%, to $24.3 million for the three months ended December 31, 2024 as compared to the three months ended December 31, 2023, reflecting higher realization activity within our private equity and infrastructure funds. Unrealized carried interest allocation revenues include the reversal of realized carried interest allocation revenues. Excluding the reversal of $24.3 million, unrealized carried interest allocation revenues increased $231.9 million to $117.6 million for the three months ended December 31, 2024 as compared to the three months ended December 31, 2023. The increase in unrealized carried interest allocations for the three months ended December 31, 2024 primarily reflected a net increase in the cumulative allocation of gains associated with the underlying portfolios within our private equity funds.</w:t>
      </w:r>
    </w:p>
    <w:p>
      <w:pPr>
        <w:spacing w:after="0" w:line="19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Legacy Greenspring carried interest allocation revenues increased $77.9 million to $8.2 million for the three months ended</w:t>
      </w:r>
    </w:p>
    <w:p>
      <w:pPr>
        <w:spacing w:after="0" w:line="2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December 31, 2024 as compared to the three months ended December 31, 2023 as a result of net unrealized appreciation in the fair value of certain underlying fund investments in the current year period as compared to net unrealized depreciation in the prior year period. The three months ended December 31, 2024 reflect gross realized carried interest allocations of $38.3 million and unrealized carried interest allocations, net of the reversal of realized carried interest allocations, of $(30.1) million. The three months ended December 31, 2023 reflect gross realized carried interest allocations of $0.1 million and unrealized carried interest allocations, net of the reversal of realized carried interest allocations, of $(69.8) million.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2024 Compared to Nine Months Ended December 31, 2023</w:t>
      </w:r>
    </w:p>
    <w:p>
      <w:pPr>
        <w:spacing w:after="0" w:line="23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Total revenues increased $442.3 million, or 125%, to $797.1 million for the nine months ended December 31, 2024 as compared to the nine months ended December 31, 2023. The overall increase was driven by higher carried interest allocations and positive legacy Greenspring carried interest allocations in the current period as compared to a reversal in the prior year period, higher management and advisory fees, net, and higher incentive fees, in each case, as described below.</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3" w:name="page64"/>
    <w:bookmarkEnd w:id="63"/>
    <w:p>
      <w:pPr>
        <w:spacing w:after="0" w:line="351"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9"/>
          <w:szCs w:val="19"/>
          <w:color w:val="auto"/>
        </w:rPr>
        <w:t>Management and advisory fees, net increased $121.9 million, or 28%, to $553.6 million for the nine months ended December 31, 2024 as compared to the nine months ended December 31, 2023. The increase was driven by new client activity and 18% growth in average FEAUM across the platform. The nine months ended December 31, 2024 included retroactive fees of $36.8 million from the closings of StepStone’s Secondary Opportunities V, special situation real estate secondaries, Infrastructure Co-Investment Partners 2022, multi-strategy growth equity and VC Global Partners XI funds. The nine months ended December 31, 2023 included retroactive fees of $9.5 million from the closings of StepStone’s Secondary Opportunities V, VC Global Partners XI and Infrastructure Co-Investment Partners 2022 funds.</w:t>
      </w:r>
    </w:p>
    <w:p>
      <w:pPr>
        <w:spacing w:after="0" w:line="178"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Incentive fees increased $3.5 million, or 15%, to $26.4 million for the nine months ended December 31, 2024 as compared to the nine months ended December 31, 2023 largely due to higher incentive fees generated by SPRING.</w:t>
      </w:r>
    </w:p>
    <w:p>
      <w:pPr>
        <w:spacing w:after="0" w:line="17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Realized carried interest allocation revenues increased $52.4 million, or 167%, to $83.7 million for the nine months ended December 31, 2024 as compared to the nine months ended December 31, 2023, reflecting higher realization activity within our private equity and infrastructure funds. Unrealized carried interest allocation revenues include the reversal of realized carried interest allocation revenues. Excluding the reversal of $83.7 million, unrealized carried interest allocation revenues increased $197.6 million to $204.1 million for the nine months ended December 31, 2024 as compared to the nine months ended December 31, 2023. The increase in unrealized carried interest allocations for the nine months ended December 31, 2024 primarily reflected a higher net increase in the cumulative allocation of gains associated with the underlying portfolios within our private equity and infrastructure funds.</w:t>
      </w:r>
    </w:p>
    <w:p>
      <w:pPr>
        <w:spacing w:after="0" w:line="193"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Legacy Greenspring carried interest allocation revenues increased $119.3 million to $13.0 million for the nine months ended December 31, 2024 as compared to the nine months ended December 31, 2023 as a result of net unrealized appreciation in the fair value of certain underlying fund investments in the current year period as compared to net unrealized depreciation in the prior year period. The nine months ended December 31, 2024 reflect gross realized carried interest allocations of $56.8 million and unrealized carried interest allocations, net of the reversal of realized carried interest allocations, of $(43.8) million. The nine months ended December 31, 2023 reflect gross realized carried interest allocations of $26.0 million and unrealized carried interest allocations, net of the reversal of realized carried interest allocations, of $(132.2) million.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2024 Compared to Three Months Ended December 31, 2023</w:t>
      </w:r>
    </w:p>
    <w:p>
      <w:pPr>
        <w:spacing w:after="0" w:line="22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auto"/>
        </w:rPr>
        <w:t>Total expenses increased $679.0 million to $698.1 million for the three months ended December 31, 2024 as compared to the three months ended December 31, 2023. The overall increase resulted from increases in equity-based compensation, performance fee-related compensation, legacy Greenspring performance fee-related compensation and cash-based compensation, partially offset by lower general, administrative, and other expenses, in each case, as described below.</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$11.6 million, or 16%, to $85.2 million for the three months ended December 31, 2024 as compared to the three months ended December 31, 2023, due to increased staffing and compensation levels. Our average headcount was 6% higher in the current year period as compared to the prior year period.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35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Equity-based compensation increased $472.4 million to $486.4 million for the three months ended December 31, 2024 as compared to the three months ended December 31, 2023. The increase was primarily attributable to a $474.5 million increase in expenses for liability classified awards related to the profits interest issued in the private wealth subsidiary in the current year period as compared to the prior year period, partially offset by a decrease in RSU expense due to the final vesting of RSUs issued in connection with our IPO.</w:t>
      </w:r>
    </w:p>
    <w:p>
      <w:pPr>
        <w:spacing w:after="0" w:line="17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0"/>
          <w:szCs w:val="20"/>
          <w:color w:val="auto"/>
        </w:rPr>
        <w:t>Total performance fee-related compensation expense increased $121.9 million to $75.1 million for the three months ended December 31, 2024 as compared to the three months ended December 31, 2023, primarily reflecting the increase in carried interest allocation revenue. Realized performance fee-related compensation increased $10.0 million, or 65%, to $25.5 million for the three months ended December 31, 2024 as compared to the three months ended December 31, 2023, primarily reflecting higher realization activity and higher incentive fees from SPRING.</w:t>
      </w:r>
    </w:p>
    <w:p>
      <w:pPr>
        <w:spacing w:after="0" w:line="17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$77.9 million to $8.2 million for the three months ended December 31, 2024 as compared to the three months ended December 31, 2023. The three months ended December 31, 2024 reflect gross realized performance fee-related compensation expense of $38.3 million and unrealized performance fee-related compensation expense, net of the reversal of realized performance fee-related compensation expense, of $(30.1) million. The three months ended December 31, 2023 reflect gross realized performance fee-related compensation expense of $0.1 million and unrealized performance fee-related compensation expense, net of the reversal of realized performance fee-related compensation expense, of $(69.8) million.</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decreased $4.9 million, or 10%, to $43.1 million for the three months ended December 31, 2024 as compared to the three months ended December 31, 2023. The overall decrease primarily reflected a $6.6 million lower expense for change in fair value of contingent consideration obligations as compared to the prior period, partially offset by increases of $0.6 million in marketing expenses, $0.5 million in information and technology expenses, $0.4 million in travel and associated costs for investment evaluation and client service and other general operating expenses.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2024 Compared to Nine Months Ended December 31, 2023</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Total expenses increased $787.4 million, or 291%, to $1,058.1 million for the nine months ended December 31, 2024 as compared to the nine months ended December 31, 2023. The overall increase resulted from increases in equity-based compensation, legacy Greenspring performance fee-related compensation, performance fee-related compensation, cash-based compensation and general, administrative and other expenses, in each case, as described below.</w:t>
      </w:r>
    </w:p>
    <w:p>
      <w:pPr>
        <w:spacing w:after="0" w:line="18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$27.7 million, or 13%, to $246.3 million for the nine months ended December 31, 2024 as compared to the nine months ended December 31, 2023, due to increased staffing and compensation levels. Our average headcount was 5% higher in the current year period as compared to the prior year period.</w:t>
      </w:r>
    </w:p>
    <w:p>
      <w:pPr>
        <w:spacing w:after="0" w:line="18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color w:val="auto"/>
        </w:rPr>
        <w:t>Equity-based compensation increased $514.5 million to $542.9 million for the nine months ended December 31, 2024 as compared to the nine months ended December 31, 2023. The increase was primarily attributable to a $514.9 million increase in expenses for liability classified awards related to the profits interest issued in the private wealth subsidiary in the current year period as compared to the prior year period, partially offset by a decrease in RSU expense due to the final vesting of RSUs issued in connection with our IPO.</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3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Total performance fee-related compensation expense increased $104.6 million, or 617%, to $121.6 million for the nine months ended December 31, 2024 as compared to the nine months ended December 31, 2023, primarily reflecting the increase in carried interest allocation revenue. Realized performance fee-related compensation increased $28.8 million, or 110%, to $55.1 million for the nine months ended December 31, 2024 as compared to the nine months ended December 31, 2023, primarily reflecting higher realization activity and higher incentive fees from SPRING.</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$119.3 million to $13.0 million for the nine months ended December 31, 2024 as compared to the nine months ended December 31, 2023. The nine months ended December 31, 2024 reflect gross realized performance fee-related compensation expense of $56.8 million and unrealized performance fee-related compensation expense, net of the reversal of realized performance fee-related compensation expense, of $(43.8) million. The nine months ended December 31, 2023 reflect gross realized performance fee-related compensation expense of $26.0 million and unrealized performance fee-related compensation expense, net of the reversal of realized performance fee-related compensation expense, of $(132.2) million.</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$21.2 million, or 19%, to $134.2 million for the nine months ended December 31, 2024 as compared to the nine months ended December 31, 2023. The overall increase primarily reflected $11.4 million of higher expense for change in fair value of contingent consideration obligations as compared to the prior period, $3.4 million in travel and associated costs for investment evaluation and client service, $2.5 million in professional fees, $2.1 million in marketing expenses, $1.4 million in information and technology expenses, partially offset by decreases of $1.9 million in accelerated depreciation for leasehold improvements due to a reduction in lease terms in the prior year and other general operating expenses.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2024 Compared to Three Months Ended December 31, 2023</w:t>
      </w:r>
    </w:p>
    <w:p>
      <w:pPr>
        <w:spacing w:after="0" w:line="22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(loss) increased $3.1 million to income of $1.1 million for the three months ended December 31, 2024 as compared to a loss for the three months ended December 31, 2023, primarily reflecting overall changes in the valuations of the underlying investments in the StepStone Funds.</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investment income (loss) increased $3.4 million to income of $1.2 million for the three months ended December 31, 2024 as compared to a loss for the three months ended December 31, 2023. The three months ended December 31, 2024 reflected gross realized investment income of $3.9 million and unrealized investment loss, net of the reversal of realized investment income, of $2.8 million. The three months ended December 31, 2023 reflected gross realized investment income of $0.4 million and unrealized investment loss, net of the reversal of realized investment income, of $2.6 million.</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of Consolidated Funds increased $3.8 million, or 34%, to $15.0 million for the three months ended December 31, 2024 as compared to the three months ended December 31, 2023, primarily reflecting overall changes in the valuations of the underlying investments of the Consolidated Funds.</w:t>
      </w:r>
    </w:p>
    <w:p>
      <w:pPr>
        <w:spacing w:after="0" w:line="181"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9"/>
          <w:szCs w:val="19"/>
          <w:color w:val="auto"/>
        </w:rPr>
        <w:t>Interest income increased $1.7 million, or 209%, to $2.6 million for the three months ended December 31, 2024 as compared to the three months ended December 31, 2023, primarily due to higher average interest rates earned on cash and cash equivalent balances and higher average cash and cash equivalent balances during the current year period as compared with the prior year period. Interest income attributable to the Consolidated Funds was $0.9 million in the current year period as compared to $0.5 million in the prior year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3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Interest expense increased $0.4 million, or 17%, to $3.0 million for the three months ended December 31, 2024 as compared to the three months ended December 31, 2023. The increase was due to higher average interest rates and higher average outstanding balances under the Revolver during the current year period as compared with the prior year period. In October 2024, all outstanding amounts under the Revolver were repaid. As the Notes have a lower interest rate than the Revolver, the higher interest under the Revolver partially offset the lower interest rate on the Notes for a portion of the current year period.</w:t>
      </w:r>
    </w:p>
    <w:p>
      <w:pPr>
        <w:spacing w:after="0" w:line="192"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Other income (loss) decreased $6.9 million to a loss of $2.5 million for the three months ended December 31, 2024 as compared to income for the three months ended December 31, 2023, primarily reflecting of a gain of $5.3 million in the prior year period for amounts received as part of negotiations with a third party related to certain corporate matters, partially offset by loss of $0.8 million associated with the sale of a subsidiary in the prior year period and net foreign currency transaction losses in the current year period as compared with net foreign currency transaction gains in the prior year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2024 Compared to Nine Months Ended December 31, 2023</w:t>
      </w:r>
    </w:p>
    <w:p>
      <w:pPr>
        <w:spacing w:after="0" w:line="233"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increased $1.6 million, or 39%, to $5.7 million for the nine months ended December 31, 2024 as compared to the nine months ended December 31, 2023, primarily reflecting overall changes in the valuations of the underlying investments in the StepStone Funds.</w:t>
      </w:r>
    </w:p>
    <w:p>
      <w:pPr>
        <w:spacing w:after="0" w:line="168" w:lineRule="exact"/>
        <w:rPr>
          <w:sz w:val="20"/>
          <w:szCs w:val="20"/>
          <w:color w:val="auto"/>
        </w:rPr>
      </w:pPr>
    </w:p>
    <w:p>
      <w:pPr>
        <w:jc w:val="both"/>
        <w:ind w:right="140" w:firstLine="648"/>
        <w:spacing w:after="0" w:line="257" w:lineRule="auto"/>
        <w:rPr>
          <w:sz w:val="20"/>
          <w:szCs w:val="20"/>
          <w:color w:val="auto"/>
        </w:rPr>
      </w:pPr>
      <w:r>
        <w:rPr>
          <w:rFonts w:ascii="Times New Roman" w:cs="Times New Roman" w:eastAsia="Times New Roman" w:hAnsi="Times New Roman"/>
          <w:sz w:val="20"/>
          <w:szCs w:val="20"/>
          <w:color w:val="auto"/>
        </w:rPr>
        <w:t>Legacy Greenspring investment loss decreased $4.9 million, or 55%, to $4.1 million for the nine months ended December 31, 2024 as compared to the nine months ended December 31, 2023. The nine months ended December 31, 2024 reflected gross realized investment income of $6.8 million and unrealized investment loss, net of the reversal of realized investment income, of $10.9 million. The nine months ended December 31, 2023 reflected gross realized investment income of $4.5 million and unrealized investment loss, net of the reversal of realized investment income, of $13.6 million.</w:t>
      </w:r>
    </w:p>
    <w:p>
      <w:pPr>
        <w:spacing w:after="0" w:line="17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of Consolidated Funds increased $8.5 million, or 38%, to $30.9 million for the nine months ended December 31, 2024 as compared to the nine months ended December 31, 2023, primarily reflecting overall changes in the valuations of the underlying investments of the Consolidated Funds.</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Interest income increased $5.4 million, or 241%, to $7.6 million for the nine months ended December 31, 2024 as compared to the nine months ended December 31, 2023, primarily due to higher average interest rates earned on cash and cash equivalent balances and higher average cash and cash equivalent balances during the current year period as compared with the prior year period. Interest income attributable to the Consolidated Funds was $3.2 million in the current year period as compared to $1.0 million in the prior year period.</w:t>
      </w:r>
    </w:p>
    <w:p>
      <w:pPr>
        <w:spacing w:after="0" w:line="1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Interest expense increased $2.8 million, or 42%, to $9.5 million for the nine months ended December 31, 2024 as compared to the nine months ended December 31, 2023. The increase was due to higher average interest rates and higher average outstanding balances under the Revolver during the current year period as compared with the prior year period, partially offset by the lower interest rate on the Notes for a portion of the current year period. In October 2024, all outstanding amounts under the Revolver were repaid. As the Notes have a lower interest rate than the Revolver, the higher interest under the Revolver partially offset the lower interest rate on the Notes for a portion of the current year period.</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Other income (loss) decreased $5.4 million to a loss of $1.6 million for the nine months ended December 31, 2024 as compared to income for the nine months ended December 31, 2023, primarily reflecting of a gain of $5.3 million in the prior year period for amounts received as part of negotiations with a third party related to certain corporate matters, partially offset by a loss of $0.8 million associated with the sale of a subsidiary in the prior year period and higher net foreign currency transaction losses in the current year period as compared with the prior year period.</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880" w:firstLine="648"/>
        <w:spacing w:after="0" w:line="269"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Our effective income tax rate was 16.7% and 3.0% for the three months ended December 31, 2024 and 2023, respectively, and 19.8% and 15.5% for the nine months ended December 31, 2024 and 2023, respectively. Our overall effective tax rate in each of the periods described above is less than the statutory rate as a portion of income was allocated to non-controlling interests and the tax liability on such income is borne by the holders of non-controlling interests. The primary rate difference was driven by an increase in tax benefits related to income allocated to non-controlling interests for the three and nine months ended December 31, 2024.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2024 Compared to Three Months Ended December 31, 2023</w:t>
      </w:r>
    </w:p>
    <w:p>
      <w:pPr>
        <w:spacing w:after="0" w:line="220"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auto"/>
        </w:rPr>
        <w:t>Income tax benefit increased $56.8 million to $57.6 million for the three months ended December 31, 2024 as compared to the three months ended December 31, 2023. The increase in income tax benefit was primarily driven by higher pre-tax net loss for the three months ended December 31, 2024 as compared to the three months ended December 31, 2023.</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2024 Compared to Nine Months Ended December 31, 2023</w:t>
      </w:r>
    </w:p>
    <w:p>
      <w:pPr>
        <w:spacing w:after="0" w:line="233"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9"/>
          <w:szCs w:val="19"/>
          <w:color w:val="auto"/>
        </w:rPr>
        <w:t>Income tax expense (benefit) decreased $61.6 million to a benefit of $46.0 million for the nine months ended December 31, 2024 as compared to expense for the nine months ended December 31, 2023. The decrease in income tax expense was primarily driven by pre-tax net loss for the nine months ended December 31, 2024 as compared to pre-tax net income for the nine months ended December 31, 2023.</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$13.7 million, or 101%, to $27.2 million for the three months ended December 31, 2024 as compared to the three months ended December 31, 2023. The increase was primarily attributable to an increase in income generated by our consolidated subsidiaries not wholly-owned by us and an increase in our economic interests in the Asset Class Entities as a result of the Transaction Agreements.</w:t>
      </w:r>
    </w:p>
    <w:p>
      <w:pPr>
        <w:spacing w:after="0" w:line="17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$30.2 million, or 92%, to $63.0 million for the nine months ended December 31, 2024 as compared to the nine months ended December 31, 2023. The increase was primarily attributable to an increase in income generated by our consolidated subsidiaries not wholly-owned by us and an increase in our economic interests in the Asset Class Entities as a result of the Transaction Agreements.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Legacy Greenspring Entities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$1.2 million and $(2.2) million for the three months ended December 31, 2024 and 2023, respectively, and $(4.1) million and $(9.1) million for the nine months ended December 31, 2024 and 2023, respectively.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the Partnership</w:t>
      </w:r>
    </w:p>
    <w:p>
      <w:pPr>
        <w:spacing w:after="0" w:line="233"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the Partnership represents the portion of net income or loss attributable to the interests held by the Class B, Class C and Class D unitholders of the Partnership. Net income (loss) attributable to non-controlling interests in the Partnership was $(134.8) million and $(20.1) million for the three months ended December 31, 2024 and 2023, respectively, and $(107.9) million and $22.7 million for the nine months ended December 31, 2024 and 2023,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represents income of the Consolidated Funds attributable to third-party investors. Net income attributable to redeemable non-controlling interests in Consolidated Funds was $10.9 million and $5.6 million for the three months ended December 31, 2024 and 2023, respectively, and $23.1 million and $11.6 million for the nine months ended December 31, 2024 and 2023,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Subsidiaries</w:t>
      </w:r>
    </w:p>
    <w:p>
      <w:pPr>
        <w:spacing w:after="0" w:line="233"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subsidiaries was $0.3 million and $1.0 million for the three and nine months ended December 31, 2024, respectively. There were no redeemable non-controlling interests in subsidiaries for the three and nine months ended December 31, 2023.</w:t>
      </w:r>
    </w:p>
    <w:p>
      <w:pPr>
        <w:spacing w:after="0" w:line="1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$179 billion as of December 31, 2024, $157 billion as of March 31, 2024 and $149 billion as of December 31, 2023.</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880" w:firstLine="648"/>
        <w:spacing w:after="0" w:line="269" w:lineRule="auto"/>
        <w:rPr>
          <w:sz w:val="20"/>
          <w:szCs w:val="20"/>
          <w:color w:val="auto"/>
        </w:rPr>
      </w:pPr>
      <w:r>
        <w:rPr>
          <w:rFonts w:ascii="Times New Roman" w:cs="Times New Roman" w:eastAsia="Times New Roman" w:hAnsi="Times New Roman"/>
          <w:sz w:val="20"/>
          <w:szCs w:val="20"/>
          <w:color w:val="auto"/>
        </w:rPr>
        <w:t>Assets related to our advisory accounts were $519 billion as of December 31, 2024, $521 billion as of March 31, 2024 and $510 billion as of December 31, 2023.</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2024</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FEAUM increased approximately $9.8 billion to $114.2 billion as of December 31, 2024 as compared to September 30, 2024. During the period, FEAUM from SMAs increased approximately $7.9 billion and FEAUM from commingled funds increased approximately $1.9 billion.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2024</w:t>
      </w:r>
    </w:p>
    <w:p>
      <w:pPr>
        <w:spacing w:after="0" w:line="220"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20"/>
          <w:szCs w:val="20"/>
          <w:color w:val="auto"/>
        </w:rPr>
        <w:t>FEAUM increased approximately $20.3 billion to $114.2 billion as of December 31, 2024 as compared to March 31, 2024. During the period, FEAUM from SMAs increased approximately $11.1 billion and FEAUM from commingled funds increased approximately $9.2 billion.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2024</w:t>
            </w:r>
          </w:p>
        </w:tc>
        <w:tc>
          <w:tcPr>
            <w:tcW w:w="260" w:type="dxa"/>
            <w:vAlign w:val="bottom"/>
          </w:tcPr>
          <w:p>
            <w:pPr>
              <w:spacing w:after="0"/>
              <w:rPr>
                <w:sz w:val="20"/>
                <w:szCs w:val="20"/>
                <w:color w:val="auto"/>
              </w:rPr>
            </w:pPr>
          </w:p>
        </w:tc>
        <w:tc>
          <w:tcPr>
            <w:tcW w:w="390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 2024</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Focused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5"/>
                <w:szCs w:val="1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Commingled</w:t>
            </w:r>
          </w:p>
        </w:tc>
        <w:tc>
          <w:tcPr>
            <w:tcW w:w="280" w:type="dxa"/>
            <w:vAlign w:val="bottom"/>
          </w:tcPr>
          <w:p>
            <w:pPr>
              <w:spacing w:after="0"/>
              <w:rPr>
                <w:sz w:val="15"/>
                <w:szCs w:val="15"/>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5"/>
                <w:szCs w:val="15"/>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SMAs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8"/>
              </w:rPr>
              <w:t>Commingled</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Funds</w:t>
            </w:r>
          </w:p>
        </w:tc>
        <w:tc>
          <w:tcPr>
            <w:tcW w:w="2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104,415</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0" w:type="dxa"/>
            <w:vAlign w:val="bottom"/>
          </w:tcPr>
          <w:p>
            <w:pPr>
              <w:spacing w:after="0"/>
              <w:rPr>
                <w:sz w:val="1"/>
                <w:szCs w:val="1"/>
                <w:color w:val="auto"/>
              </w:rPr>
            </w:pPr>
          </w:p>
        </w:tc>
      </w:tr>
      <w:tr>
        <w:trPr>
          <w:trHeight w:val="229"/>
        </w:trPr>
        <w:tc>
          <w:tcPr>
            <w:tcW w:w="27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114,166</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300" w:hanging="652"/>
        <w:spacing w:after="0" w:line="250"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200" w:hanging="652"/>
        <w:spacing w:after="0" w:line="260"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19,789</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89,432</w:t>
            </w:r>
          </w:p>
        </w:tc>
      </w:tr>
      <w:tr>
        <w:trPr>
          <w:trHeight w:val="20"/>
        </w:trPr>
        <w:tc>
          <w:tcPr>
            <w:tcW w:w="6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82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5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23"/>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0.58 %</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ind w:left="660" w:right="200" w:hanging="652"/>
        <w:spacing w:after="0" w:line="250"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mix between SMAs and focused commingled funds.</w:t>
      </w:r>
    </w:p>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and shifts in asset class mix.</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2024, we had $21.7 billion of undeployed fee-earning capital, which will generate management fee revenue once invested or activated.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20"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adjusted management and advisory fees, net, adjusted incentive fees (including the deferred portion)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SPW, (d) amortization of intangibles, (e) net income (loss) attributable to non-controlling interests in our subsidiaries and realized gains attributable to the profits interests issued in SPW,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20"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adjusted management and advisory fees, net, adjusted incentive fees (including the deferred portion) and realized carried interest allocations. We believe adjusted revenues is useful to investors because it presents a measure of realized revenues.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33"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auto"/>
        </w:rPr>
        <w:t>Fee-related earnings (“FRE”) is a non-GAAP performance measure used to monitor our baseline earnings from recurring management and advisory fees. FRE is a component of ANI and comprises adjusted management and advisory fees, net,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SPW,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2024 Compared to Three Months Ended December 31, 2023</w:t>
      </w:r>
    </w:p>
    <w:p>
      <w:pPr>
        <w:spacing w:after="0" w:line="2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FRE increased $23.5 million, or 46%, to $74.1 million for the three months ended December 31, 2024 as compared to the three months ended December 31, 2023, primarily reflecting higher adjusted management and advisory fees, net, partially offset by higher adjusted cash-based compensation, adjusted general, administrative and other expenses, and adjusted equity-based compensation.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2024 Compared to Nine Months Ended December 31, 2023</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FRE increased $79.2 million, or 57%, to $218.1 million for the nine months ended December 31, 2024 as compared to the nine months ended December 31, 2023, primarily reflecting higher adjusted management and advisory fees, net, partially offset by higher adjusted cash-based compensation, adjusted general, administrative and other expenses, and adjusted equity-based compensation.</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Three Months Ended December 31, 2024 Compared to Three Months Ended December 31, 2023</w:t>
      </w:r>
    </w:p>
    <w:p>
      <w:pPr>
        <w:spacing w:after="0" w:line="23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increased $58.8 million, or 32%, to $243.9 million for the three months ended December 31, 2024 as compared to the three months ended December 31, 2023, primarily reflecting increases in adjusted management and advisory fees, net, incentive fees and realized carried interest allocation revenues.</w:t>
      </w:r>
    </w:p>
    <w:p>
      <w:pPr>
        <w:spacing w:after="0" w:line="16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ANI increased $10.5 million, or 25%, to $52.7 million for the three months ended December 31, 2024 as compared to the three months ended December 31, 2023, primarily due to an increase in FRE as discussed above, higher net realized performance fee-related earnings (adjusted incentive fees, including the deferred portion, plus realized carried interest allocation revenues, less realized performance fee-related compensation) and higher interest income. The overall increase was partially offset by a higher allocation of income to non-controlling interests, lower realized investment income and higher interest expense.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Nine Months Ended December 31, 2024 Compared to Nine Months Ended December 31, 2023</w:t>
      </w:r>
    </w:p>
    <w:p>
      <w:pPr>
        <w:spacing w:after="0" w:line="233"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increased $186.2 million, or 38%, to $673.9 million for the nine months ended December 31, 2024 as compared to the nine months ended December 31, 2023, primarily reflecting increases in adjusted management and advisory fees, net, realized carried interest allocation revenues, and adjusted incentive fees, including the deferred portion.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351"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ANI increased $61.8 million, or 61%, to $163.5 million for the nine months ended December 31, 2024 as compared to the nine months ended December 31, 2023, primarily due to an increase in FRE as discussed above, higher net realized performance fee-related earnings (adjusted incentive fees, including the deferred portion, plus realized carried interest allocation revenues, less realized performance fee-related compensation) and higher interest income. The overall increase was partially offset by a higher allocation of income to non-controlling interests, higher interest expense and lower realized investment income.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The following table shows a reconciliation of diluted weighted-average shares of Class A common stock outstanding to adjusted weighted-average shares outstanding used in the computation of ANI per share for the three and nine months ended December 31,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20"/>
                <w:szCs w:val="20"/>
                <w:color w:val="auto"/>
              </w:rPr>
            </w:pPr>
          </w:p>
        </w:tc>
        <w:tc>
          <w:tcPr>
            <w:tcW w:w="33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163,469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101,677</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 Basic</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73,687,289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64,068,952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69,561,254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63,255,604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511,889</w:t>
            </w:r>
          </w:p>
        </w:tc>
        <w:tc>
          <w:tcPr>
            <w:tcW w:w="0" w:type="dxa"/>
            <w:vAlign w:val="bottom"/>
          </w:tcPr>
          <w:p>
            <w:pPr>
              <w:spacing w:after="0"/>
              <w:rPr>
                <w:sz w:val="1"/>
                <w:szCs w:val="1"/>
                <w:color w:val="auto"/>
              </w:rPr>
            </w:pPr>
          </w:p>
        </w:tc>
      </w:tr>
      <w:tr>
        <w:trPr>
          <w:trHeight w:val="184"/>
        </w:trPr>
        <w:tc>
          <w:tcPr>
            <w:tcW w:w="396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Assumed vesting and exchange of Class B2</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units</w:t>
            </w:r>
          </w:p>
        </w:tc>
        <w:tc>
          <w:tcPr>
            <w:tcW w:w="26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2,553,899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2,532,489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Assumed purchase under ESPP</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41,729,937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46,314,543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44,251,143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46,384,046</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2,325,417</w:t>
            </w:r>
          </w:p>
        </w:tc>
        <w:tc>
          <w:tcPr>
            <w:tcW w:w="0" w:type="dxa"/>
            <w:vAlign w:val="bottom"/>
          </w:tcPr>
          <w:p>
            <w:pPr>
              <w:spacing w:after="0"/>
              <w:rPr>
                <w:sz w:val="1"/>
                <w:szCs w:val="1"/>
                <w:color w:val="auto"/>
              </w:rPr>
            </w:pPr>
          </w:p>
        </w:tc>
      </w:tr>
      <w:tr>
        <w:trPr>
          <w:trHeight w:val="270"/>
        </w:trPr>
        <w:tc>
          <w:tcPr>
            <w:tcW w:w="3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Exchange of Class D units in the Partnership</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2,010,202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2,162,580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118,935,179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115,232,927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118,740,805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115,009,445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3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260" w:hanging="652"/>
        <w:spacing w:after="0" w:line="260"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Class C units or Class D units in the Partnership for Class A common stock of SSG pursuant to the Class B Exchange Agreement, Class C Exchange Agreement or Class D Exchange Agreement,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354,821</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w:t>
            </w:r>
          </w:p>
        </w:tc>
      </w:tr>
      <w:tr>
        <w:trPr>
          <w:trHeight w:val="229"/>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106,250</w:t>
            </w:r>
          </w:p>
        </w:tc>
      </w:tr>
      <w:tr>
        <w:trPr>
          <w:trHeight w:val="181"/>
        </w:trPr>
        <w:tc>
          <w:tcPr>
            <w:tcW w:w="4100" w:type="dxa"/>
            <w:vAlign w:val="bottom"/>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Management and advisory fee revenues for the</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8"/>
        </w:trPr>
        <w:tc>
          <w:tcPr>
            <w:tcW w:w="4100" w:type="dxa"/>
            <w:vAlign w:val="bottom"/>
            <w:shd w:val="clear" w:color="auto" w:fill="CCEEFF"/>
          </w:tcPr>
          <w:p>
            <w:pPr>
              <w:ind w:left="680"/>
              <w:spacing w:after="0" w:line="237" w:lineRule="exact"/>
              <w:rPr>
                <w:sz w:val="20"/>
                <w:szCs w:val="20"/>
                <w:color w:val="auto"/>
              </w:rPr>
            </w:pPr>
            <w:r>
              <w:rPr>
                <w:rFonts w:ascii="Times New Roman" w:cs="Times New Roman" w:eastAsia="Times New Roman" w:hAnsi="Times New Roman"/>
                <w:sz w:val="18"/>
                <w:szCs w:val="18"/>
                <w:color w:val="auto"/>
              </w:rPr>
              <w:t>Consolidated Funds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Incentive fees for the Consolidated Funds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487,703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w:t>
      </w:r>
    </w:p>
    <w:p>
      <w:pPr>
        <w:spacing w:after="0" w:line="202"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management and advisory fees,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431,730</w:t>
            </w:r>
          </w:p>
        </w:tc>
      </w:tr>
      <w:tr>
        <w:trPr>
          <w:trHeight w:val="175"/>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Management and advisory fee revenues for the</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Borders>
              <w:bottom w:val="single" w:sz="8" w:color="CCEEFF"/>
            </w:tcBorders>
          </w:tcPr>
          <w:p>
            <w:pPr>
              <w:ind w:left="680"/>
              <w:spacing w:after="0" w:line="243" w:lineRule="exact"/>
              <w:rPr>
                <w:sz w:val="20"/>
                <w:szCs w:val="20"/>
                <w:color w:val="auto"/>
              </w:rPr>
            </w:pPr>
            <w:r>
              <w:rPr>
                <w:rFonts w:ascii="Times New Roman" w:cs="Times New Roman" w:eastAsia="Times New Roman" w:hAnsi="Times New Roman"/>
                <w:sz w:val="18"/>
                <w:szCs w:val="18"/>
                <w:color w:val="auto"/>
              </w:rPr>
              <w:t>Consolidated Funds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management and advisory fees,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555,827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432,571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incentive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r>
      <w:tr>
        <w:trPr>
          <w:trHeight w:val="221"/>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Incentive fee revenues for the Consolidated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5"/>
        </w:trPr>
        <w:tc>
          <w:tcPr>
            <w:tcW w:w="4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Funds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incentive fees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interest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21"/>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income earned by the Consolidated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65"/>
        </w:trPr>
        <w:tc>
          <w:tcPr>
            <w:tcW w:w="4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Funds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30"/>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impact of consolidation of the Consolidated Funds.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100,881</w:t>
            </w:r>
          </w:p>
        </w:tc>
      </w:tr>
      <w:tr>
        <w:trPr>
          <w:trHeight w:val="175"/>
        </w:trPr>
        <w:tc>
          <w:tcPr>
            <w:tcW w:w="410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00" w:type="dxa"/>
            <w:vAlign w:val="bottom"/>
          </w:tcPr>
          <w:p>
            <w:pPr>
              <w:ind w:left="680"/>
              <w:spacing w:after="0" w:line="243" w:lineRule="exact"/>
              <w:rPr>
                <w:sz w:val="20"/>
                <w:szCs w:val="20"/>
                <w:color w:val="auto"/>
              </w:rPr>
            </w:pPr>
            <w:r>
              <w:rPr>
                <w:rFonts w:ascii="Times New Roman" w:cs="Times New Roman" w:eastAsia="Times New Roman" w:hAnsi="Times New Roman"/>
                <w:sz w:val="18"/>
                <w:szCs w:val="18"/>
                <w:color w:val="auto"/>
              </w:rPr>
              <w:t>interests in subsidiaries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(36,398)</w:t>
            </w: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interests in legacy Greenspring entities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investment (income) loss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Impact of Consolidated Funds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w:t>
            </w:r>
          </w:p>
        </w:tc>
      </w:tr>
      <w:tr>
        <w:trPr>
          <w:trHeight w:val="229"/>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41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r>
      <w:tr>
        <w:trPr>
          <w:trHeight w:val="23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w:t>
            </w: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Tax Receivable Agreements adjustments through</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earnings</w:t>
            </w:r>
          </w:p>
        </w:tc>
        <w:tc>
          <w:tcPr>
            <w:tcW w:w="2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ANI</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130,858</w:t>
            </w:r>
          </w:p>
        </w:tc>
      </w:tr>
      <w:tr>
        <w:trPr>
          <w:trHeight w:val="229"/>
        </w:trPr>
        <w:tc>
          <w:tcPr>
            <w:tcW w:w="41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101,677</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w w:val="99"/>
              </w:rPr>
              <w:t>Realized performance fee-related compensation</w:t>
            </w:r>
            <w:r>
              <w:rPr>
                <w:rFonts w:ascii="Times New Roman" w:cs="Times New Roman" w:eastAsia="Times New Roman" w:hAnsi="Times New Roman"/>
                <w:sz w:val="23"/>
                <w:szCs w:val="23"/>
                <w:color w:val="auto"/>
                <w:w w:val="99"/>
                <w:vertAlign w:val="superscript"/>
              </w:rPr>
              <w:t>(5)</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26,266</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Realized investment income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r>
      <w:tr>
        <w:trPr>
          <w:trHeight w:val="270"/>
        </w:trPr>
        <w:tc>
          <w:tcPr>
            <w:tcW w:w="4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Adjusted incentive fees</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(22,843)</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interest income</w:t>
            </w:r>
            <w:r>
              <w:rPr>
                <w:rFonts w:ascii="Times New Roman" w:cs="Times New Roman" w:eastAsia="Times New Roman" w:hAnsi="Times New Roman"/>
                <w:sz w:val="23"/>
                <w:szCs w:val="23"/>
                <w:color w:val="auto"/>
                <w:vertAlign w:val="superscript"/>
              </w:rPr>
              <w:t>(6)</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30"/>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r>
      <w:tr>
        <w:trPr>
          <w:trHeight w:val="230"/>
        </w:trPr>
        <w:tc>
          <w:tcPr>
            <w:tcW w:w="4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Adjusted other (income) loss</w:t>
            </w:r>
            <w:r>
              <w:rPr>
                <w:rFonts w:ascii="Times New Roman" w:cs="Times New Roman" w:eastAsia="Times New Roman" w:hAnsi="Times New Roman"/>
                <w:sz w:val="23"/>
                <w:szCs w:val="23"/>
                <w:color w:val="auto"/>
                <w:vertAlign w:val="superscript"/>
              </w:rPr>
              <w:t>(6)(7)</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175"/>
        </w:trPr>
        <w:tc>
          <w:tcPr>
            <w:tcW w:w="410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680"/>
              <w:spacing w:after="0" w:line="243" w:lineRule="exact"/>
              <w:rPr>
                <w:sz w:val="20"/>
                <w:szCs w:val="20"/>
                <w:color w:val="auto"/>
              </w:rPr>
            </w:pPr>
            <w:r>
              <w:rPr>
                <w:rFonts w:ascii="Times New Roman" w:cs="Times New Roman" w:eastAsia="Times New Roman" w:hAnsi="Times New Roman"/>
                <w:sz w:val="18"/>
                <w:szCs w:val="18"/>
                <w:color w:val="auto"/>
              </w:rPr>
              <w:t>interests in subsidiaries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32,765</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69,528</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36,398</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218,123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138,893</w:t>
            </w: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0" w:hanging="652"/>
        <w:spacing w:after="0" w:line="25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attributable to non-controlling interests in our subsidiaries and realized gains attributable to the profits interests issued in the private wealth subsidiary. Amounts attributable to the profits interests issued in the private wealth subsidiary were $14.1 million and $3.1 million for the three months ended December 31, 2024 and 2023, respectively, and $17.0 million and $3.1 million for the nine months ended December 31, 2024 and 2023, respectively.</w:t>
      </w:r>
    </w:p>
    <w:p>
      <w:pPr>
        <w:spacing w:after="0" w:line="1"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ind w:left="660" w:right="120" w:hanging="652"/>
        <w:spacing w:after="0" w:line="255"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($0.7 million for the three months ended December 31, 2023 and $0.8 million and $0.9 million for the nine months ended December 31, 2024 and 2023, respectively), lease remeasurement adjustments ($(0.1) million for the three and nine months ended December 31, 2023), accelerated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56" w:lineRule="exact"/>
        <w:rPr>
          <w:sz w:val="20"/>
          <w:szCs w:val="20"/>
          <w:color w:val="auto"/>
        </w:rPr>
      </w:pPr>
    </w:p>
    <w:p>
      <w:pPr>
        <w:ind w:left="660" w:right="80"/>
        <w:spacing w:after="0" w:line="253" w:lineRule="auto"/>
        <w:rPr>
          <w:sz w:val="20"/>
          <w:szCs w:val="20"/>
          <w:color w:val="auto"/>
        </w:rPr>
      </w:pPr>
      <w:r>
        <w:rPr>
          <w:rFonts w:ascii="Times New Roman" w:cs="Times New Roman" w:eastAsia="Times New Roman" w:hAnsi="Times New Roman"/>
          <w:sz w:val="18"/>
          <w:szCs w:val="18"/>
          <w:color w:val="auto"/>
        </w:rPr>
        <w:t>depreciation of leasehold improvements for changes in lease terms ($0.6 million and $1.9 million for the three and nine months ended December 31, 2023, respectively), loss on change in fair value for contingent consideration obligation ($2.5 million and $9.1 million for the three months ended December 31, 2024 and 2023, respectively, and $16.3 million and $4.9 million for the nine months ended December 31, 2024 and 2023, respectively), compensation paid to certain employees as part of an acquisition earn-out ($(0.4) million and $0.6 million for the three months ended December 31, 2024 and 2023, respectively, and $0.4 million and $1.7 million for the nine months ended December 31, 2024 and 2023, respectively), gain associated with amounts received as part of negotiations with a third party related to certain corporate matters ($5.3 million for the three and nine months ended December 31, 2023), loss on sale of subsidiary ($0.8 million for the three and nine months ended December 31, 2023) and other non-core operating income and expenses.</w:t>
      </w:r>
    </w:p>
    <w:p>
      <w:pPr>
        <w:spacing w:after="0" w:line="1" w:lineRule="exact"/>
        <w:rPr>
          <w:sz w:val="20"/>
          <w:szCs w:val="20"/>
          <w:color w:val="auto"/>
        </w:rPr>
      </w:pPr>
    </w:p>
    <w:p>
      <w:pPr>
        <w:ind w:left="660" w:right="120" w:hanging="652"/>
        <w:spacing w:after="0" w:line="265" w:lineRule="auto"/>
        <w:tabs>
          <w:tab w:leader="none" w:pos="65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corporate income taxes at a blended statutory rate of 22.3% applied to pre-tax ANI for the three and nine months ended December 31, 2024 and 2023, which is based on a federal statutory rate of 21.0% and a combined state, local and foreign rate net of federal benefits of 1.3%.</w:t>
      </w:r>
    </w:p>
    <w:p>
      <w:pPr>
        <w:ind w:left="660" w:right="20" w:hanging="652"/>
        <w:spacing w:after="0" w:line="250"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carried interest-related compensation expense related to the portion of net carried interest allocation revenue attributable to equity holders of the Company’s consolidated subsidiaries that are not 100% owned ($0.7 million and $2.8 million for the three and nine months ended December 31, 2023, respectively).</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consolidating the Consolidated Funds.</w:t>
      </w:r>
    </w:p>
    <w:p>
      <w:pPr>
        <w:spacing w:after="0" w:line="9" w:lineRule="exact"/>
        <w:rPr>
          <w:rFonts w:ascii="Times New Roman" w:cs="Times New Roman" w:eastAsia="Times New Roman" w:hAnsi="Times New Roman"/>
          <w:sz w:val="18"/>
          <w:szCs w:val="18"/>
          <w:color w:val="auto"/>
        </w:rPr>
      </w:pPr>
    </w:p>
    <w:p>
      <w:pPr>
        <w:ind w:left="660" w:right="140" w:hanging="652"/>
        <w:spacing w:after="0" w:line="253"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for Tax Receivable Agreements adjustments recognized as other income (loss) ($(0.2) million for the three and nine months ended December 31, 2023), gain associated with amounts received as part of negotiations with a third party related to certain corporate matters ($5.3 million for the three and nine months ended December 31, 2023), and loss on sale of subsidiary ($0.8 million for the three and nine months ended December 31,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September 30, 2024 and have not been adjusted to reflect acquisitions or disposals of investments subsequent to that date.</w:t>
      </w:r>
    </w:p>
    <w:p>
      <w:pPr>
        <w:spacing w:after="0" w:line="187"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46"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29"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29"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67"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37"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51"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w:t>
      </w:r>
    </w:p>
    <w:p>
      <w:pPr>
        <w:spacing w:after="0" w:line="229" w:lineRule="exact"/>
        <w:rPr>
          <w:sz w:val="20"/>
          <w:szCs w:val="20"/>
          <w:color w:val="auto"/>
        </w:rPr>
      </w:pPr>
    </w:p>
    <w:p>
      <w:pPr>
        <w:ind w:left="660" w:right="1000" w:hanging="328"/>
        <w:spacing w:after="0" w:line="269"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72"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September 30, 2024;</w:t>
      </w:r>
    </w:p>
    <w:p>
      <w:pPr>
        <w:spacing w:after="0" w:line="146" w:lineRule="exact"/>
        <w:rPr>
          <w:rFonts w:ascii="Times New Roman" w:cs="Times New Roman" w:eastAsia="Times New Roman" w:hAnsi="Times New Roman"/>
          <w:sz w:val="20"/>
          <w:szCs w:val="20"/>
          <w:color w:val="auto"/>
        </w:rPr>
      </w:pPr>
    </w:p>
    <w:p>
      <w:pPr>
        <w:jc w:val="both"/>
        <w:ind w:left="660" w:right="260" w:hanging="328"/>
        <w:spacing w:after="0" w:line="310" w:lineRule="auto"/>
        <w:tabs>
          <w:tab w:leader="none" w:pos="64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“IRR” refers to the annualized internal rate of return for all investments within the relevant investment strategy on an inception-to-date basis as of September 30, 2024 (except as noted otherwise below), based on contributions, distributions and unrealized value;</w:t>
      </w:r>
    </w:p>
    <w:p>
      <w:pPr>
        <w:spacing w:after="0" w:line="12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 and</w:t>
      </w:r>
    </w:p>
    <w:p>
      <w:pPr>
        <w:spacing w:after="0" w:line="229"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EQUITY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shd w:val="clear" w:color="auto" w:fill="CCEEFF"/>
          </w:tcPr>
          <w:p>
            <w:pPr>
              <w:jc w:val="center"/>
              <w:ind w:left="188"/>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6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shd w:val="clear" w:color="auto" w:fill="CCEEFF"/>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60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(1,2,4)</w:t>
            </w:r>
          </w:p>
        </w:tc>
        <w:tc>
          <w:tcPr>
            <w:tcW w:w="9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IRR</w:t>
            </w:r>
            <w:r>
              <w:rPr>
                <w:rFonts w:ascii="Times New Roman" w:cs="Times New Roman" w:eastAsia="Times New Roman" w:hAnsi="Times New Roman"/>
                <w:sz w:val="9"/>
                <w:szCs w:val="9"/>
                <w:b w:val="1"/>
                <w:bCs w:val="1"/>
                <w:color w:val="auto"/>
                <w:w w:val="99"/>
              </w:rPr>
              <w:t>(3)</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TVM</w:t>
            </w:r>
            <w:r>
              <w:rPr>
                <w:rFonts w:ascii="Times New Roman" w:cs="Times New Roman" w:eastAsia="Times New Roman" w:hAnsi="Times New Roman"/>
                <w:sz w:val="9"/>
                <w:szCs w:val="9"/>
                <w:b w:val="1"/>
                <w:bCs w:val="1"/>
                <w:color w:val="auto"/>
              </w:rPr>
              <w:t>(3)</w:t>
            </w: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9"/>
                <w:szCs w:val="9"/>
                <w:b w:val="1"/>
                <w:bCs w:val="1"/>
                <w:color w:val="auto"/>
              </w:rPr>
              <w:t>(3)</w:t>
            </w:r>
          </w:p>
        </w:tc>
        <w:tc>
          <w:tcPr>
            <w:tcW w:w="7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TVM</w:t>
            </w:r>
            <w:r>
              <w:rPr>
                <w:rFonts w:ascii="Times New Roman" w:cs="Times New Roman" w:eastAsia="Times New Roman" w:hAnsi="Times New Roman"/>
                <w:sz w:val="9"/>
                <w:szCs w:val="9"/>
                <w:b w:val="1"/>
                <w:bCs w:val="1"/>
                <w:color w:val="auto"/>
              </w:rPr>
              <w:t>(3)</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(1,4,6)</w:t>
            </w:r>
          </w:p>
        </w:tc>
        <w:tc>
          <w:tcPr>
            <w:tcW w:w="52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9"/>
                <w:szCs w:val="9"/>
                <w:b w:val="1"/>
                <w:bCs w:val="1"/>
                <w:color w:val="auto"/>
              </w:rPr>
              <w:t>(3)</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9"/>
                <w:szCs w:val="9"/>
                <w:b w:val="1"/>
                <w:bCs w:val="1"/>
                <w:color w:val="auto"/>
              </w:rPr>
              <w:t>(1,4,8)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IRR</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90"/>
        </w:trPr>
        <w:tc>
          <w:tcPr>
            <w:tcW w:w="1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900" w:type="dxa"/>
            <w:vAlign w:val="bottom"/>
            <w:tcBorders>
              <w:top w:val="single" w:sz="8" w:color="auto"/>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w w:val="99"/>
              </w:rPr>
              <w:t>14.7%</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1.5x</w:t>
            </w:r>
          </w:p>
        </w:tc>
        <w:tc>
          <w:tcPr>
            <w:tcW w:w="80" w:type="dxa"/>
            <w:vAlign w:val="bottom"/>
            <w:tcBorders>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Core/Core+ fund investments</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1.4x</w:t>
            </w:r>
          </w:p>
        </w:tc>
        <w:tc>
          <w:tcPr>
            <w:tcW w:w="10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Core/debt</w:t>
            </w:r>
          </w:p>
        </w:tc>
        <w:tc>
          <w:tcPr>
            <w:tcW w:w="52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1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5"/>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900" w:type="dxa"/>
            <w:vAlign w:val="bottom"/>
            <w:vMerge w:val="restart"/>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w w:val="99"/>
              </w:rPr>
              <w:t>15.4%</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1.4x</w:t>
            </w:r>
          </w:p>
        </w:tc>
        <w:tc>
          <w:tcPr>
            <w:tcW w:w="80" w:type="dxa"/>
            <w:vAlign w:val="bottom"/>
            <w:vMerge w:val="restart"/>
            <w:shd w:val="clear" w:color="auto" w:fill="CCEEFF"/>
          </w:tcPr>
          <w:p>
            <w:pPr>
              <w:spacing w:after="0"/>
              <w:rPr>
                <w:sz w:val="11"/>
                <w:szCs w:val="11"/>
                <w:color w:val="auto"/>
              </w:rPr>
            </w:pPr>
          </w:p>
        </w:tc>
        <w:tc>
          <w:tcPr>
            <w:tcW w:w="1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Value-add/opportunistic fund</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1.3x</w:t>
            </w:r>
          </w:p>
        </w:tc>
        <w:tc>
          <w:tcPr>
            <w:tcW w:w="100" w:type="dxa"/>
            <w:vAlign w:val="bottom"/>
            <w:vMerge w:val="restart"/>
            <w:shd w:val="clear" w:color="auto" w:fill="CCEEFF"/>
          </w:tcPr>
          <w:p>
            <w:pPr>
              <w:spacing w:after="0"/>
              <w:rPr>
                <w:sz w:val="11"/>
                <w:szCs w:val="11"/>
                <w:color w:val="auto"/>
              </w:rPr>
            </w:pPr>
          </w:p>
        </w:tc>
        <w:tc>
          <w:tcPr>
            <w:tcW w:w="18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Core+/value-add - primary</w:t>
            </w:r>
          </w:p>
        </w:tc>
        <w:tc>
          <w:tcPr>
            <w:tcW w:w="5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Distressed debt</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r>
              <w:rPr>
                <w:rFonts w:ascii="Times New Roman" w:cs="Times New Roman" w:eastAsia="Times New Roman" w:hAnsi="Times New Roman"/>
                <w:sz w:val="18"/>
                <w:szCs w:val="18"/>
                <w:color w:val="auto"/>
                <w:vertAlign w:val="superscript"/>
              </w:rPr>
              <w:t>(7)</w:t>
            </w:r>
          </w:p>
        </w:tc>
        <w:tc>
          <w:tcPr>
            <w:tcW w:w="90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99"/>
              </w:rPr>
              <w:t>15.5%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1.6x</w:t>
            </w:r>
          </w:p>
        </w:tc>
        <w:tc>
          <w:tcPr>
            <w:tcW w:w="80" w:type="dxa"/>
            <w:vAlign w:val="bottom"/>
            <w:vMerge w:val="restart"/>
          </w:tcPr>
          <w:p>
            <w:pPr>
              <w:spacing w:after="0"/>
              <w:rPr>
                <w:sz w:val="11"/>
                <w:szCs w:val="11"/>
                <w:color w:val="auto"/>
              </w:rPr>
            </w:pPr>
          </w:p>
        </w:tc>
        <w:tc>
          <w:tcPr>
            <w:tcW w:w="1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Real estate debt fund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tcPr>
          <w:p>
            <w:pPr>
              <w:spacing w:after="0"/>
              <w:rPr>
                <w:sz w:val="11"/>
                <w:szCs w:val="11"/>
                <w:color w:val="auto"/>
              </w:rPr>
            </w:pPr>
          </w:p>
        </w:tc>
        <w:tc>
          <w:tcPr>
            <w:tcW w:w="1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Core+/value-add - secondary</w:t>
            </w:r>
          </w:p>
        </w:tc>
        <w:tc>
          <w:tcPr>
            <w:tcW w:w="5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1"/>
                <w:szCs w:val="11"/>
                <w:color w:val="auto"/>
              </w:rPr>
            </w:pPr>
          </w:p>
        </w:tc>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(9)</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3"/>
        </w:trPr>
        <w:tc>
          <w:tcPr>
            <w:tcW w:w="14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6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fund investments</w:t>
            </w: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Value-add/opportunistic</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1.2x</w:t>
            </w:r>
          </w:p>
        </w:tc>
        <w:tc>
          <w:tcPr>
            <w:tcW w:w="100" w:type="dxa"/>
            <w:vAlign w:val="bottom"/>
            <w:vMerge w:val="restart"/>
            <w:shd w:val="clear" w:color="auto" w:fill="CCEEFF"/>
          </w:tcPr>
          <w:p>
            <w:pPr>
              <w:spacing w:after="0"/>
              <w:rPr>
                <w:sz w:val="11"/>
                <w:szCs w:val="11"/>
                <w:color w:val="auto"/>
              </w:rPr>
            </w:pPr>
          </w:p>
        </w:tc>
        <w:tc>
          <w:tcPr>
            <w:tcW w:w="1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Core+/value-add - co-</w:t>
            </w:r>
          </w:p>
        </w:tc>
        <w:tc>
          <w:tcPr>
            <w:tcW w:w="52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 &amp; co-investments</w:t>
            </w: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Investment returns reflect NAV data for underlying investments as of September 30, 2024, as reported by underlying managers up to </w:t>
      </w:r>
      <w:r>
        <w:rPr>
          <w:rFonts w:ascii="Times New Roman" w:cs="Times New Roman" w:eastAsia="Times New Roman" w:hAnsi="Times New Roman"/>
          <w:sz w:val="18"/>
          <w:szCs w:val="18"/>
          <w:color w:val="231F20"/>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day occurring on or after 100 </w:t>
      </w:r>
      <w:r>
        <w:rPr>
          <w:rFonts w:ascii="Times New Roman" w:cs="Times New Roman" w:eastAsia="Times New Roman" w:hAnsi="Times New Roman"/>
          <w:sz w:val="18"/>
          <w:szCs w:val="18"/>
          <w:color w:val="000000"/>
        </w:rPr>
        <w:t>days following September 30, 2024. For investment returns where NAV data is not available by</w:t>
      </w:r>
      <w:r>
        <w:rPr>
          <w:rFonts w:ascii="Times New Roman" w:cs="Times New Roman" w:eastAsia="Times New Roman" w:hAnsi="Times New Roman"/>
          <w:sz w:val="18"/>
          <w:szCs w:val="18"/>
          <w:color w:val="231F20"/>
        </w:rPr>
        <w:t xml:space="preserve"> the business day occurring on or after 100 </w:t>
      </w:r>
      <w:r>
        <w:rPr>
          <w:rFonts w:ascii="Times New Roman" w:cs="Times New Roman" w:eastAsia="Times New Roman" w:hAnsi="Times New Roman"/>
          <w:sz w:val="18"/>
          <w:szCs w:val="18"/>
          <w:color w:val="000000"/>
        </w:rPr>
        <w:t>days following September 30, 2024, such NAVs are adjusted for cash activity following the last available reported NAV.</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231F20"/>
        </w:rPr>
      </w:pPr>
    </w:p>
    <w:p>
      <w:pPr>
        <w:ind w:left="660" w:hanging="652"/>
        <w:spacing w:after="0" w:line="252"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includes 2,783 investments totaling $202.4 billion of capital commitments and excludes (i) two advisory co-investments, totaling $100.0 million of capital commitments, (ii) 236 client-directed private equity investments, totaling $32.0 billion of capital commitments, and (iii) investments for which StepStone does not provide monitoring and reporting services to the client that made the investment. Private equity includes buyout, venture capital, growth equity, fund-of-funds, and energy focused strategies. StepStone’s venture capital and growth equity strategy is composed of a) venture capital and growth equity focused commingled funds and separately managed accounts (the “StepStone VC Platform”) and b) underlying venture capital and growth equity investments within StepStone’s broader private equity funds.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56" w:lineRule="exact"/>
        <w:rPr>
          <w:sz w:val="20"/>
          <w:szCs w:val="20"/>
          <w:color w:val="auto"/>
        </w:rPr>
      </w:pPr>
    </w:p>
    <w:p>
      <w:pPr>
        <w:ind w:left="652" w:right="140" w:hanging="652"/>
        <w:spacing w:after="0" w:line="254" w:lineRule="auto"/>
        <w:tabs>
          <w:tab w:leader="none" w:pos="6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IRR and Net TVM are presented solely for illustrative purposes and do not represent actual returns received by any investor in any of the StepStone Funds represented above and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3" w:lineRule="exact"/>
        <w:rPr>
          <w:rFonts w:ascii="Times New Roman" w:cs="Times New Roman" w:eastAsia="Times New Roman" w:hAnsi="Times New Roman"/>
          <w:sz w:val="18"/>
          <w:szCs w:val="18"/>
          <w:color w:val="auto"/>
        </w:rPr>
      </w:pPr>
    </w:p>
    <w:p>
      <w:pPr>
        <w:ind w:left="1292" w:right="200" w:hanging="644"/>
        <w:spacing w:after="0" w:line="250" w:lineRule="auto"/>
        <w:tabs>
          <w:tab w:leader="none" w:pos="127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ind w:left="1292" w:right="80" w:hanging="644"/>
        <w:spacing w:after="0" w:line="250" w:lineRule="auto"/>
        <w:tabs>
          <w:tab w:leader="none" w:pos="128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management fee: 125 basis points, 125 basis points and 95 basis points of capital commitments for private equity, real estate and infrastructure, respectively, in years 1 through 4 for management fees, charged quarterly. In year 5, management fees step down to 90% of the previous year’s fee; 65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292" w:hanging="644"/>
        <w:spacing w:after="0" w:line="250" w:lineRule="auto"/>
        <w:tabs>
          <w:tab w:leader="none" w:pos="12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management fee: 100 basis points of net committed capital for private equity and real estate; 85 and 50 basis points of net committed capital for infrastructure co-investments and direct asset management investments, respectively; 65 basis points of net asset value for private debt; 200 basis points of net invested capital for the StepStone VC Platform.</w:t>
      </w:r>
    </w:p>
    <w:p>
      <w:pPr>
        <w:spacing w:after="0" w:line="1" w:lineRule="exact"/>
        <w:rPr>
          <w:rFonts w:ascii="Times New Roman" w:cs="Times New Roman" w:eastAsia="Times New Roman" w:hAnsi="Times New Roman"/>
          <w:sz w:val="18"/>
          <w:szCs w:val="18"/>
          <w:color w:val="auto"/>
        </w:rPr>
      </w:pPr>
    </w:p>
    <w:p>
      <w:pPr>
        <w:ind w:left="1292" w:right="880" w:hanging="644"/>
        <w:spacing w:after="0" w:line="250" w:lineRule="auto"/>
        <w:tabs>
          <w:tab w:leader="none" w:pos="127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ind w:left="1292" w:hanging="644"/>
        <w:spacing w:after="0"/>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secondaries and co-investments include 12.5% and 10.0% of paid and unrealized carry, respectively, with an 8.0%</w:t>
      </w:r>
    </w:p>
    <w:p>
      <w:pPr>
        <w:spacing w:after="0" w:line="9" w:lineRule="exact"/>
        <w:rPr>
          <w:sz w:val="20"/>
          <w:szCs w:val="20"/>
          <w:color w:val="auto"/>
        </w:rPr>
      </w:pPr>
    </w:p>
    <w:p>
      <w:pPr>
        <w:ind w:left="1292" w:right="200"/>
        <w:spacing w:after="0" w:line="250" w:lineRule="auto"/>
        <w:rPr>
          <w:sz w:val="20"/>
          <w:szCs w:val="20"/>
          <w:color w:val="auto"/>
        </w:rPr>
      </w:pPr>
      <w:r>
        <w:rPr>
          <w:rFonts w:ascii="Times New Roman" w:cs="Times New Roman" w:eastAsia="Times New Roman" w:hAnsi="Times New Roman"/>
          <w:sz w:val="18"/>
          <w:szCs w:val="18"/>
          <w:color w:val="auto"/>
        </w:rPr>
        <w:t>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spacing w:after="0" w:line="2" w:lineRule="exact"/>
        <w:rPr>
          <w:sz w:val="20"/>
          <w:szCs w:val="20"/>
          <w:color w:val="auto"/>
        </w:rPr>
      </w:pPr>
    </w:p>
    <w:p>
      <w:pPr>
        <w:ind w:left="652" w:right="340"/>
        <w:spacing w:after="0" w:line="250" w:lineRule="auto"/>
        <w:rPr>
          <w:sz w:val="20"/>
          <w:szCs w:val="20"/>
          <w:color w:val="auto"/>
        </w:rPr>
      </w:pPr>
      <w:r>
        <w:rPr>
          <w:rFonts w:ascii="Times New Roman" w:cs="Times New Roman" w:eastAsia="Times New Roman" w:hAnsi="Times New Roman"/>
          <w:sz w:val="18"/>
          <w:szCs w:val="18"/>
          <w:color w:val="auto"/>
        </w:rPr>
        <w:t>Net IRR and Net TVM for certain investments may have been impacted by StepStone’s, or the underlying fund manager’s, use of subscription backed credit facilities by such vehicles. Reinvested/recycled amounts increase contributed capital.</w:t>
      </w:r>
    </w:p>
    <w:p>
      <w:pPr>
        <w:spacing w:after="0" w:line="1" w:lineRule="exact"/>
        <w:rPr>
          <w:sz w:val="20"/>
          <w:szCs w:val="20"/>
          <w:color w:val="auto"/>
        </w:rPr>
      </w:pPr>
    </w:p>
    <w:p>
      <w:pPr>
        <w:ind w:left="652" w:right="40" w:hanging="652"/>
        <w:spacing w:after="0" w:line="250" w:lineRule="auto"/>
        <w:tabs>
          <w:tab w:leader="none" w:pos="6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former clients are included in performance summary past the client termination date until such time as StepStone stops receiving current investment data (quarterly valuations and cash flows) for the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52" w:right="60" w:hanging="652"/>
        <w:spacing w:after="0" w:line="250" w:lineRule="auto"/>
        <w:tabs>
          <w:tab w:leader="none" w:pos="6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474 investments totaling $81.6 billion of capital commitments and excludes (i) 88 client-directed real estate investments, totaling $14.1 billion of capital commitments, (ii) 18 secondary/co-investment core/core+ or credit investments, totaling $1.1 billion of capital commitments, (iii) four advisory fund investments totaling $463.6 million of capital commitments, and (iv)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52" w:right="160" w:hanging="652"/>
        <w:spacing w:after="0" w:line="250" w:lineRule="auto"/>
        <w:tabs>
          <w:tab w:leader="none" w:pos="6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276 investments totaling $59.6 billion of capital commitments and excludes (i) 8 infrastructure investments made by the Partnership prior to the formation of the infrastructure subsidiary in 2013 or made prior to StepStone’s acquisition of Courtland Partners, Ltd. on April 1, 2018 (the “Courtland acquisition”), totaling $501.9 million of capital commitments, (ii) 34 client-directed infrastructure investments, totaling $6.9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include venture capital and growth equity direct investments for private equity.</w:t>
      </w:r>
    </w:p>
    <w:p>
      <w:pPr>
        <w:spacing w:after="0" w:line="9" w:lineRule="exact"/>
        <w:rPr>
          <w:rFonts w:ascii="Times New Roman" w:cs="Times New Roman" w:eastAsia="Times New Roman" w:hAnsi="Times New Roman"/>
          <w:sz w:val="18"/>
          <w:szCs w:val="18"/>
          <w:color w:val="auto"/>
        </w:rPr>
      </w:pPr>
    </w:p>
    <w:p>
      <w:pPr>
        <w:ind w:left="652" w:right="20" w:hanging="652"/>
        <w:spacing w:after="0" w:line="250" w:lineRule="auto"/>
        <w:tabs>
          <w:tab w:leader="none" w:pos="6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1,027 investments totaling $53.6 billion of capital commitments and excludes (i) 42 client-directed debt investments, totaling $3.2 billion of capital commitments, (ii) 49 real estate credit investments that were recommended by Courtland Partners, Ltd. prior to the Courtland acquisition, totaling $5.1 billion of capital commitments, and (iii) investments for which StepStone does not provide monitoring and reporting services to the client that made the investment.</w:t>
      </w:r>
    </w:p>
    <w:p>
      <w:pPr>
        <w:spacing w:after="0" w:line="1" w:lineRule="exact"/>
        <w:rPr>
          <w:rFonts w:ascii="Times New Roman" w:cs="Times New Roman" w:eastAsia="Times New Roman" w:hAnsi="Times New Roman"/>
          <w:sz w:val="18"/>
          <w:szCs w:val="18"/>
          <w:color w:val="auto"/>
        </w:rPr>
      </w:pPr>
    </w:p>
    <w:p>
      <w:pPr>
        <w:ind w:left="652" w:right="220" w:hanging="652"/>
        <w:spacing w:after="0" w:line="260" w:lineRule="auto"/>
        <w:tabs>
          <w:tab w:leader="none" w:pos="6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mezzanine debt, collateralized loan obligations, leasing, regulatory capital, trade finance, intellectual property/royalty, real estate debt and infrastructure debt.</w:t>
      </w:r>
    </w:p>
    <w:p>
      <w:pPr>
        <w:spacing w:after="0" w:line="200" w:lineRule="exact"/>
        <w:rPr>
          <w:sz w:val="20"/>
          <w:szCs w:val="20"/>
          <w:color w:val="auto"/>
        </w:rPr>
      </w:pPr>
    </w:p>
    <w:p>
      <w:pPr>
        <w:spacing w:after="0" w:line="3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79" w:name="page80"/>
    <w:bookmarkEnd w:id="79"/>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2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and other borrowing arrangements, (d) funding capital commitments to our funds, and (e) funding our growth initiatives, including capital expenditures for property, equipment, and acquisitions to expand into new businesses.</w:t>
      </w:r>
    </w:p>
    <w:p>
      <w:pPr>
        <w:spacing w:after="0" w:line="173" w:lineRule="exact"/>
        <w:rPr>
          <w:sz w:val="20"/>
          <w:szCs w:val="20"/>
          <w:color w:val="auto"/>
        </w:rPr>
      </w:pPr>
    </w:p>
    <w:p>
      <w:pPr>
        <w:ind w:right="720" w:firstLine="648"/>
        <w:spacing w:after="0" w:line="239" w:lineRule="auto"/>
        <w:rPr>
          <w:sz w:val="20"/>
          <w:szCs w:val="20"/>
          <w:color w:val="auto"/>
        </w:rPr>
      </w:pPr>
      <w:r>
        <w:rPr>
          <w:rFonts w:ascii="Times New Roman" w:cs="Times New Roman" w:eastAsia="Times New Roman" w:hAnsi="Times New Roman"/>
          <w:sz w:val="20"/>
          <w:szCs w:val="20"/>
          <w:color w:val="auto"/>
        </w:rPr>
        <w:t>As of December 31, 2024, we had $223.8 million of cash, cash equivalents and restricted cash ($279.5 million including Consolidated Funds) and $1,647.3 million of investments in StepStone Funds, including $1,474.5 million of accrued carried interest allocations, against $168.9 million in debt obligations, net of debt issuance costs ($176.9 million including Consolidated Funds), and $730.2 million in accrued carried interest-related compensation payable.</w:t>
      </w:r>
    </w:p>
    <w:p>
      <w:pPr>
        <w:spacing w:after="0" w:line="19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and to make investments in the StepStone Funds. We believe we will have sufficient cash flows to meet our liquidity and capital resources requirements for the next 12 months.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33"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19"/>
          <w:szCs w:val="19"/>
          <w:color w:val="auto"/>
        </w:rPr>
        <w:t>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153,893</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(38,264)</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(67,237)</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r>
      <w:tr>
        <w:trPr>
          <w:trHeight w:val="248"/>
        </w:trPr>
        <w:tc>
          <w:tcPr>
            <w:tcW w:w="7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20" w:lineRule="exact"/>
        <w:rPr>
          <w:sz w:val="20"/>
          <w:szCs w:val="20"/>
          <w:color w:val="auto"/>
        </w:rPr>
      </w:pPr>
    </w:p>
    <w:p>
      <w:pPr>
        <w:ind w:right="340" w:firstLine="648"/>
        <w:spacing w:after="0" w:line="310" w:lineRule="auto"/>
        <w:rPr>
          <w:sz w:val="20"/>
          <w:szCs w:val="20"/>
          <w:color w:val="auto"/>
        </w:rPr>
      </w:pPr>
      <w:r>
        <w:rPr>
          <w:rFonts w:ascii="Times New Roman" w:cs="Times New Roman" w:eastAsia="Times New Roman" w:hAnsi="Times New Roman"/>
          <w:sz w:val="19"/>
          <w:szCs w:val="19"/>
          <w:color w:val="auto"/>
        </w:rPr>
        <w:t>Operating activities provided $131.5 million and $153.9 million of cash for the nine months ended December 31, 2024 and 2023, respectively. For the nine months ended December 31, 2024 and 2023, respectively, these amounts primarily consisted of the following: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51" w:lineRule="exact"/>
        <w:rPr>
          <w:sz w:val="20"/>
          <w:szCs w:val="20"/>
          <w:color w:val="auto"/>
        </w:rPr>
      </w:pPr>
    </w:p>
    <w:p>
      <w:pPr>
        <w:ind w:left="980" w:hanging="324"/>
        <w:spacing w:after="0" w:line="258" w:lineRule="auto"/>
        <w:tabs>
          <w:tab w:leader="none" w:pos="96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after adjustments for non-cash items (including unrealized mark-to-market changes in the fair value of the profits interests issued in the private wealth subsidiary, unrealized carried interest allocations, unrealized performance fee-related compensation, unrealized investment (income) loss and acquisition-related contingent consideration), of $293.0 million and $189.0 million;</w:t>
      </w:r>
    </w:p>
    <w:p>
      <w:pPr>
        <w:spacing w:after="0" w:line="17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$27.3 million and $43.8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unrealized investment income from Consolidated Funds of $28.1 million and $21.0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$160.5 million and $58.2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$(0.2) million and $0.3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20" w:lineRule="exact"/>
        <w:rPr>
          <w:sz w:val="20"/>
          <w:szCs w:val="20"/>
          <w:color w:val="auto"/>
        </w:rPr>
      </w:pPr>
    </w:p>
    <w:p>
      <w:pPr>
        <w:ind w:right="600" w:firstLine="648"/>
        <w:spacing w:after="0" w:line="283" w:lineRule="auto"/>
        <w:rPr>
          <w:sz w:val="20"/>
          <w:szCs w:val="20"/>
          <w:color w:val="auto"/>
        </w:rPr>
      </w:pPr>
      <w:r>
        <w:rPr>
          <w:rFonts w:ascii="Times New Roman" w:cs="Times New Roman" w:eastAsia="Times New Roman" w:hAnsi="Times New Roman"/>
          <w:sz w:val="20"/>
          <w:szCs w:val="20"/>
          <w:color w:val="auto"/>
        </w:rPr>
        <w:t>Investing activities used $36.7 million and $38.3 million of cash for the nine months ended December 31, 2024 and 2023, respectively, and primarily consisted of the following amounts:</w:t>
      </w:r>
    </w:p>
    <w:p>
      <w:pPr>
        <w:spacing w:after="0" w:line="160" w:lineRule="exact"/>
        <w:rPr>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$37.8 million and $12.9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in legacy Greenspring entities of $3.6 million and $6.7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$2.4 million and $18.7 million.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3"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Financing activities provided (used) $2.6 million and $(67.2) million of cash for the nine months ended December 31, 2024 and 2023, respectively, and primarily consisted of the following:</w:t>
      </w:r>
    </w:p>
    <w:p>
      <w:pPr>
        <w:spacing w:after="0" w:line="146" w:lineRule="exact"/>
        <w:rPr>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borrowings (repayments) on revolving credit facility of $(150.0) million and $25.0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issuance of notes payable of $175.0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of $5.4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$96.9 million and $71.5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non-controlling interests of $5.4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of non-controlling interests of $0 million and $3.0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of redeemable non-controlling interests of $13.0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$19.2 million and $8.8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$29.6 million and $6.7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$57.6 million and $55.0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for employee taxes related to the net settlement of RSUs of $1.1 million and $0.6 million;</w:t>
      </w:r>
    </w:p>
    <w:p>
      <w:pPr>
        <w:sectPr>
          <w:pgSz w:w="11900" w:h="16838" w:orient="portrait"/>
          <w:cols w:equalWidth="0" w:num="1">
            <w:col w:w="10900"/>
          </w:cols>
          <w:pgMar w:left="320" w:top="1440" w:right="67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type w:val="continuous"/>
        </w:sectPr>
      </w:pPr>
    </w:p>
    <w:bookmarkStart w:id="81" w:name="page82"/>
    <w:bookmarkEnd w:id="81"/>
    <w:p>
      <w:pPr>
        <w:spacing w:after="0" w:line="351" w:lineRule="exact"/>
        <w:rPr>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issuance of Class A common stock under ESPP of $1.1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$9.8 million and $10.3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borrowings on fund credit facility of $7.9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$169.9 million and $40.0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redemptions of redeemable non-controlling interests in Consolidated Funds of $8.8 million and $0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2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0"/>
          <w:szCs w:val="20"/>
          <w:color w:val="auto"/>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administrative agent and collateral agent, and certain other lenders party thereto and provides for a $300.0 million multicurrency Revolver. As of December 31, 2024, there were no amounts outstanding on the Revolver.</w:t>
      </w:r>
    </w:p>
    <w:p>
      <w:pPr>
        <w:spacing w:after="0" w:line="17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w:t>
      </w:r>
    </w:p>
    <w:p>
      <w:pPr>
        <w:spacing w:after="0" w:line="20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81"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December 31, 2024, we had outstanding letters of credit totaling $6.5 million.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2" w:name="page83"/>
    <w:bookmarkEnd w:id="82"/>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33"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pursuant to the Note Purchase Agreement, dated as of October 22, 2024, in a private placement exempt from registration under the Securities Act.</w:t>
      </w:r>
    </w:p>
    <w:p>
      <w:pPr>
        <w:spacing w:after="0" w:line="1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will be payable semi-annually in arrears on April 22 and October 22 of each year, commencing on April 22, 2025. Interest on the Notes will accrue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Obligations of Consolidated Funds</w:t>
      </w:r>
    </w:p>
    <w:p>
      <w:pPr>
        <w:spacing w:after="0" w:line="233"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us.</w:t>
      </w:r>
    </w:p>
    <w:p>
      <w:pPr>
        <w:spacing w:after="0" w:line="17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 December 2024, one of our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December 31, 2024, the outstanding balance on the Fund Credit Facility was $7.9 million and is presented within other liabilities of Consolidated Funds in the condensed consolidated balance sheets. The outstanding borrowings under the Fund Credit Facility mature in June 2025.</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 The weighted-average interest rate in effect for the Fund Credit Facility as of December 31, 2024 was 5.65%.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Covenants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us to maintain a total net leverage ratio, and a minimum total of fee-earning assets under management. As of December 31, 2024, we were in compliance with the total net leverage ratio and minimum fee-earning assets under management covenants.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35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Note Purchase Agreement contains certain covenants, including those requiring us to (a) maintain a total net leverage ratio, (b) maintain a minimum total of fee-earning assets under management, (c) cause at least 80% of all management fees payable by material subsidiaries to us to be collected each period without deferral, waiver or reduction, (d) limit the amount of secured indebtedness to be incurred by us,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2024, we were in compliance with the covenants under our various debt agreements.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3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In June 2024, we issued 1,731,807 shares of Class A common stock to certain limited partners of the Partnership in exchange for 1,731,807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71,766 shares of Class A common stock to certain limited partners of the Partnership in exchange for 71,766 Class C units of the Partnership pursuant to the Class C Exchange Agreement, and a corresponding number of Class A units of the partnership were issued to us.</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September 2024, we conducted an underwritten public offering of 4,099,997 shares of Class A common stock (the “September 2024 Offering”) at a public offering price of $50.00 per share. We used all of the net proceeds from the offering, after underwriting discounts and commissions and expenses, to purchase (i) 300,000 shares of our Class A common stock from certain selling stockholders, (ii) 3,094,981 Class B units of the Partnership from certain holders thereof, including certain of our directors and executive officers, and (iii) 705,016 Class C units of the Partnership from certain holders thereof. 3,094,981 shares of Class B common stock were automatically redeemed at par value and canceled in connection with such exchange and 3,799,997 Class A units of the Partnership were issued to us.</w:t>
      </w:r>
    </w:p>
    <w:p>
      <w:pPr>
        <w:spacing w:after="0" w:line="192"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Also in September 2024, we issued 312,112 shares of Class A common stock to certain limited partners of the Partnership in exchange for 312,112 Class B units of the Partnership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34,027 shares of Class A common stock to certain limited partners of the Partnership in exchange for 34,027 Class C units of the Partnership pursuant to the Class C Exchange Agreement, and a corresponding number of Class A units of the partnership were issued to us.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35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In December 2024, we issued 2,354,788 shares of Class A common stock to certain limited partners of the Partnership in exchange for 2,354,788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75,642 shares of Class A common stock to certain limited partners of the Partnership in exchange for 75,642 Class C units of the Partnership in accordance with the elective exchange notices submitted pursuant to the Class C Exchange Agreement, and a corresponding number of Class A units of the Partnership were issued to us. We also issued 729,449 shares of Class A common stock to certain limited partners of the Partnership in exchange for 729,449 Class D units of the Partnership in accordance with the elective exchange notices submitted pursuant to the Class D Exchange Agreement, and a corresponding number of Class A units of the Partnership were issued to us.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 and Distribution Policy</w:t>
      </w:r>
    </w:p>
    <w:p>
      <w:pPr>
        <w:spacing w:after="0" w:line="220"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On February 6, 2025, we announced a dividend of $0.24 per share of Class A common stock, payable on March 14, 2025 to holders of record at the close of business on February 28, 2025.</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cash quarterly dividends on Class A common shares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3</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1"/>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 2023.</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 2024.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351"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Contingent Earn-out Payment</w:t>
      </w:r>
    </w:p>
    <w:p>
      <w:pPr>
        <w:spacing w:after="0" w:line="23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In connection with the Greenspring acquisition, the transaction agreement provides for the payment of an earn-out of up to $75.0 million payable in calendar year 2025, subject to the achievement of certain management fee revenue targets for calendar year 2024. As of December 31, 2024, the fair value of the contingent earn-out liability was $67.4 million. In accordance with the contingent consideration arrangement, a portion of the contingent earn-out liability otherwise payable to the sellers included amounts paid to certain of our employees and former employees during the three months ended December 31, 2024. As a result, the contingent consideration liability is recorded net of the amounts paid. We expect to make payment of the contingent earn-out prior to the end of fiscal 2025. See note 6 to our condensed consolidated financial statements included elsewhere in this quarterly report for more information on the contingent consideration obligation.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Option Agreement Payment</w:t>
      </w:r>
    </w:p>
    <w:p>
      <w:pPr>
        <w:spacing w:after="0" w:line="233"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9"/>
          <w:szCs w:val="19"/>
          <w:color w:val="auto"/>
        </w:rPr>
        <w:t>In November 2022, we entered into arrangements with the SPW management team (the “Private Wealth Transaction”) under which certain members of the SPW team received a profits interest in SPW and concurrently entered into an option agreement which provides that</w:t>
      </w:r>
    </w:p>
    <w:p>
      <w:pPr>
        <w:spacing w:after="0" w:line="2" w:lineRule="exact"/>
        <w:rPr>
          <w:sz w:val="20"/>
          <w:szCs w:val="20"/>
          <w:color w:val="auto"/>
        </w:rPr>
      </w:pPr>
    </w:p>
    <w:p>
      <w:pPr>
        <w:ind w:right="120" w:firstLine="8"/>
        <w:spacing w:after="0" w:line="250" w:lineRule="auto"/>
        <w:tabs>
          <w:tab w:leader="none" w:pos="23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As of December 31, 2024, based on the fair value of the liability classified awards, the estimated minimum and maximum amount of cash that would be potentially payable under the Private Wealth Transaction was $136.0 million and $544.2 million, respectively. The assumptions used in the fair value analysis are inherently subjective; therefore, the ultimate settlement amount for the liability classified awards may differ materially from the current estimate.</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ind w:right="340" w:firstLine="648"/>
        <w:spacing w:after="0" w:line="254"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w:t>
      </w:r>
    </w:p>
    <w:p>
      <w:pPr>
        <w:spacing w:after="0" w:line="164" w:lineRule="exact"/>
        <w:rPr>
          <w:sz w:val="20"/>
          <w:szCs w:val="20"/>
          <w:color w:val="auto"/>
        </w:rPr>
      </w:pPr>
    </w:p>
    <w:p>
      <w:pPr>
        <w:ind w:right="100" w:firstLine="648"/>
        <w:spacing w:after="0" w:line="310" w:lineRule="auto"/>
        <w:rPr>
          <w:sz w:val="20"/>
          <w:szCs w:val="20"/>
          <w:color w:val="auto"/>
        </w:rPr>
      </w:pPr>
      <w:r>
        <w:rPr>
          <w:rFonts w:ascii="Times New Roman" w:cs="Times New Roman" w:eastAsia="Times New Roman" w:hAnsi="Times New Roman"/>
          <w:sz w:val="19"/>
          <w:szCs w:val="19"/>
          <w:color w:val="auto"/>
        </w:rPr>
        <w:t>See note 2 to our condensed consolidated financial statements included elsewhere in this quarterly report, and note 2 to our audited consolidated financial statements in our Form 10-K for the year ended March 31, 2024 for a summary of our significant accounting policies.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33"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condensed consolidated financial statements included elsewhere in this quarterly report.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0"/>
          <w:szCs w:val="20"/>
          <w:color w:val="auto"/>
        </w:rPr>
        <w:t>Our management fee and advisory fee revenue is only marginally affected by changes in investment values because our management fees are generally based on commitments or net invested capital and our advisory fees are fixed. As of December 31, 2024, and March 31, 2024, NAV-based management fees represented approximately 12% and 9%, respectively, of total net management and advisory fees. We estimate that a 10% decline in market values of the investments held in our funds as of December 31, 2024 and March 31, 2024, would result in an approximate decrease to annual management fees of $9.3 million and $5.8 million, respectively.</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351" w:lineRule="exact"/>
        <w:rPr>
          <w:sz w:val="20"/>
          <w:szCs w:val="20"/>
          <w:color w:val="auto"/>
        </w:rPr>
      </w:pPr>
    </w:p>
    <w:p>
      <w:pPr>
        <w:ind w:left="660" w:right="240" w:hanging="328"/>
        <w:spacing w:after="0" w:line="253"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December 31, 2024 and March 31, 2024, we had $22.8 million and $20.5 million, respectively, of deferred incentive fee revenue recorded in accounts payable, accrued expenses and other liabilities in the condensed consolidated balance sheets.</w:t>
      </w:r>
    </w:p>
    <w:p>
      <w:pPr>
        <w:spacing w:after="0" w:line="191" w:lineRule="exact"/>
        <w:rPr>
          <w:rFonts w:ascii="Times New Roman" w:cs="Times New Roman" w:eastAsia="Times New Roman" w:hAnsi="Times New Roman"/>
          <w:sz w:val="20"/>
          <w:szCs w:val="20"/>
          <w:color w:val="auto"/>
        </w:rPr>
      </w:pPr>
    </w:p>
    <w:p>
      <w:pPr>
        <w:ind w:left="660" w:hanging="328"/>
        <w:spacing w:after="0" w:line="262" w:lineRule="auto"/>
        <w:tabs>
          <w:tab w:leader="none" w:pos="64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are paid to employees as carried interest-related compensation, the overall net impact to our income would be mitigated by lower compensation payments. As of December 31, 2024, and March 31, 2024, the maximum amount of carried interest allocations (excluding legacy Greenspring carried interest allocations) subject to contingent repayment, net of tax, was an estimated</w:t>
      </w:r>
    </w:p>
    <w:p>
      <w:pPr>
        <w:spacing w:after="0" w:line="8" w:lineRule="exact"/>
        <w:rPr>
          <w:rFonts w:ascii="Times New Roman" w:cs="Times New Roman" w:eastAsia="Times New Roman" w:hAnsi="Times New Roman"/>
          <w:sz w:val="19"/>
          <w:szCs w:val="19"/>
          <w:color w:val="auto"/>
        </w:rPr>
      </w:pPr>
    </w:p>
    <w:p>
      <w:pPr>
        <w:ind w:left="660" w:right="2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$317.2 million and $287.5 million, respectively, assuming the fair value of all investments was zero, a possibility that we view as remote. The primary driver for the change in the contingent repayment between periods is due to additional carried interest allocation realizations in fiscal 2025 that are potentially subject to clawback.</w:t>
      </w:r>
    </w:p>
    <w:p>
      <w:pPr>
        <w:spacing w:after="0" w:line="193" w:lineRule="exact"/>
        <w:rPr>
          <w:rFonts w:ascii="Times New Roman" w:cs="Times New Roman" w:eastAsia="Times New Roman" w:hAnsi="Times New Roman"/>
          <w:sz w:val="19"/>
          <w:szCs w:val="19"/>
          <w:color w:val="auto"/>
        </w:rPr>
      </w:pPr>
    </w:p>
    <w:p>
      <w:pPr>
        <w:ind w:left="660" w:right="100" w:hanging="328"/>
        <w:spacing w:after="0" w:line="258"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December 31, 2024 and March 31, 2024, we estimate that a 10% decline in fair value of the investments in funds would result in a decrease in investment income of $17.3 million and $13.5 million, respectively.</w:t>
      </w:r>
    </w:p>
    <w:p>
      <w:pPr>
        <w:spacing w:after="0" w:line="16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w:t>
      </w:r>
    </w:p>
    <w:p>
      <w:pPr>
        <w:spacing w:after="0" w:line="17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As of December 31, 2024, we had $175.0 million in borrowings outstanding under our Notes and no amount outstanding under our Revolver. As of March 31, 2024, we had $150.0 million in borrowings outstanding under our Revolver and no amount outstanding under our Notes. The Revolver accrues interest at a variable rate, and the Notes accrue interest at a fixed rate of 5.52%. As of December 31, 2024 and March 31, 2024, we estimate that interest expense would increase by $1.8 million and $1.5 million, respectively, on an annualized basis as a result of a 100 basis point increase in interest rates. Based on the $223.8 million and $144.1 million of cash, cash equivalents and restricted cash (excluding Consolidated Funds) as of December 31, 2024 and March 31, 2024, we estimate that interest income would increase by $2.2 million and $1.4 million, respectively, on an annualized basis as a result of a 100 basis point increase in interest rates.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20"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Disclosure Controls and Procedures</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9" w:name="page90"/>
    <w:bookmarkEnd w:id="89"/>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Changes in Internal Controls over Financial Reporting</w:t>
      </w:r>
    </w:p>
    <w:p>
      <w:pPr>
        <w:spacing w:after="0" w:line="233"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December 31, 2024, that have materially affected, or are reasonably likely to materially affect, our internal control over financial reporting.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II—OTHER INFORMATION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33" w:lineRule="exact"/>
        <w:rPr>
          <w:sz w:val="20"/>
          <w:szCs w:val="20"/>
          <w:color w:val="auto"/>
        </w:rPr>
      </w:pPr>
    </w:p>
    <w:p>
      <w:pPr>
        <w:jc w:val="both"/>
        <w:ind w:right="62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Part II, Item 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Reference is made to Part I, Item 1A, “Risk Factors” included in our annual report on Form 10-K for the fiscal year ended March 31, 2024 (the “2024 Form 10-K”) for information concerning risk factors. Except as set forth below, there have been no material changes with respect to the risk factors disclosed in the 2024 Form 10-K. The risk factors set forth below update, and should be read together with, the risk factors in our 2024 Form 10-K. You should carefully consider such factors, which could materially and adversely affect our business, financial condition, and/or results of operations. The risks described in this Form 10-Q and the 2024 Form 10-K are not the only risks we face. Additional risks and uncertainties not currently known to us or that we currently deem to be immaterial also may materially and adversely affect our business, financial condition, and/or results of operations.</w:t>
      </w:r>
    </w:p>
    <w:p>
      <w:pPr>
        <w:spacing w:after="0" w:line="175"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w:t>
      </w:r>
    </w:p>
    <w:p>
      <w:pPr>
        <w:spacing w:after="0" w:line="17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The global financial markets and business climate have recently deteriorated and may continue to deteriorate, including due to continued rising interest rates, ongoing high inflation, reduced availability of credit, regional and international bank failures, changes in laws and regulation, trade policies, terrorism or political uncertainty, war (including the ongoing Russia-Ukraine and Middle East conflicts), and potential recession. For example, while inflation in the U.S. has stabilized, it remains higher than pandemic lows and could increase, and heightened competition for workers, supply chain issues and rising energy and commodity prices have contributed to increasing wages and other inputs, which may put pressure on the profit margins of portfolio companies within our private market funds. Additionally, volatility and disruption in the equity and credit markets can adversely affect the portfolio companies in which private markets funds invest and adversely affect the investment performance of the StepStone Funds and advisory accounts.</w:t>
      </w:r>
    </w:p>
    <w:p>
      <w:pPr>
        <w:spacing w:after="0" w:line="1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extent and impact of any sanctions imposed in connection with geopolitical conflicts may also cause additional financial market volatility and impact the global economy. For example, sanctions related to Russia’s invasion of Ukraine or potential measures targeting other regions can disrupt global trade and supply chains. Additionally, recently the U.S. has instituted new economic and trade sanctions against China, in response to which China issued countermeasures against U.S. companies. The restrictions on investment in and trade with China may have a negative effect on some of our portfolio companies along with creating weakness in the global economy.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35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Our ability to manage our exposure to market conditions is limited. Market deterioration could cause us, the StepStone Funds we manage or the funds in which they invest to experience reduced liquidity, earnings and cash flow, recognize impairment charges, or face challenges in raising additional capital, obtaining investment financing and making investments on attractive terms. Adverse market conditions can also affect our ability and the ability of funds in which we and our clients invest to liquidate positions in a timely and efficient manner. More costly and restrictive financing also may adversely affect the investment returns of our co-investments in leveraged buyout transactions and, therefore, adversely affect the results of operations and financial condition of our co-investment funds.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Our business may generate lower revenue as a result of recent and prospective economic contractions, decreases in equity markets and tightening of global credit markets. These events may result in reduced opportunities to find suitable investments and make it more difficult for us, or for the funds in which we and our clients invest, to exit and realize value from existing investments, potentially resulting in a decline in the value of the investments held in our clients’ portfolios. Such a decline could cause our revenue and net income to decline by causing some of our clients to reduce their investments in private markets in favor of investments they perceive as offering greater opportunity or lower risk, which would result in lower fees being paid to us.</w:t>
      </w:r>
    </w:p>
    <w:p>
      <w:pPr>
        <w:spacing w:after="0" w:line="1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These events may also reduce the commitments our clients are able to devote to private markets investments generally and make it more difficult for the funds in which we invest to obtain funding for additional investments at attractive rates, which would further reduce our profitability.</w:t>
      </w:r>
    </w:p>
    <w:p>
      <w:pPr>
        <w:spacing w:after="0" w:line="18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20"/>
          <w:szCs w:val="20"/>
          <w:color w:val="auto"/>
        </w:rPr>
        <w:t>Our profitability may also be adversely affected by our fixed costs and the possibility that we would be unable to reduce other costs within a time frame sufficient to match any decreases in revenue relating to changes in market and economic conditions. If our revenue declines without a commensurate reduction in our expenses, our net income will be lower.</w:t>
      </w:r>
    </w:p>
    <w:p>
      <w:pPr>
        <w:spacing w:after="0" w:line="181"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In addition, regulatory oversight and enforcement may become more rigorous for public companies in general, and for the financial services industry in particular, as a result of the recent volatility in the financial markets. See “—Evolving laws and government regulations could adversely affect 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Evolving laws and government regulations could adversely affect us.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the StepStone Funds, or on private markets funds generally, of future regulation, or of changes in the interpretation and enforcement of existing regulation, could have an adverse effect on the StepStone Funds’ investment strategies or our business model. Policy changes and regulatory reform by the U.S. federal government may create regulatory uncertainty for our funds’ portfolio companies and our investment strategies and adversely affect the profitability of the StepStone Funds’ portfolio companies.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351"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Ongoing political developments could adversely impact our investment management and investment advisory businesses. The financial services industry is currently experiencing an uncertain political and regulatory environment, in particular under the newly appointed U.S. presidential administration. There was a significant level of SEC enforcement activity under the former administration. The current administration has signaled its intent to revisit and potentially roll back certain regulatory initiatives enacted under the previous administration while simultaneously increasing scrutiny on areas such as foreign investment, national security, and the use of emerging technologies. There is currently a regulatory freeze on rulemaking pending review by newly appointed agency heads. The current administration and the current leadership of the SEC have indicated that they intend to modify or repeal certain regulations perceived as burdensome to private fund advisers, particularly those related to ESG investing and cybersecurity. However, the administration has also proposed new rules aimed at increasing transparency and accountability, such as expanded disclosure requirements for private fund advisers and enhanced oversight of investment practices involving artificial intelligence and digital assets. In addition, the SEC and FinCEN have recently jointly proposed a new rule that will require investment advisers to adopt formal anti-money laundering and customer identification programs, which remains under discussion. The SEC and other regulatory bodies are expected to propose additional changes in the future. Any such changes, including with modifications, whether enacted under current or future leadership, could have a significant effect on private funds and private fund advisers and their operations, including increasing compliance burdens and regulatory costs, restrictions on the ability to receive expense, indemnification and other cost reimbursements, and heightened risk of regulatory enforcement action such as public sanctions, restrictions on activities, fines and reputational damage. Additionally, there is a growing focus on digital asset regulation, with new rules expected to impact the use of cryptocurrencies and blockchain technologies in private fund operations. Any of the foregoing could lead to further regulatory uncertainty, result in changes to our operations and could materially impact our funds and/or their investments (including the funds in which the StepStone Funds and our clients invests) and/or us, including by causing us to incur additional expenses.</w:t>
      </w:r>
    </w:p>
    <w:p>
      <w:pPr>
        <w:spacing w:after="0" w:line="19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Governmental policy changes and regulatory or tax reform could also have a material effect on our funds. For example, regulatory or tax reform in jurisdictions where we may be conducting business (including jurisdictions in which we have established StepStone Funds, such as the Cayman Islands) and jurisdictions in which our clients or investors in StepStone Funds are located may increase administrative costs, increase taxes borne by StepStone Funds or our clients or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351"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0"/>
          <w:szCs w:val="20"/>
          <w:color w:val="auto"/>
        </w:rPr>
        <w:t>In recent years, the United States has imposed tariffs on various products imported into the United States. These tariffs have resulted in, and may continue to trigger, retaliatory actions by affected countries, including the imposition of tariffs on the United States by other countries. Under the current administration, trade policy has been a central focus, with renewed scrutiny on trade relationships with China and efforts to renegotiate or withdraw from key agreements such as the United States-Mexico-Canada Agreement (USMCA). This shift has included the potential for additional tariffs, including on Mexican, Canadian and Chinese goods, targeted sanctions, and restrictions on investments linked to industries deemed critical to U.S. national security. Certain foreign governments, such as China, Canada and Mexico, have instituted or are considering imposing trade sanctions on certain U.S. goods and denying U.S. companies access to critical raw materials. Governmental actions related to the imposition of tariffs, sanctions or other trade barriers or changes to international trade agreements or policies, such as USMCA,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Additionally, the current administration has signaled potential future measures targeting supply chain dependencies on China, including additional restrictions on technology exports and proposed incentives to relocate manufacturing to the United States or allied nations. If we do not adequately monitor and adapt sufficiently to changes in policy and the regulations to which we are or may become subject, we could be subject to enforcement actions, which may materially and adversely affect our businesses, financial condition and results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 Trading Arrangements.</w:t>
      </w:r>
    </w:p>
    <w:p>
      <w:pPr>
        <w:spacing w:after="0" w:line="216"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20"/>
          <w:szCs w:val="20"/>
          <w:color w:val="auto"/>
        </w:rPr>
        <w:t>The table below summarizes the terms of “Rule 10b5-1 trading arrangement,” as defined in Item 408 of Regulation S-K, adopted or terminated by our executive officers or directors during the period covered by this quarterly report on Form 10-Q. All of the trading arrangements listed below are intended to satisfy the affirmative defense conditions of Rule 10b5-1(c).</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180" w:type="dxa"/>
            <w:vAlign w:val="bottom"/>
            <w:vMerge w:val="restart"/>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Date of Adoption or</w:t>
            </w:r>
          </w:p>
        </w:tc>
        <w:tc>
          <w:tcPr>
            <w:tcW w:w="1920" w:type="dxa"/>
            <w:vAlign w:val="bottom"/>
            <w:shd w:val="clear" w:color="auto" w:fill="CCEEFF"/>
          </w:tcPr>
          <w:p>
            <w:pPr>
              <w:spacing w:after="0"/>
              <w:rPr>
                <w:sz w:val="18"/>
                <w:szCs w:val="18"/>
                <w:color w:val="auto"/>
              </w:rPr>
            </w:pP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 Class A ordinary</w:t>
            </w:r>
          </w:p>
        </w:tc>
        <w:tc>
          <w:tcPr>
            <w:tcW w:w="0" w:type="dxa"/>
            <w:vAlign w:val="bottom"/>
          </w:tcPr>
          <w:p>
            <w:pPr>
              <w:spacing w:after="0"/>
              <w:rPr>
                <w:sz w:val="1"/>
                <w:szCs w:val="1"/>
                <w:color w:val="auto"/>
              </w:rPr>
            </w:pPr>
          </w:p>
        </w:tc>
      </w:tr>
      <w:tr>
        <w:trPr>
          <w:trHeight w:val="175"/>
        </w:trPr>
        <w:tc>
          <w:tcPr>
            <w:tcW w:w="136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60" w:type="dxa"/>
            <w:vAlign w:val="bottom"/>
            <w:vMerge w:val="restart"/>
            <w:shd w:val="clear" w:color="auto" w:fill="CCEEFF"/>
          </w:tcPr>
          <w:p>
            <w:pPr>
              <w:ind w:left="1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180" w:type="dxa"/>
            <w:vAlign w:val="bottom"/>
            <w:vMerge w:val="continue"/>
            <w:shd w:val="clear" w:color="auto" w:fill="CCEEFF"/>
          </w:tcPr>
          <w:p>
            <w:pPr>
              <w:spacing w:after="0"/>
              <w:rPr>
                <w:sz w:val="15"/>
                <w:szCs w:val="15"/>
                <w:color w:val="auto"/>
              </w:rPr>
            </w:pPr>
          </w:p>
        </w:tc>
        <w:tc>
          <w:tcPr>
            <w:tcW w:w="19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Duration of Plan</w:t>
            </w:r>
            <w:r>
              <w:rPr>
                <w:rFonts w:ascii="Times New Roman" w:cs="Times New Roman" w:eastAsia="Times New Roman" w:hAnsi="Times New Roman"/>
                <w:sz w:val="23"/>
                <w:szCs w:val="23"/>
                <w:b w:val="1"/>
                <w:bCs w:val="1"/>
                <w:color w:val="auto"/>
                <w:vertAlign w:val="superscript"/>
              </w:rPr>
              <w:t>(1)</w:t>
            </w:r>
          </w:p>
        </w:tc>
        <w:tc>
          <w:tcPr>
            <w:tcW w:w="3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to be sold pursuant to the trading</w:t>
            </w:r>
          </w:p>
        </w:tc>
        <w:tc>
          <w:tcPr>
            <w:tcW w:w="0" w:type="dxa"/>
            <w:vAlign w:val="bottom"/>
          </w:tcPr>
          <w:p>
            <w:pPr>
              <w:spacing w:after="0"/>
              <w:rPr>
                <w:sz w:val="1"/>
                <w:szCs w:val="1"/>
                <w:color w:val="auto"/>
              </w:rPr>
            </w:pPr>
          </w:p>
        </w:tc>
      </w:tr>
      <w:tr>
        <w:trPr>
          <w:trHeight w:val="243"/>
        </w:trPr>
        <w:tc>
          <w:tcPr>
            <w:tcW w:w="1360" w:type="dxa"/>
            <w:vAlign w:val="bottom"/>
            <w:vMerge w:val="continue"/>
            <w:shd w:val="clear" w:color="auto" w:fill="CCEEFF"/>
          </w:tcPr>
          <w:p>
            <w:pPr>
              <w:spacing w:after="0"/>
              <w:rPr>
                <w:sz w:val="21"/>
                <w:szCs w:val="21"/>
                <w:color w:val="auto"/>
              </w:rPr>
            </w:pPr>
          </w:p>
        </w:tc>
        <w:tc>
          <w:tcPr>
            <w:tcW w:w="2560" w:type="dxa"/>
            <w:vAlign w:val="bottom"/>
            <w:vMerge w:val="continue"/>
            <w:shd w:val="clear" w:color="auto" w:fill="CCEEFF"/>
          </w:tcPr>
          <w:p>
            <w:pPr>
              <w:spacing w:after="0"/>
              <w:rPr>
                <w:sz w:val="21"/>
                <w:szCs w:val="21"/>
                <w:color w:val="auto"/>
              </w:rPr>
            </w:pPr>
          </w:p>
        </w:tc>
        <w:tc>
          <w:tcPr>
            <w:tcW w:w="21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920" w:type="dxa"/>
            <w:vAlign w:val="bottom"/>
            <w:vMerge w:val="continue"/>
            <w:shd w:val="clear" w:color="auto" w:fill="CCEEFF"/>
          </w:tcPr>
          <w:p>
            <w:pPr>
              <w:spacing w:after="0"/>
              <w:rPr>
                <w:sz w:val="21"/>
                <w:szCs w:val="21"/>
                <w:color w:val="auto"/>
              </w:rPr>
            </w:pP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25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Chief Executive Officer and</w:t>
            </w:r>
          </w:p>
        </w:tc>
        <w:tc>
          <w:tcPr>
            <w:tcW w:w="2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Hart</w:t>
            </w:r>
          </w:p>
        </w:tc>
        <w:tc>
          <w:tcPr>
            <w:tcW w:w="2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November 21, 2024</w:t>
            </w:r>
          </w:p>
        </w:tc>
        <w:tc>
          <w:tcPr>
            <w:tcW w:w="1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14 months</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spacing w:after="0"/>
              <w:rPr>
                <w:sz w:val="15"/>
                <w:szCs w:val="15"/>
                <w:color w:val="auto"/>
              </w:rPr>
            </w:pPr>
          </w:p>
        </w:tc>
        <w:tc>
          <w:tcPr>
            <w:tcW w:w="25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President and Co-Chief</w:t>
            </w:r>
          </w:p>
        </w:tc>
        <w:tc>
          <w:tcPr>
            <w:tcW w:w="21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Ment</w:t>
            </w:r>
          </w:p>
        </w:tc>
        <w:tc>
          <w:tcPr>
            <w:tcW w:w="2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Officer</w:t>
            </w:r>
          </w:p>
        </w:tc>
        <w:tc>
          <w:tcPr>
            <w:tcW w:w="2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November 20, 2024</w:t>
            </w:r>
          </w:p>
        </w:tc>
        <w:tc>
          <w:tcPr>
            <w:tcW w:w="19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15 months</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will expire on the earlier of the expiration date or the completion of all transactions under the trading arrangement.</w:t>
      </w:r>
    </w:p>
    <w:p>
      <w:pPr>
        <w:spacing w:after="0" w:line="200" w:lineRule="exact"/>
        <w:rPr>
          <w:rFonts w:ascii="Times New Roman" w:cs="Times New Roman" w:eastAsia="Times New Roman" w:hAnsi="Times New Roman"/>
          <w:sz w:val="18"/>
          <w:szCs w:val="18"/>
          <w:color w:val="auto"/>
        </w:rPr>
      </w:pPr>
    </w:p>
    <w:p>
      <w:pPr>
        <w:spacing w:after="0" w:line="353"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2"/>
            <w:vMerge w:val="continue"/>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40" w:type="dxa"/>
            <w:vAlign w:val="bottom"/>
            <w:gridSpan w:val="2"/>
          </w:tcPr>
          <w:p>
            <w:pPr>
              <w:ind w:left="20"/>
              <w:spacing w:after="0" w:line="182" w:lineRule="exact"/>
              <w:rPr>
                <w:rFonts w:ascii="Times New Roman" w:cs="Times New Roman" w:eastAsia="Times New Roman" w:hAnsi="Times New Roman"/>
                <w:sz w:val="18"/>
                <w:szCs w:val="18"/>
                <w:color w:val="0000FF"/>
                <w:w w:val="88"/>
              </w:rPr>
            </w:pPr>
            <w:hyperlink r:id="rId111">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hyperlink>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20" w:type="dxa"/>
            <w:vAlign w:val="bottom"/>
            <w:gridSpan w:val="9"/>
          </w:tcPr>
          <w:p>
            <w:pPr>
              <w:spacing w:after="0" w:line="18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Certificate of Incorporation of</w:t>
              </w:r>
            </w:hyperlink>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3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9/18/2020</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8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StepStone Group Inc.</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 w:type="dxa"/>
            <w:vAlign w:val="bottom"/>
            <w:gridSpan w:val="2"/>
          </w:tcPr>
          <w:p>
            <w:pPr>
              <w:ind w:left="20"/>
              <w:spacing w:after="0"/>
              <w:rPr>
                <w:rFonts w:ascii="Times New Roman" w:cs="Times New Roman" w:eastAsia="Times New Roman" w:hAnsi="Times New Roman"/>
                <w:sz w:val="18"/>
                <w:szCs w:val="18"/>
                <w:color w:val="0000FF"/>
                <w:w w:val="88"/>
              </w:rPr>
            </w:pPr>
            <w:hyperlink r:id="rId112">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20" w:type="dxa"/>
            <w:vAlign w:val="bottom"/>
            <w:gridSpan w:val="9"/>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Amended and Restated Bylaws of StepStone Group Inc.</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2/09/2023</w:t>
            </w: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gridSpan w:val="2"/>
          </w:tcPr>
          <w:p>
            <w:pPr>
              <w:ind w:left="20"/>
              <w:spacing w:after="0"/>
              <w:rPr>
                <w:rFonts w:ascii="Times New Roman" w:cs="Times New Roman" w:eastAsia="Times New Roman" w:hAnsi="Times New Roman"/>
                <w:sz w:val="18"/>
                <w:szCs w:val="18"/>
                <w:color w:val="0000FF"/>
                <w:w w:val="88"/>
              </w:rPr>
            </w:pPr>
            <w:hyperlink r:id="rId113">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20" w:type="dxa"/>
            <w:vAlign w:val="bottom"/>
            <w:gridSpan w:val="9"/>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5.52% Series A Senior Note due October 22, 2029</w:t>
              </w:r>
            </w:hyperlink>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10/23/2024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(included in Exhibit 10.1).</w:t>
              </w:r>
            </w:hyperlink>
          </w:p>
        </w:tc>
        <w:tc>
          <w:tcPr>
            <w:tcW w:w="2020" w:type="dxa"/>
            <w:vAlign w:val="bottom"/>
            <w:tcBorders>
              <w:top w:val="single" w:sz="8" w:color="0000FF"/>
            </w:tcBorders>
            <w:gridSpan w:val="2"/>
          </w:tcPr>
          <w:p>
            <w:pPr>
              <w:spacing w:after="0"/>
              <w:rPr>
                <w:sz w:val="13"/>
                <w:szCs w:val="13"/>
                <w:color w:val="auto"/>
              </w:rPr>
            </w:pPr>
          </w:p>
        </w:tc>
        <w:tc>
          <w:tcPr>
            <w:tcW w:w="34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gridSpan w:val="4"/>
          </w:tcPr>
          <w:p>
            <w:pPr>
              <w:ind w:left="20"/>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4620" w:type="dxa"/>
            <w:vAlign w:val="bottom"/>
            <w:gridSpan w:val="9"/>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Note Purchase Agreement, dated October 22, 2024, by</w:t>
              </w:r>
            </w:hyperlink>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StepStone Group LP and acknowledged and agreed to</w:t>
              </w:r>
            </w:hyperlink>
          </w:p>
        </w:tc>
        <w:tc>
          <w:tcPr>
            <w:tcW w:w="700" w:type="dxa"/>
            <w:vAlign w:val="bottom"/>
            <w:gridSpan w:val="4"/>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by the</w:t>
              </w:r>
            </w:hyperlink>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10/23/2024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36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purchasers party thereto.</w:t>
              </w:r>
            </w:hyperlink>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sectPr>
          <w:pgSz w:w="11900" w:h="16838" w:orient="portrait"/>
          <w:cols w:equalWidth="0" w:num="1">
            <w:col w:w="11200"/>
          </w:cols>
          <w:pgMar w:left="340" w:top="1440"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r>
      <w:tr>
        <w:trPr>
          <w:trHeight w:val="155"/>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amended</w:t>
            </w:r>
          </w:p>
        </w:tc>
        <w:tc>
          <w:tcPr>
            <w:tcW w:w="368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r>
      <w:tr>
        <w:trPr>
          <w:trHeight w:val="156"/>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4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amended</w:t>
            </w:r>
          </w:p>
        </w:tc>
        <w:tc>
          <w:tcPr>
            <w:tcW w:w="3680" w:type="dxa"/>
            <w:vAlign w:val="bottom"/>
            <w:tcBorders>
              <w:top w:val="single" w:sz="8" w:color="0000FF"/>
            </w:tcBorders>
            <w:gridSpan w:val="4"/>
          </w:tcPr>
          <w:p>
            <w:pPr>
              <w:spacing w:after="0"/>
              <w:rPr>
                <w:sz w:val="13"/>
                <w:szCs w:val="13"/>
                <w:color w:val="auto"/>
              </w:rPr>
            </w:pPr>
          </w:p>
        </w:tc>
        <w:tc>
          <w:tcPr>
            <w:tcW w:w="2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w:t>
            </w:r>
          </w:p>
        </w:tc>
      </w:tr>
      <w:tr>
        <w:trPr>
          <w:trHeight w:val="156"/>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906 of the Sarbanes-Oxley Act of 2002</w:t>
            </w:r>
          </w:p>
        </w:tc>
        <w:tc>
          <w:tcPr>
            <w:tcW w:w="1480" w:type="dxa"/>
            <w:vAlign w:val="bottom"/>
            <w:tcBorders>
              <w:top w:val="single" w:sz="8" w:color="0000FF"/>
            </w:tcBorders>
          </w:tcPr>
          <w:p>
            <w:pPr>
              <w:spacing w:after="0"/>
              <w:rPr>
                <w:sz w:val="13"/>
                <w:szCs w:val="13"/>
                <w:color w:val="auto"/>
              </w:rPr>
            </w:pPr>
          </w:p>
        </w:tc>
        <w:tc>
          <w:tcPr>
            <w:tcW w:w="2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45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w:t>
            </w:r>
          </w:p>
        </w:tc>
      </w:tr>
      <w:tr>
        <w:trPr>
          <w:trHeight w:val="156"/>
        </w:trPr>
        <w:tc>
          <w:tcPr>
            <w:tcW w:w="32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45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200" w:right="4060" w:hanging="1181"/>
        <w:spacing w:after="0" w:line="215" w:lineRule="auto"/>
        <w:tabs>
          <w:tab w:leader="none" w:pos="1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December 31, 2024 formatted in Inline XBRL (Extensible Business Reporting Language): (i) the Condensed Consolidated Balance Sheets; (ii) the Condensed Consolidated Statements of Income (Loss); (iii) the Condensed Consolidated Statements of Comprehensive Income (Loss); (iv) the Condensed Consolidated Statements of Stockholders’ Equity; (v) the Condensed Consolidated Statements of Cash Flows; (vi) Notes to Condensed Consolidated Financial Statements; and (vii) Part II, Item 5(c).</w:t>
      </w:r>
    </w:p>
    <w:p>
      <w:pPr>
        <w:ind w:left="1200" w:right="4300" w:hanging="1181"/>
        <w:spacing w:after="0" w:line="234" w:lineRule="auto"/>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 w:lineRule="exact"/>
        <w:rPr>
          <w:sz w:val="20"/>
          <w:szCs w:val="20"/>
          <w:color w:val="auto"/>
        </w:rPr>
      </w:pPr>
    </w:p>
    <w:p>
      <w:pPr>
        <w:ind w:left="1200" w:hanging="1181"/>
        <w:spacing w:after="0"/>
        <w:tabs>
          <w:tab w:leader="none" w:pos="1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in this exhibit has been omitted.</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429" w:lineRule="exact"/>
        <w:rPr>
          <w:sz w:val="20"/>
          <w:szCs w:val="20"/>
          <w:color w:val="auto"/>
        </w:rPr>
      </w:pPr>
    </w:p>
    <w:p>
      <w:pPr>
        <w:sectPr>
          <w:pgSz w:w="11900" w:h="16838" w:orient="portrait"/>
          <w:cols w:equalWidth="0" w:num="2">
            <w:col w:w="9860" w:space="720"/>
            <w:col w:w="62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207010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94" w:name="page95"/>
    <w:bookmarkEnd w:id="94"/>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 on February 6, 2025</w:t>
      </w:r>
      <w:r>
        <w:rPr>
          <w:rFonts w:ascii="Times New Roman" w:cs="Times New Roman" w:eastAsia="Times New Roman" w:hAnsi="Times New Roman"/>
          <w:sz w:val="20"/>
          <w:szCs w:val="20"/>
          <w:b w:val="1"/>
          <w:bCs w:val="1"/>
          <w:color w:val="auto"/>
        </w:rPr>
        <w:t>.</w:t>
      </w:r>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0940"/>
          </w:cols>
          <w:pgMar w:left="320" w:top="1440" w:right="6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W. Hart, certify that:</w:t>
      </w:r>
    </w:p>
    <w:p>
      <w:pPr>
        <w:spacing w:after="0" w:line="22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600" w:hanging="320"/>
        <w:spacing w:after="0" w:line="269" w:lineRule="auto"/>
        <w:tabs>
          <w:tab w:leader="none" w:pos="130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w:t>
      </w:r>
    </w:p>
    <w:p>
      <w:pPr>
        <w:sectPr>
          <w:pgSz w:w="11900" w:h="16838" w:orient="portrait"/>
          <w:cols w:equalWidth="0" w:num="1">
            <w:col w:w="11240"/>
          </w:cols>
          <w:pgMar w:left="320" w:top="114" w:right="339" w:bottom="1440" w:gutter="0" w:footer="0" w:header="0"/>
        </w:sectPr>
      </w:pPr>
    </w:p>
    <w:bookmarkStart w:id="96" w:name="page97"/>
    <w:bookmarkEnd w:id="96"/>
    <w:p>
      <w:pPr>
        <w:spacing w:after="0" w:line="135" w:lineRule="exact"/>
        <w:rPr>
          <w:sz w:val="20"/>
          <w:szCs w:val="20"/>
          <w:color w:val="auto"/>
        </w:rPr>
      </w:pPr>
    </w:p>
    <w:p>
      <w:pPr>
        <w:ind w:left="1280" w:right="160"/>
        <w:spacing w:after="0" w:line="283" w:lineRule="auto"/>
        <w:rPr>
          <w:sz w:val="20"/>
          <w:szCs w:val="20"/>
          <w:color w:val="auto"/>
        </w:rPr>
      </w:pPr>
      <w:r>
        <w:rPr>
          <w:rFonts w:ascii="Times New Roman" w:cs="Times New Roman" w:eastAsia="Times New Roman" w:hAnsi="Times New Roman"/>
          <w:sz w:val="20"/>
          <w:szCs w:val="20"/>
          <w:color w:val="auto"/>
        </w:rPr>
        <w:t>the case of an annual report) that has materially affected, or is reasonably likely to materially affect, the registrant’s internal control over financial reporting; and</w:t>
      </w:r>
    </w:p>
    <w:p>
      <w:pPr>
        <w:spacing w:after="0" w:line="146" w:lineRule="exact"/>
        <w:rPr>
          <w:sz w:val="20"/>
          <w:szCs w:val="20"/>
          <w:color w:val="auto"/>
        </w:rPr>
      </w:pPr>
    </w:p>
    <w:p>
      <w:pPr>
        <w:ind w:left="640" w:right="60" w:hanging="328"/>
        <w:spacing w:after="0" w:line="261" w:lineRule="auto"/>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6, 2025</w:t>
            </w:r>
          </w:p>
        </w:tc>
        <w:tc>
          <w:tcPr>
            <w:tcW w:w="77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By: /s/ Scott W. Hart</w:t>
            </w:r>
          </w:p>
        </w:tc>
      </w:tr>
      <w:tr>
        <w:trPr>
          <w:trHeight w:val="244"/>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Scott W. Hart</w:t>
            </w:r>
          </w:p>
        </w:tc>
      </w:tr>
      <w:tr>
        <w:trPr>
          <w:trHeight w:val="253"/>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2"/>
        </w:trPr>
        <w:tc>
          <w:tcPr>
            <w:tcW w:w="3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ectPr>
          <w:pgSz w:w="11900" w:h="16838" w:orient="portrait"/>
          <w:cols w:equalWidth="0" w:num="1">
            <w:col w:w="11220"/>
          </w:cols>
          <w:pgMar w:left="340" w:top="1440" w:right="339" w:bottom="1440" w:gutter="0" w:footer="0" w:header="0"/>
        </w:sectPr>
      </w:pPr>
    </w:p>
    <w:bookmarkStart w:id="97" w:name="page98"/>
    <w:bookmarkEnd w:id="97"/>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Y. Park, certify that:</w:t>
      </w:r>
    </w:p>
    <w:p>
      <w:pPr>
        <w:spacing w:after="0" w:line="229"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StepStone Group Inc.;</w:t>
      </w:r>
    </w:p>
    <w:p>
      <w:pPr>
        <w:spacing w:after="0" w:line="215"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20"/>
          <w:szCs w:val="20"/>
          <w:color w:val="auto"/>
        </w:rPr>
      </w:pPr>
    </w:p>
    <w:p>
      <w:pPr>
        <w:ind w:left="1300" w:right="100" w:hanging="320"/>
        <w:spacing w:after="0" w:line="261" w:lineRule="auto"/>
        <w:tabs>
          <w:tab w:leader="none" w:pos="1289"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20"/>
          <w:szCs w:val="20"/>
          <w:color w:val="auto"/>
        </w:rPr>
      </w:pPr>
    </w:p>
    <w:p>
      <w:pPr>
        <w:ind w:left="1300" w:right="560" w:hanging="320"/>
        <w:spacing w:after="0" w:line="288" w:lineRule="auto"/>
        <w:tabs>
          <w:tab w:leader="none" w:pos="130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Times New Roman" w:cs="Times New Roman" w:eastAsia="Times New Roman" w:hAnsi="Times New Roman"/>
          <w:sz w:val="19"/>
          <w:szCs w:val="19"/>
          <w:color w:val="auto"/>
        </w:rPr>
      </w:pPr>
    </w:p>
    <w:p>
      <w:pPr>
        <w:ind w:left="1300" w:right="60" w:hanging="320"/>
        <w:spacing w:after="0" w:line="261" w:lineRule="auto"/>
        <w:tabs>
          <w:tab w:leader="none" w:pos="1289"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20"/>
          <w:szCs w:val="20"/>
          <w:color w:val="auto"/>
        </w:rPr>
      </w:pPr>
    </w:p>
    <w:p>
      <w:pPr>
        <w:ind w:left="1300" w:right="80" w:hanging="320"/>
        <w:spacing w:after="0" w:line="261" w:lineRule="auto"/>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4" w:right="339" w:bottom="1440" w:gutter="0" w:footer="0" w:header="0"/>
        </w:sectPr>
      </w:pPr>
    </w:p>
    <w:bookmarkStart w:id="98" w:name="page99"/>
    <w:bookmarkEnd w:id="98"/>
    <w:p>
      <w:pPr>
        <w:spacing w:after="0" w:line="351" w:lineRule="exact"/>
        <w:rPr>
          <w:sz w:val="20"/>
          <w:szCs w:val="20"/>
          <w:color w:val="auto"/>
        </w:rPr>
      </w:pPr>
    </w:p>
    <w:p>
      <w:pPr>
        <w:ind w:left="640" w:right="60" w:hanging="328"/>
        <w:spacing w:after="0" w:line="261" w:lineRule="auto"/>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20"/>
          <w:szCs w:val="20"/>
          <w:color w:val="auto"/>
        </w:rPr>
      </w:pPr>
    </w:p>
    <w:p>
      <w:pPr>
        <w:ind w:left="1280" w:right="340" w:hanging="320"/>
        <w:spacing w:after="0" w:line="261" w:lineRule="auto"/>
        <w:tabs>
          <w:tab w:leader="none" w:pos="126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20"/>
          <w:szCs w:val="20"/>
          <w:color w:val="auto"/>
        </w:rPr>
      </w:pPr>
    </w:p>
    <w:p>
      <w:pPr>
        <w:ind w:left="1280" w:right="740" w:hanging="320"/>
        <w:spacing w:after="0" w:line="269" w:lineRule="auto"/>
        <w:tabs>
          <w:tab w:leader="none" w:pos="128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6, 2025</w:t>
            </w:r>
          </w:p>
        </w:tc>
        <w:tc>
          <w:tcPr>
            <w:tcW w:w="772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By: /s/ David Y. Park</w:t>
            </w:r>
          </w:p>
        </w:tc>
      </w:tr>
      <w:tr>
        <w:trPr>
          <w:trHeight w:val="244"/>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David Y. Park</w:t>
            </w:r>
          </w:p>
        </w:tc>
      </w:tr>
      <w:tr>
        <w:trPr>
          <w:trHeight w:val="253"/>
        </w:trPr>
        <w:tc>
          <w:tcPr>
            <w:tcW w:w="3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2"/>
        </w:trPr>
        <w:tc>
          <w:tcPr>
            <w:tcW w:w="3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ectPr>
          <w:pgSz w:w="11900" w:h="16838" w:orient="portrait"/>
          <w:cols w:equalWidth="0" w:num="1">
            <w:col w:w="11220"/>
          </w:cols>
          <w:pgMar w:left="340" w:top="144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December 31, 2024,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February 6, 2025</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of StepStone Group Inc. (the “Company”) on Form 10-Q for the three months ended December 31, 2024,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February 6, 2025</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endash "/>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4"/>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3"/>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lvl w:ilvl="1">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4"/>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3"/>
    </w:lvl>
    <w:lvl w:ilvl="1">
      <w:lvlJc w:val="left"/>
      <w:lvlText w:val="%2."/>
      <w:numFmt w:val="lowerRoman"/>
      <w:start w:val="1"/>
    </w:lvl>
  </w:abstractNum>
  <w:abstractNum w:abstractNumId="38">
    <w:nsid w:val="38437FDB"/>
    <w:multiLevelType w:val="hybridMultilevel"/>
    <w:lvl w:ilvl="0">
      <w:lvlJc w:val="left"/>
      <w:lvlText w:val="(%1)"/>
      <w:numFmt w:val="decimal"/>
      <w:start w:val="4"/>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lowerRoman"/>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01"/>
    </w:lvl>
  </w:abstractNum>
  <w:abstractNum w:abstractNumId="48">
    <w:nsid w:val="12E685FB"/>
    <w:multiLevelType w:val="hybridMultilevel"/>
    <w:lvl w:ilvl="0">
      <w:lvlJc w:val="left"/>
      <w:lvlText w:val="%1"/>
      <w:numFmt w:val="decimal"/>
      <w:start w:val="104"/>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5"/>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5"/>
    </w:lvl>
    <w:lvl w:ilvl="1">
      <w:lvlJc w:val="left"/>
      <w:lvlText w:val="%2."/>
      <w:numFmt w:val="lowerLetter"/>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1" Type="http://schemas.openxmlformats.org/officeDocument/2006/relationships/hyperlink" Target="https://www.sec.gov/Archives/edgar/data/1796022/000119312520248881/d23934dex31.htm" TargetMode="External"/><Relationship Id="rId112" Type="http://schemas.openxmlformats.org/officeDocument/2006/relationships/hyperlink" Target="https://www.sec.gov/Archives/edgar/data/1796022/000179602223000011/exhibit32q3fy2023.htm" TargetMode="External"/><Relationship Id="rId113" Type="http://schemas.openxmlformats.org/officeDocument/2006/relationships/hyperlink" Target="https://www.sec.gov/Archives/edgar/data/1796022/000119312524241230/d86200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2025-02-06T15:21:52Z</dcterms:created>
  <dcterms:modified xsi:type="dcterms:W3CDTF">2025-02-06T15:21:52Z</dcterms:modified>
</cp:coreProperties>
</file>