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946150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972185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127" w:lineRule="exact"/>
        <w:rPr>
          <w:sz w:val="24"/>
          <w:szCs w:val="24"/>
          <w:color w:val="auto"/>
        </w:rPr>
      </w:pPr>
    </w:p>
    <w:p>
      <w:pPr>
        <w:ind w:left="420" w:hanging="35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June 30, 2021</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or</w:t>
      </w:r>
    </w:p>
    <w:p>
      <w:pPr>
        <w:spacing w:after="0" w:line="82" w:lineRule="exact"/>
        <w:rPr>
          <w:sz w:val="24"/>
          <w:szCs w:val="24"/>
          <w:color w:val="auto"/>
        </w:rPr>
      </w:pPr>
    </w:p>
    <w:p>
      <w:pPr>
        <w:ind w:left="2520" w:right="2500" w:hanging="2454"/>
        <w:spacing w:after="0" w:line="425" w:lineRule="auto"/>
        <w:tabs>
          <w:tab w:leader="none" w:pos="385"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 xml:space="preserve">TRANSITION REPORT PURSUANT TO SECTION 13 OR 15(d) OF THE SECURITIES EXCHANGE ACT OF 1934 </w:t>
      </w:r>
      <w:r>
        <w:rPr>
          <w:rFonts w:ascii="Arial" w:cs="Arial" w:eastAsia="Arial" w:hAnsi="Arial"/>
          <w:sz w:val="15"/>
          <w:szCs w:val="15"/>
          <w:color w:val="auto"/>
        </w:rPr>
        <w:t>For the transition period from _______________________ to ___________________________</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Commission file number 001-39510</w:t>
      </w:r>
    </w:p>
    <w:p>
      <w:pPr>
        <w:spacing w:after="0" w:line="41" w:lineRule="exact"/>
        <w:rPr>
          <w:sz w:val="24"/>
          <w:szCs w:val="24"/>
          <w:color w:val="auto"/>
        </w:rPr>
      </w:pPr>
    </w:p>
    <w:tbl>
      <w:tblPr>
        <w:tblLayout w:type="fixed"/>
        <w:tblInd w:w="1420" w:type="dxa"/>
        <w:tblCellMar>
          <w:top w:w="0" w:type="dxa"/>
          <w:left w:w="0" w:type="dxa"/>
          <w:bottom w:w="0" w:type="dxa"/>
          <w:right w:w="0" w:type="dxa"/>
        </w:tblCellMar>
      </w:tblPr>
      <w:tr>
        <w:trPr>
          <w:trHeight w:val="421"/>
        </w:trPr>
        <w:tc>
          <w:tcPr>
            <w:tcW w:w="120" w:type="dxa"/>
            <w:vAlign w:val="bottom"/>
          </w:tcPr>
          <w:p>
            <w:pPr>
              <w:spacing w:after="0"/>
              <w:rPr>
                <w:sz w:val="24"/>
                <w:szCs w:val="24"/>
                <w:color w:val="auto"/>
              </w:rPr>
            </w:pPr>
          </w:p>
        </w:tc>
        <w:tc>
          <w:tcPr>
            <w:tcW w:w="8200" w:type="dxa"/>
            <w:vAlign w:val="bottom"/>
            <w:gridSpan w:val="5"/>
          </w:tcPr>
          <w:p>
            <w:pPr>
              <w:jc w:val="center"/>
              <w:ind w:left="219"/>
              <w:spacing w:after="0"/>
              <w:rPr>
                <w:sz w:val="20"/>
                <w:szCs w:val="20"/>
                <w:color w:val="auto"/>
              </w:rPr>
            </w:pPr>
            <w:r>
              <w:rPr>
                <w:rFonts w:ascii="Arial" w:cs="Arial" w:eastAsia="Arial" w:hAnsi="Arial"/>
                <w:sz w:val="32"/>
                <w:szCs w:val="32"/>
                <w:b w:val="1"/>
                <w:bCs w:val="1"/>
                <w:color w:val="auto"/>
                <w:w w:val="99"/>
              </w:rPr>
              <w:t>STEPSTONE GROUP INC.</w:t>
            </w:r>
          </w:p>
        </w:tc>
      </w:tr>
      <w:tr>
        <w:trPr>
          <w:trHeight w:val="203"/>
        </w:trPr>
        <w:tc>
          <w:tcPr>
            <w:tcW w:w="120" w:type="dxa"/>
            <w:vAlign w:val="bottom"/>
          </w:tcPr>
          <w:p>
            <w:pPr>
              <w:spacing w:after="0"/>
              <w:rPr>
                <w:sz w:val="17"/>
                <w:szCs w:val="17"/>
                <w:color w:val="auto"/>
              </w:rPr>
            </w:pPr>
          </w:p>
        </w:tc>
        <w:tc>
          <w:tcPr>
            <w:tcW w:w="8200" w:type="dxa"/>
            <w:vAlign w:val="bottom"/>
            <w:gridSpan w:val="5"/>
          </w:tcPr>
          <w:p>
            <w:pPr>
              <w:jc w:val="center"/>
              <w:ind w:left="219"/>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r>
      <w:tr>
        <w:trPr>
          <w:trHeight w:val="203"/>
        </w:trPr>
        <w:tc>
          <w:tcPr>
            <w:tcW w:w="120" w:type="dxa"/>
            <w:vAlign w:val="bottom"/>
          </w:tcPr>
          <w:p>
            <w:pPr>
              <w:spacing w:after="0"/>
              <w:rPr>
                <w:sz w:val="17"/>
                <w:szCs w:val="17"/>
                <w:color w:val="auto"/>
              </w:rPr>
            </w:pPr>
          </w:p>
        </w:tc>
        <w:tc>
          <w:tcPr>
            <w:tcW w:w="334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w w:val="94"/>
              </w:rPr>
              <w:t>Delaware</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Pr>
          <w:p>
            <w:pPr>
              <w:jc w:val="right"/>
              <w:ind w:right="708"/>
              <w:spacing w:after="0"/>
              <w:rPr>
                <w:sz w:val="20"/>
                <w:szCs w:val="20"/>
                <w:color w:val="auto"/>
              </w:rPr>
            </w:pPr>
            <w:r>
              <w:rPr>
                <w:rFonts w:ascii="Arial" w:cs="Arial" w:eastAsia="Arial" w:hAnsi="Arial"/>
                <w:sz w:val="14"/>
                <w:szCs w:val="14"/>
                <w:b w:val="1"/>
                <w:bCs w:val="1"/>
                <w:color w:val="auto"/>
              </w:rPr>
              <w:t>84-3868757</w:t>
            </w:r>
          </w:p>
        </w:tc>
      </w:tr>
      <w:tr>
        <w:trPr>
          <w:trHeight w:val="147"/>
        </w:trPr>
        <w:tc>
          <w:tcPr>
            <w:tcW w:w="120" w:type="dxa"/>
            <w:vAlign w:val="bottom"/>
          </w:tcPr>
          <w:p>
            <w:pPr>
              <w:spacing w:after="0"/>
              <w:rPr>
                <w:sz w:val="12"/>
                <w:szCs w:val="12"/>
                <w:color w:val="auto"/>
              </w:rPr>
            </w:pPr>
          </w:p>
        </w:tc>
        <w:tc>
          <w:tcPr>
            <w:tcW w:w="3340" w:type="dxa"/>
            <w:vAlign w:val="bottom"/>
            <w:gridSpan w:val="2"/>
          </w:tcPr>
          <w:p>
            <w:pPr>
              <w:jc w:val="center"/>
              <w:ind w:right="1320"/>
              <w:spacing w:after="0" w:line="147" w:lineRule="exact"/>
              <w:rPr>
                <w:sz w:val="20"/>
                <w:szCs w:val="20"/>
                <w:color w:val="auto"/>
              </w:rPr>
            </w:pPr>
            <w:r>
              <w:rPr>
                <w:rFonts w:ascii="Arial" w:cs="Arial" w:eastAsia="Arial" w:hAnsi="Arial"/>
                <w:sz w:val="14"/>
                <w:szCs w:val="14"/>
                <w:color w:val="auto"/>
                <w:w w:val="94"/>
              </w:rPr>
              <w:t>(State or other jurisdiction of</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60" w:type="dxa"/>
            <w:vAlign w:val="bottom"/>
          </w:tcPr>
          <w:p>
            <w:pPr>
              <w:jc w:val="center"/>
              <w:ind w:left="1128"/>
              <w:spacing w:after="0" w:line="147" w:lineRule="exact"/>
              <w:rPr>
                <w:sz w:val="20"/>
                <w:szCs w:val="20"/>
                <w:color w:val="auto"/>
              </w:rPr>
            </w:pPr>
            <w:r>
              <w:rPr>
                <w:rFonts w:ascii="Arial" w:cs="Arial" w:eastAsia="Arial" w:hAnsi="Arial"/>
                <w:sz w:val="14"/>
                <w:szCs w:val="14"/>
                <w:color w:val="auto"/>
                <w:w w:val="95"/>
              </w:rPr>
              <w:t>(I.R.S. Employer</w:t>
            </w:r>
          </w:p>
        </w:tc>
      </w:tr>
      <w:tr>
        <w:trPr>
          <w:trHeight w:val="182"/>
        </w:trPr>
        <w:tc>
          <w:tcPr>
            <w:tcW w:w="120" w:type="dxa"/>
            <w:vAlign w:val="bottom"/>
          </w:tcPr>
          <w:p>
            <w:pPr>
              <w:spacing w:after="0"/>
              <w:rPr>
                <w:sz w:val="15"/>
                <w:szCs w:val="15"/>
                <w:color w:val="auto"/>
              </w:rPr>
            </w:pPr>
          </w:p>
        </w:tc>
        <w:tc>
          <w:tcPr>
            <w:tcW w:w="3340" w:type="dxa"/>
            <w:vAlign w:val="bottom"/>
            <w:gridSpan w:val="2"/>
          </w:tcPr>
          <w:p>
            <w:pPr>
              <w:jc w:val="center"/>
              <w:ind w:right="1320"/>
              <w:spacing w:after="0"/>
              <w:rPr>
                <w:sz w:val="20"/>
                <w:szCs w:val="20"/>
                <w:color w:val="auto"/>
              </w:rPr>
            </w:pPr>
            <w:r>
              <w:rPr>
                <w:rFonts w:ascii="Arial" w:cs="Arial" w:eastAsia="Arial" w:hAnsi="Arial"/>
                <w:sz w:val="14"/>
                <w:szCs w:val="14"/>
                <w:color w:val="auto"/>
                <w:w w:val="95"/>
              </w:rPr>
              <w:t>incorporation or organization)</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tcPr>
          <w:p>
            <w:pPr>
              <w:jc w:val="center"/>
              <w:ind w:left="1128"/>
              <w:spacing w:after="0"/>
              <w:rPr>
                <w:sz w:val="20"/>
                <w:szCs w:val="20"/>
                <w:color w:val="auto"/>
              </w:rPr>
            </w:pPr>
            <w:r>
              <w:rPr>
                <w:rFonts w:ascii="Arial" w:cs="Arial" w:eastAsia="Arial" w:hAnsi="Arial"/>
                <w:sz w:val="14"/>
                <w:szCs w:val="14"/>
                <w:color w:val="auto"/>
                <w:w w:val="97"/>
              </w:rPr>
              <w:t>Identification No.)</w:t>
            </w:r>
          </w:p>
        </w:tc>
      </w:tr>
      <w:tr>
        <w:trPr>
          <w:trHeight w:val="332"/>
        </w:trPr>
        <w:tc>
          <w:tcPr>
            <w:tcW w:w="346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92"/>
              </w:rPr>
              <w:t>450 Lexington Avenue, 31st Floor</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89"/>
        </w:trPr>
        <w:tc>
          <w:tcPr>
            <w:tcW w:w="120" w:type="dxa"/>
            <w:vAlign w:val="bottom"/>
          </w:tcPr>
          <w:p>
            <w:pPr>
              <w:spacing w:after="0"/>
              <w:rPr>
                <w:sz w:val="16"/>
                <w:szCs w:val="16"/>
                <w:color w:val="auto"/>
              </w:rPr>
            </w:pPr>
          </w:p>
        </w:tc>
        <w:tc>
          <w:tcPr>
            <w:tcW w:w="334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w w:val="98"/>
              </w:rPr>
              <w:t>New York, NY</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60" w:type="dxa"/>
            <w:vAlign w:val="bottom"/>
          </w:tcPr>
          <w:p>
            <w:pPr>
              <w:jc w:val="right"/>
              <w:ind w:right="888"/>
              <w:spacing w:after="0"/>
              <w:rPr>
                <w:sz w:val="20"/>
                <w:szCs w:val="20"/>
                <w:color w:val="auto"/>
              </w:rPr>
            </w:pPr>
            <w:r>
              <w:rPr>
                <w:rFonts w:ascii="Arial" w:cs="Arial" w:eastAsia="Arial" w:hAnsi="Arial"/>
                <w:sz w:val="14"/>
                <w:szCs w:val="14"/>
                <w:b w:val="1"/>
                <w:bCs w:val="1"/>
                <w:color w:val="auto"/>
              </w:rPr>
              <w:t>10017</w:t>
            </w:r>
          </w:p>
        </w:tc>
      </w:tr>
      <w:tr>
        <w:trPr>
          <w:trHeight w:val="189"/>
        </w:trPr>
        <w:tc>
          <w:tcPr>
            <w:tcW w:w="3460" w:type="dxa"/>
            <w:vAlign w:val="bottom"/>
            <w:gridSpan w:val="3"/>
          </w:tcPr>
          <w:p>
            <w:pPr>
              <w:jc w:val="center"/>
              <w:ind w:right="1180"/>
              <w:spacing w:after="0"/>
              <w:rPr>
                <w:sz w:val="20"/>
                <w:szCs w:val="20"/>
                <w:color w:val="auto"/>
              </w:rPr>
            </w:pPr>
            <w:r>
              <w:rPr>
                <w:rFonts w:ascii="Arial" w:cs="Arial" w:eastAsia="Arial" w:hAnsi="Arial"/>
                <w:sz w:val="14"/>
                <w:szCs w:val="14"/>
                <w:color w:val="auto"/>
                <w:w w:val="95"/>
              </w:rPr>
              <w:t>(Address of principal executive offices)</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60" w:type="dxa"/>
            <w:vAlign w:val="bottom"/>
          </w:tcPr>
          <w:p>
            <w:pPr>
              <w:jc w:val="center"/>
              <w:ind w:left="1108"/>
              <w:spacing w:after="0"/>
              <w:rPr>
                <w:sz w:val="20"/>
                <w:szCs w:val="20"/>
                <w:color w:val="auto"/>
              </w:rPr>
            </w:pPr>
            <w:r>
              <w:rPr>
                <w:rFonts w:ascii="Arial" w:cs="Arial" w:eastAsia="Arial" w:hAnsi="Arial"/>
                <w:sz w:val="14"/>
                <w:szCs w:val="14"/>
                <w:color w:val="auto"/>
                <w:w w:val="96"/>
              </w:rPr>
              <w:t>(Zip Code)</w:t>
            </w:r>
          </w:p>
        </w:tc>
      </w:tr>
      <w:tr>
        <w:trPr>
          <w:trHeight w:val="263"/>
        </w:trPr>
        <w:tc>
          <w:tcPr>
            <w:tcW w:w="12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jc w:val="center"/>
              <w:ind w:left="128"/>
              <w:spacing w:after="0"/>
              <w:rPr>
                <w:sz w:val="20"/>
                <w:szCs w:val="20"/>
                <w:color w:val="auto"/>
              </w:rPr>
            </w:pPr>
            <w:r>
              <w:rPr>
                <w:rFonts w:ascii="Arial" w:cs="Arial" w:eastAsia="Arial" w:hAnsi="Arial"/>
                <w:sz w:val="14"/>
                <w:szCs w:val="14"/>
                <w:b w:val="1"/>
                <w:bCs w:val="1"/>
                <w:color w:val="auto"/>
                <w:w w:val="93"/>
              </w:rPr>
              <w:t>(212) 351-6100</w:t>
            </w:r>
          </w:p>
        </w:tc>
        <w:tc>
          <w:tcPr>
            <w:tcW w:w="100" w:type="dxa"/>
            <w:vAlign w:val="bottom"/>
          </w:tcPr>
          <w:p>
            <w:pPr>
              <w:spacing w:after="0"/>
              <w:rPr>
                <w:sz w:val="22"/>
                <w:szCs w:val="22"/>
                <w:color w:val="auto"/>
              </w:rPr>
            </w:pPr>
          </w:p>
        </w:tc>
        <w:tc>
          <w:tcPr>
            <w:tcW w:w="3460" w:type="dxa"/>
            <w:vAlign w:val="bottom"/>
          </w:tcPr>
          <w:p>
            <w:pPr>
              <w:spacing w:after="0"/>
              <w:rPr>
                <w:sz w:val="22"/>
                <w:szCs w:val="22"/>
                <w:color w:val="auto"/>
              </w:rPr>
            </w:pPr>
          </w:p>
        </w:tc>
      </w:tr>
      <w:tr>
        <w:trPr>
          <w:trHeight w:val="182"/>
        </w:trPr>
        <w:tc>
          <w:tcPr>
            <w:tcW w:w="120" w:type="dxa"/>
            <w:vAlign w:val="bottom"/>
          </w:tcPr>
          <w:p>
            <w:pPr>
              <w:spacing w:after="0"/>
              <w:rPr>
                <w:sz w:val="15"/>
                <w:szCs w:val="15"/>
                <w:color w:val="auto"/>
              </w:rPr>
            </w:pPr>
          </w:p>
        </w:tc>
        <w:tc>
          <w:tcPr>
            <w:tcW w:w="8200" w:type="dxa"/>
            <w:vAlign w:val="bottom"/>
            <w:gridSpan w:val="5"/>
          </w:tcPr>
          <w:p>
            <w:pPr>
              <w:jc w:val="center"/>
              <w:spacing w:after="0"/>
              <w:rPr>
                <w:sz w:val="20"/>
                <w:szCs w:val="20"/>
                <w:color w:val="auto"/>
              </w:rPr>
            </w:pPr>
            <w:r>
              <w:rPr>
                <w:rFonts w:ascii="Arial" w:cs="Arial" w:eastAsia="Arial" w:hAnsi="Arial"/>
                <w:sz w:val="14"/>
                <w:szCs w:val="14"/>
                <w:color w:val="auto"/>
                <w:w w:val="92"/>
              </w:rPr>
              <w:t>(Registrant’s telephone number, including area code)</w:t>
            </w:r>
          </w:p>
        </w:tc>
      </w:tr>
      <w:tr>
        <w:trPr>
          <w:trHeight w:val="203"/>
        </w:trPr>
        <w:tc>
          <w:tcPr>
            <w:tcW w:w="120" w:type="dxa"/>
            <w:vAlign w:val="bottom"/>
          </w:tcPr>
          <w:p>
            <w:pPr>
              <w:spacing w:after="0"/>
              <w:rPr>
                <w:sz w:val="17"/>
                <w:szCs w:val="17"/>
                <w:color w:val="auto"/>
              </w:rPr>
            </w:pPr>
          </w:p>
        </w:tc>
        <w:tc>
          <w:tcPr>
            <w:tcW w:w="8200" w:type="dxa"/>
            <w:vAlign w:val="bottom"/>
            <w:gridSpan w:val="5"/>
          </w:tcPr>
          <w:p>
            <w:pPr>
              <w:jc w:val="center"/>
              <w:spacing w:after="0"/>
              <w:rPr>
                <w:sz w:val="20"/>
                <w:szCs w:val="20"/>
                <w:color w:val="auto"/>
              </w:rPr>
            </w:pPr>
            <w:r>
              <w:rPr>
                <w:rFonts w:ascii="Arial" w:cs="Arial" w:eastAsia="Arial" w:hAnsi="Arial"/>
                <w:sz w:val="14"/>
                <w:szCs w:val="14"/>
                <w:color w:val="auto"/>
                <w:w w:val="93"/>
              </w:rPr>
              <w:t>Securities registered pursuant to Section 12(b) of the Act:</w:t>
            </w:r>
          </w:p>
        </w:tc>
      </w:tr>
      <w:tr>
        <w:trPr>
          <w:trHeight w:val="195"/>
        </w:trPr>
        <w:tc>
          <w:tcPr>
            <w:tcW w:w="120" w:type="dxa"/>
            <w:vAlign w:val="bottom"/>
          </w:tcPr>
          <w:p>
            <w:pPr>
              <w:spacing w:after="0"/>
              <w:rPr>
                <w:sz w:val="16"/>
                <w:szCs w:val="16"/>
                <w:color w:val="auto"/>
              </w:rPr>
            </w:pPr>
          </w:p>
        </w:tc>
        <w:tc>
          <w:tcPr>
            <w:tcW w:w="33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Title of each class</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Trading Symbol(s)</w:t>
            </w:r>
          </w:p>
        </w:tc>
        <w:tc>
          <w:tcPr>
            <w:tcW w:w="3460" w:type="dxa"/>
            <w:vAlign w:val="bottom"/>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186"/>
        </w:trPr>
        <w:tc>
          <w:tcPr>
            <w:tcW w:w="120" w:type="dxa"/>
            <w:vAlign w:val="bottom"/>
          </w:tcPr>
          <w:p>
            <w:pPr>
              <w:spacing w:after="0"/>
              <w:rPr>
                <w:sz w:val="16"/>
                <w:szCs w:val="16"/>
                <w:color w:val="auto"/>
              </w:rPr>
            </w:pPr>
          </w:p>
        </w:tc>
        <w:tc>
          <w:tcPr>
            <w:tcW w:w="32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Class A Common Stock, $0.001 par value per share</w:t>
            </w:r>
          </w:p>
        </w:tc>
        <w:tc>
          <w:tcPr>
            <w:tcW w:w="100" w:type="dxa"/>
            <w:vAlign w:val="bottom"/>
          </w:tcPr>
          <w:p>
            <w:pPr>
              <w:spacing w:after="0"/>
              <w:rPr>
                <w:sz w:val="16"/>
                <w:szCs w:val="16"/>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STEP</w:t>
            </w:r>
          </w:p>
        </w:tc>
        <w:tc>
          <w:tcPr>
            <w:tcW w:w="100" w:type="dxa"/>
            <w:vAlign w:val="bottom"/>
          </w:tcPr>
          <w:p>
            <w:pPr>
              <w:spacing w:after="0"/>
              <w:rPr>
                <w:sz w:val="16"/>
                <w:szCs w:val="16"/>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The Nasdaq Stock Market LLC</w:t>
            </w:r>
          </w:p>
        </w:tc>
      </w:tr>
    </w:tbl>
    <w:p>
      <w:pPr>
        <w:spacing w:after="0" w:line="101"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 w:lineRule="exact"/>
        <w:rPr>
          <w:sz w:val="24"/>
          <w:szCs w:val="24"/>
          <w:color w:val="auto"/>
        </w:rPr>
      </w:pPr>
    </w:p>
    <w:tbl>
      <w:tblPr>
        <w:tblLayout w:type="fixed"/>
        <w:tblInd w:w="1740" w:type="dxa"/>
        <w:tblCellMar>
          <w:top w:w="0" w:type="dxa"/>
          <w:left w:w="0" w:type="dxa"/>
          <w:bottom w:w="0" w:type="dxa"/>
          <w:right w:w="0" w:type="dxa"/>
        </w:tblCellMar>
      </w:tblPr>
      <w:tr>
        <w:trPr>
          <w:trHeight w:val="254"/>
        </w:trPr>
        <w:tc>
          <w:tcPr>
            <w:tcW w:w="22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1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ind w:left="520"/>
              <w:spacing w:after="0"/>
              <w:rPr>
                <w:sz w:val="20"/>
                <w:szCs w:val="20"/>
                <w:color w:val="auto"/>
              </w:rPr>
            </w:pPr>
            <w:r>
              <w:rPr>
                <w:rFonts w:ascii="Arial" w:cs="Arial" w:eastAsia="Arial" w:hAnsi="Arial"/>
                <w:sz w:val="16"/>
                <w:szCs w:val="16"/>
                <w:color w:val="auto"/>
              </w:rPr>
              <w:t>Accelerated filer</w:t>
            </w:r>
          </w:p>
        </w:tc>
        <w:tc>
          <w:tcPr>
            <w:tcW w:w="6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83"/>
        </w:trPr>
        <w:tc>
          <w:tcPr>
            <w:tcW w:w="2240" w:type="dxa"/>
            <w:vAlign w:val="bottom"/>
          </w:tcPr>
          <w:p>
            <w:pPr>
              <w:spacing w:after="0"/>
              <w:rPr>
                <w:sz w:val="20"/>
                <w:szCs w:val="20"/>
                <w:color w:val="auto"/>
              </w:rPr>
            </w:pPr>
            <w:r>
              <w:rPr>
                <w:rFonts w:ascii="Arial" w:cs="Arial" w:eastAsia="Arial" w:hAnsi="Arial"/>
                <w:sz w:val="16"/>
                <w:szCs w:val="16"/>
                <w:color w:val="auto"/>
              </w:rPr>
              <w:t>Non-accelerated filer</w:t>
            </w:r>
          </w:p>
        </w:tc>
        <w:tc>
          <w:tcPr>
            <w:tcW w:w="11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ind w:left="520"/>
              <w:spacing w:after="0"/>
              <w:rPr>
                <w:sz w:val="20"/>
                <w:szCs w:val="20"/>
                <w:color w:val="auto"/>
              </w:rPr>
            </w:pPr>
            <w:r>
              <w:rPr>
                <w:rFonts w:ascii="Arial" w:cs="Arial" w:eastAsia="Arial" w:hAnsi="Arial"/>
                <w:sz w:val="16"/>
                <w:szCs w:val="16"/>
                <w:color w:val="auto"/>
              </w:rPr>
              <w:t>Smaller reporting company</w:t>
            </w:r>
          </w:p>
        </w:tc>
        <w:tc>
          <w:tcPr>
            <w:tcW w:w="6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84"/>
        </w:trPr>
        <w:tc>
          <w:tcPr>
            <w:tcW w:w="22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11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397"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6" w:lineRule="exact"/>
        <w:rPr>
          <w:sz w:val="24"/>
          <w:szCs w:val="24"/>
          <w:color w:val="auto"/>
        </w:rPr>
      </w:pPr>
    </w:p>
    <w:p>
      <w:pPr>
        <w:ind w:right="20"/>
        <w:spacing w:after="0" w:line="349" w:lineRule="auto"/>
        <w:rPr>
          <w:sz w:val="20"/>
          <w:szCs w:val="20"/>
          <w:color w:val="auto"/>
        </w:rPr>
      </w:pPr>
      <w:r>
        <w:rPr>
          <w:rFonts w:ascii="Arial" w:cs="Arial" w:eastAsia="Arial" w:hAnsi="Arial"/>
          <w:sz w:val="14"/>
          <w:szCs w:val="14"/>
          <w:color w:val="auto"/>
        </w:rPr>
        <w:t>Indicate the number of shares outstanding of each of the registrant’s classes of common stock, as of the latest practicable date: As of August 10, 2021, there were 40,335,938 shares of the registrant’s Class A common stock, par value $0.001, and 54,480,393 shares of the registrant’s Class B common stock, par value $0.001,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836295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40" w:type="dxa"/>
            <w:vAlign w:val="bottom"/>
            <w:gridSpan w:val="5"/>
          </w:tcPr>
          <w:p>
            <w:pPr>
              <w:ind w:left="780"/>
              <w:spacing w:after="0"/>
              <w:rPr>
                <w:sz w:val="20"/>
                <w:szCs w:val="20"/>
                <w:color w:val="auto"/>
              </w:rPr>
            </w:pPr>
            <w:r>
              <w:rPr>
                <w:rFonts w:ascii="Arial" w:cs="Arial" w:eastAsia="Arial" w:hAnsi="Arial"/>
                <w:sz w:val="18"/>
                <w:szCs w:val="18"/>
                <w:color w:val="auto"/>
              </w:rPr>
              <w:t>Page</w:t>
            </w: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800" w:type="dxa"/>
            <w:vAlign w:val="bottom"/>
            <w:gridSpan w:val="10"/>
            <w:shd w:val="clear" w:color="auto" w:fill="CCEEFF"/>
          </w:tcPr>
          <w:p>
            <w:pPr>
              <w:jc w:val="center"/>
              <w:ind w:right="1340"/>
              <w:spacing w:after="0"/>
              <w:rPr>
                <w:sz w:val="20"/>
                <w:szCs w:val="20"/>
                <w:color w:val="auto"/>
              </w:rPr>
            </w:pPr>
            <w:r>
              <w:rPr>
                <w:rFonts w:ascii="Arial" w:cs="Arial" w:eastAsia="Arial" w:hAnsi="Arial"/>
                <w:sz w:val="18"/>
                <w:szCs w:val="18"/>
                <w:color w:val="auto"/>
                <w:w w:val="98"/>
              </w:rPr>
              <w:t>PART I - FINANCIAL INFORMATION</w:t>
            </w:r>
          </w:p>
        </w:tc>
        <w:tc>
          <w:tcPr>
            <w:tcW w:w="7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9680" w:type="dxa"/>
            <w:vAlign w:val="bottom"/>
            <w:gridSpan w:val="19"/>
          </w:tcPr>
          <w:p>
            <w:pPr>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Item 1. Financial Statements</w:t>
              </w:r>
            </w:hyperlink>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5860" w:type="dxa"/>
            <w:vAlign w:val="bottom"/>
            <w:tcBorders>
              <w:bottom w:val="single" w:sz="8" w:color="0000FF"/>
            </w:tcBorders>
            <w:gridSpan w:val="12"/>
            <w:shd w:val="clear" w:color="auto" w:fill="CCEEFF"/>
          </w:tcPr>
          <w:p>
            <w:pPr>
              <w:spacing w:after="0" w:line="189" w:lineRule="exact"/>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Balance Sheets as of June 30, 2021 and March 31, 2021</w:t>
              </w:r>
            </w:hyperlink>
          </w:p>
        </w:tc>
        <w:tc>
          <w:tcPr>
            <w:tcW w:w="3320" w:type="dxa"/>
            <w:vAlign w:val="bottom"/>
            <w:tcBorders>
              <w:bottom w:val="single" w:sz="8" w:color="CCEEFF"/>
            </w:tcBorders>
            <w:gridSpan w:val="6"/>
            <w:shd w:val="clear" w:color="auto" w:fill="CCEEFF"/>
          </w:tcPr>
          <w:p>
            <w:pPr>
              <w:spacing w:after="0"/>
              <w:rPr>
                <w:sz w:val="18"/>
                <w:szCs w:val="18"/>
                <w:color w:val="auto"/>
              </w:rPr>
            </w:pPr>
          </w:p>
        </w:tc>
        <w:tc>
          <w:tcPr>
            <w:tcW w:w="90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89"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5</w:t>
              </w:r>
            </w:hyperlink>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180" w:type="dxa"/>
            <w:vAlign w:val="bottom"/>
            <w:gridSpan w:val="18"/>
          </w:tcPr>
          <w:p>
            <w:pPr>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 xml:space="preserve">Condensed Consolidated Statements of Income for the Three Months Ended June 30, 2021 and </w:t>
              </w:r>
            </w:hyperlink>
            <w:r>
              <w:rPr>
                <w:rFonts w:ascii="Arial" w:cs="Arial" w:eastAsia="Arial" w:hAnsi="Arial"/>
                <w:sz w:val="18"/>
                <w:szCs w:val="18"/>
                <w:color w:val="0000FF"/>
              </w:rPr>
              <w:t>2020</w:t>
            </w:r>
          </w:p>
        </w:tc>
        <w:tc>
          <w:tcPr>
            <w:tcW w:w="1040" w:type="dxa"/>
            <w:vAlign w:val="bottom"/>
            <w:gridSpan w:val="3"/>
          </w:tcPr>
          <w:p>
            <w:pPr>
              <w:jc w:val="center"/>
              <w:ind w:left="770"/>
              <w:spacing w:after="0" w:line="189" w:lineRule="exact"/>
              <w:rPr>
                <w:rFonts w:ascii="Arial" w:cs="Arial" w:eastAsia="Arial" w:hAnsi="Arial"/>
                <w:sz w:val="18"/>
                <w:szCs w:val="18"/>
                <w:color w:val="0000FF"/>
                <w:w w:val="99"/>
              </w:rPr>
            </w:pPr>
            <w:hyperlink w:anchor="page6">
              <w:r>
                <w:rPr>
                  <w:rFonts w:ascii="Arial" w:cs="Arial" w:eastAsia="Arial" w:hAnsi="Arial"/>
                  <w:sz w:val="18"/>
                  <w:szCs w:val="18"/>
                  <w:color w:val="0000FF"/>
                  <w:w w:val="99"/>
                </w:rPr>
                <w:t>7</w:t>
              </w:r>
            </w:hyperlink>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420" w:type="dxa"/>
            <w:vAlign w:val="bottom"/>
            <w:tcBorders>
              <w:bottom w:val="single" w:sz="8" w:color="0000FF"/>
            </w:tcBorders>
            <w:gridSpan w:val="17"/>
            <w:shd w:val="clear" w:color="auto" w:fill="CCEEFF"/>
          </w:tcPr>
          <w:p>
            <w:pPr>
              <w:spacing w:after="0" w:line="189" w:lineRule="exact"/>
              <w:rPr>
                <w:rFonts w:ascii="Arial" w:cs="Arial" w:eastAsia="Arial" w:hAnsi="Arial"/>
                <w:sz w:val="18"/>
                <w:szCs w:val="18"/>
                <w:color w:val="0000FF"/>
                <w:w w:val="89"/>
              </w:rPr>
            </w:pPr>
            <w:hyperlink w:anchor="page7">
              <w:r>
                <w:rPr>
                  <w:rFonts w:ascii="Arial" w:cs="Arial" w:eastAsia="Arial" w:hAnsi="Arial"/>
                  <w:sz w:val="18"/>
                  <w:szCs w:val="18"/>
                  <w:color w:val="0000FF"/>
                  <w:w w:val="89"/>
                </w:rPr>
                <w:t xml:space="preserve">Condensed Consolidated Statements of Comprehensive Income for the Three Months Ended June 30, 2021 and </w:t>
              </w:r>
            </w:hyperlink>
            <w:r>
              <w:rPr>
                <w:rFonts w:ascii="Arial" w:cs="Arial" w:eastAsia="Arial" w:hAnsi="Arial"/>
                <w:sz w:val="18"/>
                <w:szCs w:val="18"/>
                <w:color w:val="0000FF"/>
                <w:w w:val="89"/>
              </w:rPr>
              <w:t>2020</w:t>
            </w:r>
          </w:p>
        </w:tc>
        <w:tc>
          <w:tcPr>
            <w:tcW w:w="7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89" w:lineRule="exact"/>
              <w:rPr>
                <w:rFonts w:ascii="Arial" w:cs="Arial" w:eastAsia="Arial" w:hAnsi="Arial"/>
                <w:sz w:val="18"/>
                <w:szCs w:val="18"/>
                <w:color w:val="0000FF"/>
                <w:w w:val="99"/>
              </w:rPr>
            </w:pPr>
            <w:hyperlink w:anchor="page7">
              <w:r>
                <w:rPr>
                  <w:rFonts w:ascii="Arial" w:cs="Arial" w:eastAsia="Arial" w:hAnsi="Arial"/>
                  <w:sz w:val="18"/>
                  <w:szCs w:val="18"/>
                  <w:color w:val="0000FF"/>
                  <w:w w:val="99"/>
                </w:rPr>
                <w:t>8</w:t>
              </w:r>
            </w:hyperlink>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180" w:type="dxa"/>
            <w:vAlign w:val="bottom"/>
            <w:gridSpan w:val="18"/>
          </w:tcPr>
          <w:p>
            <w:pPr>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 xml:space="preserve">Condensed Consolidated Statements of Stockholders’ Equity for the Three Months Ended June 30, 2021 and </w:t>
              </w:r>
            </w:hyperlink>
            <w:r>
              <w:rPr>
                <w:rFonts w:ascii="Arial" w:cs="Arial" w:eastAsia="Arial" w:hAnsi="Arial"/>
                <w:sz w:val="18"/>
                <w:szCs w:val="18"/>
                <w:color w:val="0000FF"/>
              </w:rPr>
              <w:t>2020</w:t>
            </w:r>
          </w:p>
        </w:tc>
        <w:tc>
          <w:tcPr>
            <w:tcW w:w="1040" w:type="dxa"/>
            <w:vAlign w:val="bottom"/>
            <w:gridSpan w:val="3"/>
          </w:tcPr>
          <w:p>
            <w:pPr>
              <w:jc w:val="center"/>
              <w:ind w:left="770"/>
              <w:spacing w:after="0" w:line="189" w:lineRule="exact"/>
              <w:rPr>
                <w:rFonts w:ascii="Arial" w:cs="Arial" w:eastAsia="Arial" w:hAnsi="Arial"/>
                <w:sz w:val="18"/>
                <w:szCs w:val="18"/>
                <w:color w:val="0000FF"/>
                <w:w w:val="99"/>
              </w:rPr>
            </w:pPr>
            <w:hyperlink w:anchor="page8">
              <w:r>
                <w:rPr>
                  <w:rFonts w:ascii="Arial" w:cs="Arial" w:eastAsia="Arial" w:hAnsi="Arial"/>
                  <w:sz w:val="18"/>
                  <w:szCs w:val="18"/>
                  <w:color w:val="0000FF"/>
                  <w:w w:val="99"/>
                </w:rPr>
                <w:t>9</w:t>
              </w:r>
            </w:hyperlink>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180" w:type="dxa"/>
            <w:vAlign w:val="bottom"/>
            <w:gridSpan w:val="18"/>
            <w:shd w:val="clear" w:color="auto" w:fill="CCEEFF"/>
          </w:tcPr>
          <w:p>
            <w:pPr>
              <w:spacing w:after="0" w:line="189" w:lineRule="exact"/>
              <w:rPr>
                <w:rFonts w:ascii="Arial" w:cs="Arial" w:eastAsia="Arial" w:hAnsi="Arial"/>
                <w:sz w:val="18"/>
                <w:szCs w:val="18"/>
                <w:color w:val="0000FF"/>
              </w:rPr>
            </w:pPr>
            <w:hyperlink w:anchor="page9">
              <w:r>
                <w:rPr>
                  <w:rFonts w:ascii="Arial" w:cs="Arial" w:eastAsia="Arial" w:hAnsi="Arial"/>
                  <w:sz w:val="18"/>
                  <w:szCs w:val="18"/>
                  <w:color w:val="0000FF"/>
                </w:rPr>
                <w:t xml:space="preserve">Condensed Consolidated Statements of Cash Flows for the Three Months Ended June 30, 2021 and </w:t>
              </w:r>
            </w:hyperlink>
            <w:r>
              <w:rPr>
                <w:rFonts w:ascii="Arial" w:cs="Arial" w:eastAsia="Arial" w:hAnsi="Arial"/>
                <w:sz w:val="18"/>
                <w:szCs w:val="18"/>
                <w:color w:val="0000FF"/>
              </w:rPr>
              <w:t>2020</w:t>
            </w:r>
          </w:p>
        </w:tc>
        <w:tc>
          <w:tcPr>
            <w:tcW w:w="1040" w:type="dxa"/>
            <w:vAlign w:val="bottom"/>
            <w:tcBorders>
              <w:right w:val="single" w:sz="8" w:color="CCEEFF"/>
            </w:tcBorders>
            <w:gridSpan w:val="3"/>
            <w:shd w:val="clear" w:color="auto" w:fill="CCEEFF"/>
          </w:tcPr>
          <w:p>
            <w:pPr>
              <w:jc w:val="center"/>
              <w:ind w:left="770"/>
              <w:spacing w:after="0" w:line="189" w:lineRule="exact"/>
              <w:rPr>
                <w:rFonts w:ascii="Arial" w:cs="Arial" w:eastAsia="Arial" w:hAnsi="Arial"/>
                <w:sz w:val="18"/>
                <w:szCs w:val="18"/>
                <w:color w:val="0000FF"/>
                <w:w w:val="89"/>
              </w:rPr>
            </w:pPr>
            <w:hyperlink w:anchor="page9">
              <w:r>
                <w:rPr>
                  <w:rFonts w:ascii="Arial" w:cs="Arial" w:eastAsia="Arial" w:hAnsi="Arial"/>
                  <w:sz w:val="18"/>
                  <w:szCs w:val="18"/>
                  <w:color w:val="0000FF"/>
                  <w:w w:val="89"/>
                </w:rPr>
                <w:t>10</w:t>
              </w:r>
            </w:hyperlink>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7540" w:type="dxa"/>
            <w:vAlign w:val="bottom"/>
            <w:tcBorders>
              <w:top w:val="single" w:sz="8" w:color="0000FF"/>
            </w:tcBorders>
            <w:gridSpan w:val="15"/>
          </w:tcPr>
          <w:p>
            <w:pPr>
              <w:spacing w:after="0" w:line="189" w:lineRule="exact"/>
              <w:rPr>
                <w:rFonts w:ascii="Arial" w:cs="Arial" w:eastAsia="Arial" w:hAnsi="Arial"/>
                <w:sz w:val="18"/>
                <w:szCs w:val="18"/>
                <w:color w:val="0000FF"/>
              </w:rPr>
            </w:pPr>
            <w:hyperlink w:anchor="page11">
              <w:r>
                <w:rPr>
                  <w:rFonts w:ascii="Arial" w:cs="Arial" w:eastAsia="Arial" w:hAnsi="Arial"/>
                  <w:sz w:val="18"/>
                  <w:szCs w:val="18"/>
                  <w:color w:val="0000FF"/>
                </w:rPr>
                <w:t>Notes to Condensed Consolidated Financial Statements</w:t>
              </w:r>
            </w:hyperlink>
          </w:p>
        </w:tc>
        <w:tc>
          <w:tcPr>
            <w:tcW w:w="1640" w:type="dxa"/>
            <w:vAlign w:val="bottom"/>
            <w:tcBorders>
              <w:top w:val="single" w:sz="8" w:color="CCEEFF"/>
            </w:tcBorders>
            <w:gridSpan w:val="3"/>
          </w:tcPr>
          <w:p>
            <w:pPr>
              <w:spacing w:after="0"/>
              <w:rPr>
                <w:sz w:val="16"/>
                <w:szCs w:val="16"/>
                <w:color w:val="auto"/>
              </w:rPr>
            </w:pPr>
          </w:p>
        </w:tc>
        <w:tc>
          <w:tcPr>
            <w:tcW w:w="90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rFonts w:ascii="Arial" w:cs="Arial" w:eastAsia="Arial" w:hAnsi="Arial"/>
                <w:sz w:val="17"/>
                <w:szCs w:val="17"/>
                <w:color w:val="0000FF"/>
                <w:w w:val="73"/>
              </w:rPr>
            </w:pPr>
            <w:hyperlink w:anchor="page11">
              <w:r>
                <w:rPr>
                  <w:rFonts w:ascii="Arial" w:cs="Arial" w:eastAsia="Arial" w:hAnsi="Arial"/>
                  <w:sz w:val="17"/>
                  <w:szCs w:val="17"/>
                  <w:color w:val="0000FF"/>
                  <w:w w:val="73"/>
                </w:rPr>
                <w:t>12</w:t>
              </w:r>
            </w:hyperlink>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7020" w:type="dxa"/>
            <w:vAlign w:val="bottom"/>
            <w:tcBorders>
              <w:bottom w:val="single" w:sz="8" w:color="0000FF"/>
            </w:tcBorders>
            <w:gridSpan w:val="14"/>
            <w:shd w:val="clear" w:color="auto" w:fill="CCEEFF"/>
          </w:tcPr>
          <w:p>
            <w:pPr>
              <w:spacing w:after="0" w:line="189" w:lineRule="exact"/>
              <w:rPr>
                <w:rFonts w:ascii="Arial" w:cs="Arial" w:eastAsia="Arial" w:hAnsi="Arial"/>
                <w:sz w:val="18"/>
                <w:szCs w:val="18"/>
                <w:color w:val="0000FF"/>
                <w:w w:val="91"/>
              </w:rPr>
            </w:pPr>
            <w:hyperlink w:anchor="page33">
              <w:r>
                <w:rPr>
                  <w:rFonts w:ascii="Arial" w:cs="Arial" w:eastAsia="Arial" w:hAnsi="Arial"/>
                  <w:sz w:val="18"/>
                  <w:szCs w:val="18"/>
                  <w:color w:val="0000FF"/>
                  <w:w w:val="91"/>
                </w:rPr>
                <w:t>Item 2. Management’s Discussion and Analysis of Financial Condition and Results of Operations</w:t>
              </w:r>
            </w:hyperlink>
          </w:p>
        </w:tc>
        <w:tc>
          <w:tcPr>
            <w:tcW w:w="2660" w:type="dxa"/>
            <w:vAlign w:val="bottom"/>
            <w:tcBorders>
              <w:bottom w:val="single" w:sz="8" w:color="CCEEFF"/>
            </w:tcBorders>
            <w:gridSpan w:val="5"/>
            <w:shd w:val="clear" w:color="auto" w:fill="CCEEFF"/>
          </w:tcPr>
          <w:p>
            <w:pPr>
              <w:spacing w:after="0"/>
              <w:rPr>
                <w:sz w:val="18"/>
                <w:szCs w:val="18"/>
                <w:color w:val="auto"/>
              </w:rPr>
            </w:pPr>
          </w:p>
        </w:tc>
        <w:tc>
          <w:tcPr>
            <w:tcW w:w="90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89" w:lineRule="exact"/>
              <w:rPr>
                <w:rFonts w:ascii="Arial" w:cs="Arial" w:eastAsia="Arial" w:hAnsi="Arial"/>
                <w:sz w:val="17"/>
                <w:szCs w:val="17"/>
                <w:color w:val="0000FF"/>
                <w:w w:val="73"/>
              </w:rPr>
            </w:pPr>
            <w:hyperlink w:anchor="page33">
              <w:r>
                <w:rPr>
                  <w:rFonts w:ascii="Arial" w:cs="Arial" w:eastAsia="Arial" w:hAnsi="Arial"/>
                  <w:sz w:val="17"/>
                  <w:szCs w:val="17"/>
                  <w:color w:val="0000FF"/>
                  <w:w w:val="73"/>
                </w:rPr>
                <w:t>34</w:t>
              </w:r>
            </w:hyperlink>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9680" w:type="dxa"/>
            <w:vAlign w:val="bottom"/>
            <w:gridSpan w:val="19"/>
          </w:tcPr>
          <w:p>
            <w:pPr>
              <w:spacing w:after="0" w:line="189" w:lineRule="exact"/>
              <w:rPr>
                <w:rFonts w:ascii="Arial" w:cs="Arial" w:eastAsia="Arial" w:hAnsi="Arial"/>
                <w:sz w:val="18"/>
                <w:szCs w:val="18"/>
                <w:color w:val="0000FF"/>
              </w:rPr>
            </w:pPr>
            <w:hyperlink w:anchor="page57">
              <w:r>
                <w:rPr>
                  <w:rFonts w:ascii="Arial" w:cs="Arial" w:eastAsia="Arial" w:hAnsi="Arial"/>
                  <w:sz w:val="18"/>
                  <w:szCs w:val="18"/>
                  <w:color w:val="0000FF"/>
                </w:rPr>
                <w:t>Item 3. Qualitative and Quantitative Disclosures about Market Risk</w:t>
              </w:r>
            </w:hyperlink>
          </w:p>
        </w:tc>
        <w:tc>
          <w:tcPr>
            <w:tcW w:w="1040" w:type="dxa"/>
            <w:vAlign w:val="bottom"/>
            <w:gridSpan w:val="3"/>
          </w:tcPr>
          <w:p>
            <w:pPr>
              <w:jc w:val="center"/>
              <w:ind w:left="770"/>
              <w:spacing w:after="0" w:line="189" w:lineRule="exact"/>
              <w:rPr>
                <w:rFonts w:ascii="Arial" w:cs="Arial" w:eastAsia="Arial" w:hAnsi="Arial"/>
                <w:sz w:val="18"/>
                <w:szCs w:val="18"/>
                <w:color w:val="0000FF"/>
                <w:w w:val="89"/>
              </w:rPr>
            </w:pPr>
            <w:hyperlink w:anchor="page57">
              <w:r>
                <w:rPr>
                  <w:rFonts w:ascii="Arial" w:cs="Arial" w:eastAsia="Arial" w:hAnsi="Arial"/>
                  <w:sz w:val="18"/>
                  <w:szCs w:val="18"/>
                  <w:color w:val="0000FF"/>
                  <w:w w:val="89"/>
                </w:rPr>
                <w:t>57</w:t>
              </w:r>
            </w:hyperlink>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680" w:type="dxa"/>
            <w:vAlign w:val="bottom"/>
            <w:gridSpan w:val="19"/>
            <w:shd w:val="clear" w:color="auto" w:fill="CCEEFF"/>
          </w:tcPr>
          <w:p>
            <w:pPr>
              <w:spacing w:after="0" w:line="189" w:lineRule="exact"/>
              <w:rPr>
                <w:rFonts w:ascii="Arial" w:cs="Arial" w:eastAsia="Arial" w:hAnsi="Arial"/>
                <w:sz w:val="18"/>
                <w:szCs w:val="18"/>
                <w:color w:val="0000FF"/>
              </w:rPr>
            </w:pPr>
            <w:hyperlink w:anchor="page59">
              <w:r>
                <w:rPr>
                  <w:rFonts w:ascii="Arial" w:cs="Arial" w:eastAsia="Arial" w:hAnsi="Arial"/>
                  <w:sz w:val="18"/>
                  <w:szCs w:val="18"/>
                  <w:color w:val="0000FF"/>
                </w:rPr>
                <w:t>Item 4. Controls and Procedures</w:t>
              </w:r>
            </w:hyperlink>
          </w:p>
        </w:tc>
        <w:tc>
          <w:tcPr>
            <w:tcW w:w="1040" w:type="dxa"/>
            <w:vAlign w:val="bottom"/>
            <w:tcBorders>
              <w:right w:val="single" w:sz="8" w:color="CCEEFF"/>
            </w:tcBorders>
            <w:gridSpan w:val="3"/>
            <w:shd w:val="clear" w:color="auto" w:fill="CCEEFF"/>
          </w:tcPr>
          <w:p>
            <w:pPr>
              <w:jc w:val="center"/>
              <w:ind w:left="770"/>
              <w:spacing w:after="0" w:line="189" w:lineRule="exact"/>
              <w:rPr>
                <w:rFonts w:ascii="Arial" w:cs="Arial" w:eastAsia="Arial" w:hAnsi="Arial"/>
                <w:sz w:val="18"/>
                <w:szCs w:val="18"/>
                <w:color w:val="0000FF"/>
                <w:w w:val="89"/>
              </w:rPr>
            </w:pPr>
            <w:hyperlink w:anchor="page59">
              <w:r>
                <w:rPr>
                  <w:rFonts w:ascii="Arial" w:cs="Arial" w:eastAsia="Arial" w:hAnsi="Arial"/>
                  <w:sz w:val="18"/>
                  <w:szCs w:val="18"/>
                  <w:color w:val="0000FF"/>
                  <w:w w:val="89"/>
                </w:rPr>
                <w:t>59</w:t>
              </w:r>
            </w:hyperlink>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44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6800" w:type="dxa"/>
            <w:vAlign w:val="bottom"/>
            <w:tcBorders>
              <w:top w:val="single" w:sz="8" w:color="CCEEFF"/>
            </w:tcBorders>
            <w:gridSpan w:val="10"/>
          </w:tcPr>
          <w:p>
            <w:pPr>
              <w:jc w:val="center"/>
              <w:ind w:right="1360"/>
              <w:spacing w:after="0"/>
              <w:rPr>
                <w:sz w:val="20"/>
                <w:szCs w:val="20"/>
                <w:color w:val="auto"/>
              </w:rPr>
            </w:pPr>
            <w:r>
              <w:rPr>
                <w:rFonts w:ascii="Arial" w:cs="Arial" w:eastAsia="Arial" w:hAnsi="Arial"/>
                <w:sz w:val="18"/>
                <w:szCs w:val="18"/>
                <w:color w:val="auto"/>
                <w:w w:val="96"/>
              </w:rPr>
              <w:t>PART II - OTHER INFORMATION</w:t>
            </w:r>
          </w:p>
        </w:tc>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0000FF"/>
            </w:tcBorders>
            <w:gridSpan w:val="6"/>
            <w:shd w:val="clear" w:color="auto" w:fill="CCEEFF"/>
          </w:tcPr>
          <w:p>
            <w:pPr>
              <w:spacing w:after="0" w:line="189" w:lineRule="exact"/>
              <w:rPr>
                <w:rFonts w:ascii="Arial" w:cs="Arial" w:eastAsia="Arial" w:hAnsi="Arial"/>
                <w:sz w:val="18"/>
                <w:szCs w:val="18"/>
                <w:color w:val="0000FF"/>
                <w:w w:val="89"/>
              </w:rPr>
            </w:pPr>
            <w:hyperlink w:anchor="page60">
              <w:r>
                <w:rPr>
                  <w:rFonts w:ascii="Arial" w:cs="Arial" w:eastAsia="Arial" w:hAnsi="Arial"/>
                  <w:sz w:val="18"/>
                  <w:szCs w:val="18"/>
                  <w:color w:val="0000FF"/>
                  <w:w w:val="89"/>
                </w:rPr>
                <w:t>Item 1. Legal Proceedings</w:t>
              </w:r>
            </w:hyperlink>
          </w:p>
        </w:tc>
        <w:tc>
          <w:tcPr>
            <w:tcW w:w="7780" w:type="dxa"/>
            <w:vAlign w:val="bottom"/>
            <w:tcBorders>
              <w:bottom w:val="single" w:sz="8" w:color="CCEEFF"/>
            </w:tcBorders>
            <w:gridSpan w:val="13"/>
            <w:shd w:val="clear" w:color="auto" w:fill="CCEEFF"/>
          </w:tcPr>
          <w:p>
            <w:pPr>
              <w:spacing w:after="0"/>
              <w:rPr>
                <w:sz w:val="18"/>
                <w:szCs w:val="18"/>
                <w:color w:val="auto"/>
              </w:rPr>
            </w:pPr>
          </w:p>
        </w:tc>
        <w:tc>
          <w:tcPr>
            <w:tcW w:w="90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89" w:lineRule="exact"/>
              <w:rPr>
                <w:rFonts w:ascii="Arial" w:cs="Arial" w:eastAsia="Arial" w:hAnsi="Arial"/>
                <w:sz w:val="17"/>
                <w:szCs w:val="17"/>
                <w:color w:val="0000FF"/>
                <w:w w:val="73"/>
              </w:rPr>
            </w:pPr>
            <w:hyperlink w:anchor="page60">
              <w:r>
                <w:rPr>
                  <w:rFonts w:ascii="Arial" w:cs="Arial" w:eastAsia="Arial" w:hAnsi="Arial"/>
                  <w:sz w:val="17"/>
                  <w:szCs w:val="17"/>
                  <w:color w:val="0000FF"/>
                  <w:w w:val="73"/>
                </w:rPr>
                <w:t>60</w:t>
              </w:r>
            </w:hyperlink>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9680" w:type="dxa"/>
            <w:vAlign w:val="bottom"/>
            <w:gridSpan w:val="19"/>
          </w:tcPr>
          <w:p>
            <w:pPr>
              <w:spacing w:after="0" w:line="189" w:lineRule="exact"/>
              <w:rPr>
                <w:rFonts w:ascii="Arial" w:cs="Arial" w:eastAsia="Arial" w:hAnsi="Arial"/>
                <w:sz w:val="18"/>
                <w:szCs w:val="18"/>
                <w:color w:val="0000FF"/>
              </w:rPr>
            </w:pPr>
            <w:hyperlink w:anchor="page60">
              <w:r>
                <w:rPr>
                  <w:rFonts w:ascii="Arial" w:cs="Arial" w:eastAsia="Arial" w:hAnsi="Arial"/>
                  <w:sz w:val="18"/>
                  <w:szCs w:val="18"/>
                  <w:color w:val="0000FF"/>
                </w:rPr>
                <w:t>Item 1A. Risk Factors</w:t>
              </w:r>
            </w:hyperlink>
          </w:p>
        </w:tc>
        <w:tc>
          <w:tcPr>
            <w:tcW w:w="1040" w:type="dxa"/>
            <w:vAlign w:val="bottom"/>
            <w:gridSpan w:val="3"/>
          </w:tcPr>
          <w:p>
            <w:pPr>
              <w:jc w:val="center"/>
              <w:ind w:left="770"/>
              <w:spacing w:after="0" w:line="189" w:lineRule="exact"/>
              <w:rPr>
                <w:rFonts w:ascii="Arial" w:cs="Arial" w:eastAsia="Arial" w:hAnsi="Arial"/>
                <w:sz w:val="18"/>
                <w:szCs w:val="18"/>
                <w:color w:val="0000FF"/>
                <w:w w:val="89"/>
              </w:rPr>
            </w:pPr>
            <w:hyperlink w:anchor="page60">
              <w:r>
                <w:rPr>
                  <w:rFonts w:ascii="Arial" w:cs="Arial" w:eastAsia="Arial" w:hAnsi="Arial"/>
                  <w:sz w:val="18"/>
                  <w:szCs w:val="18"/>
                  <w:color w:val="0000FF"/>
                  <w:w w:val="89"/>
                </w:rPr>
                <w:t>60</w:t>
              </w:r>
            </w:hyperlink>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9680" w:type="dxa"/>
            <w:vAlign w:val="bottom"/>
            <w:gridSpan w:val="19"/>
            <w:shd w:val="clear" w:color="auto" w:fill="CCEEFF"/>
          </w:tcPr>
          <w:p>
            <w:pPr>
              <w:spacing w:after="0" w:line="189" w:lineRule="exact"/>
              <w:rPr>
                <w:rFonts w:ascii="Arial" w:cs="Arial" w:eastAsia="Arial" w:hAnsi="Arial"/>
                <w:sz w:val="18"/>
                <w:szCs w:val="18"/>
                <w:color w:val="0000FF"/>
              </w:rPr>
            </w:pPr>
            <w:hyperlink w:anchor="page60">
              <w:r>
                <w:rPr>
                  <w:rFonts w:ascii="Arial" w:cs="Arial" w:eastAsia="Arial" w:hAnsi="Arial"/>
                  <w:sz w:val="18"/>
                  <w:szCs w:val="18"/>
                  <w:color w:val="0000FF"/>
                </w:rPr>
                <w:t>Item 2. Unregistered Sales of Equity Securities and Use of Proceeds</w:t>
              </w:r>
            </w:hyperlink>
          </w:p>
        </w:tc>
        <w:tc>
          <w:tcPr>
            <w:tcW w:w="1040" w:type="dxa"/>
            <w:vAlign w:val="bottom"/>
            <w:tcBorders>
              <w:right w:val="single" w:sz="8" w:color="CCEEFF"/>
            </w:tcBorders>
            <w:gridSpan w:val="3"/>
            <w:shd w:val="clear" w:color="auto" w:fill="CCEEFF"/>
          </w:tcPr>
          <w:p>
            <w:pPr>
              <w:jc w:val="center"/>
              <w:ind w:left="770"/>
              <w:spacing w:after="0" w:line="189" w:lineRule="exact"/>
              <w:rPr>
                <w:rFonts w:ascii="Arial" w:cs="Arial" w:eastAsia="Arial" w:hAnsi="Arial"/>
                <w:sz w:val="18"/>
                <w:szCs w:val="18"/>
                <w:color w:val="0000FF"/>
                <w:w w:val="89"/>
              </w:rPr>
            </w:pPr>
            <w:hyperlink w:anchor="page60">
              <w:r>
                <w:rPr>
                  <w:rFonts w:ascii="Arial" w:cs="Arial" w:eastAsia="Arial" w:hAnsi="Arial"/>
                  <w:sz w:val="18"/>
                  <w:szCs w:val="18"/>
                  <w:color w:val="0000FF"/>
                  <w:w w:val="89"/>
                </w:rPr>
                <w:t>60</w:t>
              </w:r>
            </w:hyperlink>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4900" w:type="dxa"/>
            <w:vAlign w:val="bottom"/>
            <w:tcBorders>
              <w:top w:val="single" w:sz="8" w:color="0000FF"/>
            </w:tcBorders>
            <w:gridSpan w:val="12"/>
          </w:tcPr>
          <w:p>
            <w:pPr>
              <w:spacing w:after="0" w:line="189" w:lineRule="exact"/>
              <w:rPr>
                <w:rFonts w:ascii="Arial" w:cs="Arial" w:eastAsia="Arial" w:hAnsi="Arial"/>
                <w:sz w:val="18"/>
                <w:szCs w:val="18"/>
                <w:color w:val="0000FF"/>
              </w:rPr>
            </w:pPr>
            <w:hyperlink w:anchor="page60">
              <w:r>
                <w:rPr>
                  <w:rFonts w:ascii="Arial" w:cs="Arial" w:eastAsia="Arial" w:hAnsi="Arial"/>
                  <w:sz w:val="18"/>
                  <w:szCs w:val="18"/>
                  <w:color w:val="0000FF"/>
                </w:rPr>
                <w:t>Item 3. Defaults Upon Senior Securities</w:t>
              </w:r>
            </w:hyperlink>
          </w:p>
        </w:tc>
        <w:tc>
          <w:tcPr>
            <w:tcW w:w="4780" w:type="dxa"/>
            <w:vAlign w:val="bottom"/>
            <w:tcBorders>
              <w:top w:val="single" w:sz="8" w:color="CCEEFF"/>
            </w:tcBorders>
            <w:gridSpan w:val="7"/>
          </w:tcPr>
          <w:p>
            <w:pPr>
              <w:spacing w:after="0"/>
              <w:rPr>
                <w:sz w:val="16"/>
                <w:szCs w:val="16"/>
                <w:color w:val="auto"/>
              </w:rPr>
            </w:pPr>
          </w:p>
        </w:tc>
        <w:tc>
          <w:tcPr>
            <w:tcW w:w="90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rFonts w:ascii="Arial" w:cs="Arial" w:eastAsia="Arial" w:hAnsi="Arial"/>
                <w:sz w:val="17"/>
                <w:szCs w:val="17"/>
                <w:color w:val="0000FF"/>
                <w:w w:val="73"/>
              </w:rPr>
            </w:pPr>
            <w:hyperlink w:anchor="page60">
              <w:r>
                <w:rPr>
                  <w:rFonts w:ascii="Arial" w:cs="Arial" w:eastAsia="Arial" w:hAnsi="Arial"/>
                  <w:sz w:val="17"/>
                  <w:szCs w:val="17"/>
                  <w:color w:val="0000FF"/>
                  <w:w w:val="73"/>
                </w:rPr>
                <w:t>60</w:t>
              </w:r>
            </w:hyperlink>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9680" w:type="dxa"/>
            <w:vAlign w:val="bottom"/>
            <w:gridSpan w:val="19"/>
            <w:shd w:val="clear" w:color="auto" w:fill="CCEEFF"/>
          </w:tcPr>
          <w:p>
            <w:pPr>
              <w:spacing w:after="0" w:line="189" w:lineRule="exact"/>
              <w:rPr>
                <w:rFonts w:ascii="Arial" w:cs="Arial" w:eastAsia="Arial" w:hAnsi="Arial"/>
                <w:sz w:val="18"/>
                <w:szCs w:val="18"/>
                <w:color w:val="0000FF"/>
              </w:rPr>
            </w:pPr>
            <w:hyperlink w:anchor="page60">
              <w:r>
                <w:rPr>
                  <w:rFonts w:ascii="Arial" w:cs="Arial" w:eastAsia="Arial" w:hAnsi="Arial"/>
                  <w:sz w:val="18"/>
                  <w:szCs w:val="18"/>
                  <w:color w:val="0000FF"/>
                </w:rPr>
                <w:t>Item 4. Mine Safety Disclosures</w:t>
              </w:r>
            </w:hyperlink>
          </w:p>
        </w:tc>
        <w:tc>
          <w:tcPr>
            <w:tcW w:w="1040" w:type="dxa"/>
            <w:vAlign w:val="bottom"/>
            <w:tcBorders>
              <w:right w:val="single" w:sz="8" w:color="CCEEFF"/>
            </w:tcBorders>
            <w:gridSpan w:val="3"/>
            <w:shd w:val="clear" w:color="auto" w:fill="CCEEFF"/>
          </w:tcPr>
          <w:p>
            <w:pPr>
              <w:jc w:val="center"/>
              <w:ind w:left="770"/>
              <w:spacing w:after="0" w:line="189" w:lineRule="exact"/>
              <w:rPr>
                <w:rFonts w:ascii="Arial" w:cs="Arial" w:eastAsia="Arial" w:hAnsi="Arial"/>
                <w:sz w:val="18"/>
                <w:szCs w:val="18"/>
                <w:color w:val="0000FF"/>
                <w:w w:val="89"/>
              </w:rPr>
            </w:pPr>
            <w:hyperlink w:anchor="page60">
              <w:r>
                <w:rPr>
                  <w:rFonts w:ascii="Arial" w:cs="Arial" w:eastAsia="Arial" w:hAnsi="Arial"/>
                  <w:sz w:val="18"/>
                  <w:szCs w:val="18"/>
                  <w:color w:val="0000FF"/>
                  <w:w w:val="89"/>
                </w:rPr>
                <w:t>60</w:t>
              </w:r>
            </w:hyperlink>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2320" w:type="dxa"/>
            <w:vAlign w:val="bottom"/>
            <w:tcBorders>
              <w:top w:val="single" w:sz="8" w:color="0000FF"/>
            </w:tcBorders>
            <w:gridSpan w:val="8"/>
          </w:tcPr>
          <w:p>
            <w:pPr>
              <w:spacing w:after="0" w:line="189" w:lineRule="exact"/>
              <w:rPr>
                <w:rFonts w:ascii="Arial" w:cs="Arial" w:eastAsia="Arial" w:hAnsi="Arial"/>
                <w:sz w:val="18"/>
                <w:szCs w:val="18"/>
                <w:color w:val="0000FF"/>
              </w:rPr>
            </w:pPr>
            <w:hyperlink w:anchor="page60">
              <w:r>
                <w:rPr>
                  <w:rFonts w:ascii="Arial" w:cs="Arial" w:eastAsia="Arial" w:hAnsi="Arial"/>
                  <w:sz w:val="18"/>
                  <w:szCs w:val="18"/>
                  <w:color w:val="0000FF"/>
                </w:rPr>
                <w:t>Item 5. Other Information</w:t>
              </w:r>
            </w:hyperlink>
          </w:p>
        </w:tc>
        <w:tc>
          <w:tcPr>
            <w:tcW w:w="7360" w:type="dxa"/>
            <w:vAlign w:val="bottom"/>
            <w:tcBorders>
              <w:top w:val="single" w:sz="8" w:color="CCEEFF"/>
            </w:tcBorders>
            <w:gridSpan w:val="11"/>
          </w:tcPr>
          <w:p>
            <w:pPr>
              <w:spacing w:after="0"/>
              <w:rPr>
                <w:sz w:val="16"/>
                <w:szCs w:val="16"/>
                <w:color w:val="auto"/>
              </w:rPr>
            </w:pPr>
          </w:p>
        </w:tc>
        <w:tc>
          <w:tcPr>
            <w:tcW w:w="90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rFonts w:ascii="Arial" w:cs="Arial" w:eastAsia="Arial" w:hAnsi="Arial"/>
                <w:sz w:val="17"/>
                <w:szCs w:val="17"/>
                <w:color w:val="0000FF"/>
                <w:w w:val="73"/>
              </w:rPr>
            </w:pPr>
            <w:hyperlink w:anchor="page60">
              <w:r>
                <w:rPr>
                  <w:rFonts w:ascii="Arial" w:cs="Arial" w:eastAsia="Arial" w:hAnsi="Arial"/>
                  <w:sz w:val="17"/>
                  <w:szCs w:val="17"/>
                  <w:color w:val="0000FF"/>
                  <w:w w:val="73"/>
                </w:rPr>
                <w:t>60</w:t>
              </w:r>
            </w:hyperlink>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680" w:type="dxa"/>
            <w:vAlign w:val="bottom"/>
            <w:gridSpan w:val="19"/>
            <w:shd w:val="clear" w:color="auto" w:fill="CCEEFF"/>
          </w:tcPr>
          <w:p>
            <w:pPr>
              <w:spacing w:after="0" w:line="189" w:lineRule="exact"/>
              <w:rPr>
                <w:rFonts w:ascii="Arial" w:cs="Arial" w:eastAsia="Arial" w:hAnsi="Arial"/>
                <w:sz w:val="18"/>
                <w:szCs w:val="18"/>
                <w:color w:val="0000FF"/>
              </w:rPr>
            </w:pPr>
            <w:hyperlink w:anchor="page60">
              <w:r>
                <w:rPr>
                  <w:rFonts w:ascii="Arial" w:cs="Arial" w:eastAsia="Arial" w:hAnsi="Arial"/>
                  <w:sz w:val="18"/>
                  <w:szCs w:val="18"/>
                  <w:color w:val="0000FF"/>
                </w:rPr>
                <w:t>Item 6. Exhibits</w:t>
              </w:r>
            </w:hyperlink>
          </w:p>
        </w:tc>
        <w:tc>
          <w:tcPr>
            <w:tcW w:w="1040" w:type="dxa"/>
            <w:vAlign w:val="bottom"/>
            <w:tcBorders>
              <w:right w:val="single" w:sz="8" w:color="CCEEFF"/>
            </w:tcBorders>
            <w:gridSpan w:val="3"/>
            <w:shd w:val="clear" w:color="auto" w:fill="CCEEFF"/>
          </w:tcPr>
          <w:p>
            <w:pPr>
              <w:jc w:val="center"/>
              <w:ind w:left="770"/>
              <w:spacing w:after="0" w:line="189" w:lineRule="exact"/>
              <w:rPr>
                <w:rFonts w:ascii="Arial" w:cs="Arial" w:eastAsia="Arial" w:hAnsi="Arial"/>
                <w:sz w:val="18"/>
                <w:szCs w:val="18"/>
                <w:color w:val="0000FF"/>
                <w:w w:val="89"/>
              </w:rPr>
            </w:pPr>
            <w:hyperlink w:anchor="page60">
              <w:r>
                <w:rPr>
                  <w:rFonts w:ascii="Arial" w:cs="Arial" w:eastAsia="Arial" w:hAnsi="Arial"/>
                  <w:sz w:val="18"/>
                  <w:szCs w:val="18"/>
                  <w:color w:val="0000FF"/>
                  <w:w w:val="89"/>
                </w:rPr>
                <w:t>61</w:t>
              </w:r>
            </w:hyperlink>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160" w:type="dxa"/>
            <w:vAlign w:val="bottom"/>
            <w:tcBorders>
              <w:top w:val="single" w:sz="8" w:color="0000FF"/>
            </w:tcBorders>
            <w:gridSpan w:val="3"/>
          </w:tcPr>
          <w:p>
            <w:pPr>
              <w:spacing w:after="0" w:line="189" w:lineRule="exact"/>
              <w:rPr>
                <w:rFonts w:ascii="Arial" w:cs="Arial" w:eastAsia="Arial" w:hAnsi="Arial"/>
                <w:sz w:val="18"/>
                <w:szCs w:val="18"/>
                <w:color w:val="0000FF"/>
              </w:rPr>
            </w:pPr>
            <w:hyperlink w:anchor="page61">
              <w:r>
                <w:rPr>
                  <w:rFonts w:ascii="Arial" w:cs="Arial" w:eastAsia="Arial" w:hAnsi="Arial"/>
                  <w:sz w:val="18"/>
                  <w:szCs w:val="18"/>
                  <w:color w:val="0000FF"/>
                </w:rPr>
                <w:t>Signatures</w:t>
              </w:r>
            </w:hyperlink>
          </w:p>
        </w:tc>
        <w:tc>
          <w:tcPr>
            <w:tcW w:w="8520" w:type="dxa"/>
            <w:vAlign w:val="bottom"/>
            <w:tcBorders>
              <w:top w:val="single" w:sz="8" w:color="CCEEFF"/>
            </w:tcBorders>
            <w:gridSpan w:val="16"/>
          </w:tcPr>
          <w:p>
            <w:pPr>
              <w:spacing w:after="0"/>
              <w:rPr>
                <w:sz w:val="16"/>
                <w:szCs w:val="16"/>
                <w:color w:val="auto"/>
              </w:rPr>
            </w:pPr>
          </w:p>
        </w:tc>
        <w:tc>
          <w:tcPr>
            <w:tcW w:w="90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rFonts w:ascii="Arial" w:cs="Arial" w:eastAsia="Arial" w:hAnsi="Arial"/>
                <w:sz w:val="17"/>
                <w:szCs w:val="17"/>
                <w:color w:val="0000FF"/>
                <w:w w:val="73"/>
              </w:rPr>
            </w:pPr>
            <w:hyperlink w:anchor="page61">
              <w:r>
                <w:rPr>
                  <w:rFonts w:ascii="Arial" w:cs="Arial" w:eastAsia="Arial" w:hAnsi="Arial"/>
                  <w:sz w:val="17"/>
                  <w:szCs w:val="17"/>
                  <w:color w:val="0000FF"/>
                  <w:w w:val="73"/>
                </w:rPr>
                <w:t>62</w:t>
              </w:r>
            </w:hyperlink>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36"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This Quarterly Report on Form 10-Q (“Form 10-Q”) includes certain information regarding the historical investment performance of our focused commingled funds and separately managed accounts. An investment in shares of our Class A common stock is not an investment in any StepStone Fund (as defined below). The StepStone Funds are separate, distinct legal entities that are not our subsidiaries. In the event of our bankruptcy or liquidation, you will have no claim against the StepStone Funds. In considering the performance information relating to the StepStone Funds contained herein, current and prospective Class A common stockholders should bear in mind that the performance of the StepStone Funds is not indicative of the possible performance of shares of our Class A common stock and also is not necessarily indicative of the future results of the StepStone Funds, even if fund investments were in fact liquidated on the dates indicated, and we cannot assure you that the StepStone Funds will continue to achieve, or that future StepStone Funds will achieve, comparable results.</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Unless otherwise indicated or the context otherwise requires:</w:t>
      </w:r>
    </w:p>
    <w:p>
      <w:pPr>
        <w:spacing w:after="0" w:line="210" w:lineRule="exact"/>
        <w:rPr>
          <w:sz w:val="20"/>
          <w:szCs w:val="20"/>
          <w:color w:val="auto"/>
        </w:rPr>
      </w:pPr>
    </w:p>
    <w:p>
      <w:pPr>
        <w:ind w:left="660" w:right="1040" w:hanging="4"/>
        <w:spacing w:after="0" w:line="267" w:lineRule="auto"/>
        <w:tabs>
          <w:tab w:leader="none" w:pos="779" w:val="left"/>
        </w:tabs>
        <w:numPr>
          <w:ilvl w:val="0"/>
          <w:numId w:val="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StepStone Group Inc.</w:t>
      </w:r>
      <w:r>
        <w:rPr>
          <w:rFonts w:ascii="Arial" w:cs="Arial" w:eastAsia="Arial" w:hAnsi="Arial"/>
          <w:sz w:val="20"/>
          <w:szCs w:val="20"/>
          <w:color w:val="auto"/>
        </w:rPr>
        <w:t>” or “</w:t>
      </w:r>
      <w:r>
        <w:rPr>
          <w:rFonts w:ascii="Arial" w:cs="Arial" w:eastAsia="Arial" w:hAnsi="Arial"/>
          <w:sz w:val="20"/>
          <w:szCs w:val="20"/>
          <w:b w:val="1"/>
          <w:bCs w:val="1"/>
          <w:color w:val="auto"/>
        </w:rPr>
        <w:t>SSG</w:t>
      </w:r>
      <w:r>
        <w:rPr>
          <w:rFonts w:ascii="Arial" w:cs="Arial" w:eastAsia="Arial" w:hAnsi="Arial"/>
          <w:sz w:val="20"/>
          <w:szCs w:val="20"/>
          <w:color w:val="auto"/>
        </w:rPr>
        <w:t>” refers solely to StepStone Group Inc., a Delaware corporation, and not to any of its subsidiaries;</w:t>
      </w:r>
    </w:p>
    <w:p>
      <w:pPr>
        <w:spacing w:after="0" w:line="163" w:lineRule="exact"/>
        <w:rPr>
          <w:rFonts w:ascii="Arial" w:cs="Arial" w:eastAsia="Arial" w:hAnsi="Arial"/>
          <w:sz w:val="20"/>
          <w:szCs w:val="20"/>
          <w:color w:val="auto"/>
        </w:rPr>
      </w:pPr>
    </w:p>
    <w:p>
      <w:pPr>
        <w:ind w:left="780" w:hanging="124"/>
        <w:spacing w:after="0"/>
        <w:tabs>
          <w:tab w:leader="none" w:pos="78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w:t>
      </w:r>
      <w:r>
        <w:rPr>
          <w:rFonts w:ascii="Arial" w:cs="Arial" w:eastAsia="Arial" w:hAnsi="Arial"/>
          <w:sz w:val="19"/>
          <w:szCs w:val="19"/>
          <w:b w:val="1"/>
          <w:bCs w:val="1"/>
          <w:color w:val="auto"/>
        </w:rPr>
        <w:t>Partnership</w:t>
      </w:r>
      <w:r>
        <w:rPr>
          <w:rFonts w:ascii="Arial" w:cs="Arial" w:eastAsia="Arial" w:hAnsi="Arial"/>
          <w:sz w:val="19"/>
          <w:szCs w:val="19"/>
          <w:color w:val="auto"/>
        </w:rPr>
        <w:t>” refers solely to StepStone Group LP, a Delaware limited partnership, and not to any of its subsidiaries;</w:t>
      </w:r>
    </w:p>
    <w:p>
      <w:pPr>
        <w:spacing w:after="0" w:line="227" w:lineRule="exact"/>
        <w:rPr>
          <w:rFonts w:ascii="Arial" w:cs="Arial" w:eastAsia="Arial" w:hAnsi="Arial"/>
          <w:sz w:val="19"/>
          <w:szCs w:val="19"/>
          <w:color w:val="auto"/>
        </w:rPr>
      </w:pPr>
    </w:p>
    <w:p>
      <w:pPr>
        <w:ind w:left="660" w:right="60" w:hanging="4"/>
        <w:spacing w:after="0" w:line="267" w:lineRule="auto"/>
        <w:tabs>
          <w:tab w:leader="none" w:pos="779" w:val="left"/>
        </w:tabs>
        <w:numPr>
          <w:ilvl w:val="0"/>
          <w:numId w:val="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General Partner</w:t>
      </w:r>
      <w:r>
        <w:rPr>
          <w:rFonts w:ascii="Arial" w:cs="Arial" w:eastAsia="Arial" w:hAnsi="Arial"/>
          <w:sz w:val="20"/>
          <w:szCs w:val="20"/>
          <w:color w:val="auto"/>
        </w:rPr>
        <w:t>” refers to StepStone Group Holdings LLC, a Delaware limited liability company, and the sole general partner of the Partnership;</w:t>
      </w:r>
    </w:p>
    <w:p>
      <w:pPr>
        <w:spacing w:after="0" w:line="163" w:lineRule="exact"/>
        <w:rPr>
          <w:rFonts w:ascii="Arial" w:cs="Arial" w:eastAsia="Arial" w:hAnsi="Arial"/>
          <w:sz w:val="20"/>
          <w:szCs w:val="20"/>
          <w:color w:val="auto"/>
        </w:rPr>
      </w:pPr>
    </w:p>
    <w:p>
      <w:pPr>
        <w:ind w:left="660" w:hanging="4"/>
        <w:spacing w:after="0" w:line="253" w:lineRule="auto"/>
        <w:tabs>
          <w:tab w:leader="none" w:pos="779" w:val="left"/>
        </w:tabs>
        <w:numPr>
          <w:ilvl w:val="0"/>
          <w:numId w:val="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we</w:t>
      </w:r>
      <w:r>
        <w:rPr>
          <w:rFonts w:ascii="Arial" w:cs="Arial" w:eastAsia="Arial" w:hAnsi="Arial"/>
          <w:sz w:val="20"/>
          <w:szCs w:val="20"/>
          <w:color w:val="auto"/>
        </w:rPr>
        <w:t>,” “</w:t>
      </w:r>
      <w:r>
        <w:rPr>
          <w:rFonts w:ascii="Arial" w:cs="Arial" w:eastAsia="Arial" w:hAnsi="Arial"/>
          <w:sz w:val="20"/>
          <w:szCs w:val="20"/>
          <w:b w:val="1"/>
          <w:bCs w:val="1"/>
          <w:color w:val="auto"/>
        </w:rPr>
        <w:t>us</w:t>
      </w:r>
      <w:r>
        <w:rPr>
          <w:rFonts w:ascii="Arial" w:cs="Arial" w:eastAsia="Arial" w:hAnsi="Arial"/>
          <w:sz w:val="20"/>
          <w:szCs w:val="20"/>
          <w:color w:val="auto"/>
        </w:rPr>
        <w:t>,” “</w:t>
      </w:r>
      <w:r>
        <w:rPr>
          <w:rFonts w:ascii="Arial" w:cs="Arial" w:eastAsia="Arial" w:hAnsi="Arial"/>
          <w:sz w:val="20"/>
          <w:szCs w:val="20"/>
          <w:b w:val="1"/>
          <w:bCs w:val="1"/>
          <w:color w:val="auto"/>
        </w:rPr>
        <w:t>our</w:t>
      </w:r>
      <w:r>
        <w:rPr>
          <w:rFonts w:ascii="Arial" w:cs="Arial" w:eastAsia="Arial" w:hAnsi="Arial"/>
          <w:sz w:val="20"/>
          <w:szCs w:val="20"/>
          <w:color w:val="auto"/>
        </w:rPr>
        <w:t>,” the “</w:t>
      </w:r>
      <w:r>
        <w:rPr>
          <w:rFonts w:ascii="Arial" w:cs="Arial" w:eastAsia="Arial" w:hAnsi="Arial"/>
          <w:sz w:val="20"/>
          <w:szCs w:val="20"/>
          <w:b w:val="1"/>
          <w:bCs w:val="1"/>
          <w:color w:val="auto"/>
        </w:rPr>
        <w:t>Company</w:t>
      </w:r>
      <w:r>
        <w:rPr>
          <w:rFonts w:ascii="Arial" w:cs="Arial" w:eastAsia="Arial" w:hAnsi="Arial"/>
          <w:sz w:val="20"/>
          <w:szCs w:val="20"/>
          <w:color w:val="auto"/>
        </w:rPr>
        <w:t>,” “</w:t>
      </w:r>
      <w:r>
        <w:rPr>
          <w:rFonts w:ascii="Arial" w:cs="Arial" w:eastAsia="Arial" w:hAnsi="Arial"/>
          <w:sz w:val="20"/>
          <w:szCs w:val="20"/>
          <w:b w:val="1"/>
          <w:bCs w:val="1"/>
          <w:color w:val="auto"/>
        </w:rPr>
        <w:t>our company</w:t>
      </w:r>
      <w:r>
        <w:rPr>
          <w:rFonts w:ascii="Arial" w:cs="Arial" w:eastAsia="Arial" w:hAnsi="Arial"/>
          <w:sz w:val="20"/>
          <w:szCs w:val="20"/>
          <w:color w:val="auto"/>
        </w:rPr>
        <w:t>,” “</w:t>
      </w:r>
      <w:r>
        <w:rPr>
          <w:rFonts w:ascii="Arial" w:cs="Arial" w:eastAsia="Arial" w:hAnsi="Arial"/>
          <w:sz w:val="20"/>
          <w:szCs w:val="20"/>
          <w:b w:val="1"/>
          <w:bCs w:val="1"/>
          <w:color w:val="auto"/>
        </w:rPr>
        <w:t>StepStone</w:t>
      </w:r>
      <w:r>
        <w:rPr>
          <w:rFonts w:ascii="Arial" w:cs="Arial" w:eastAsia="Arial" w:hAnsi="Arial"/>
          <w:sz w:val="20"/>
          <w:szCs w:val="20"/>
          <w:color w:val="auto"/>
        </w:rPr>
        <w:t>” and similar terms refer to SSG and its consolidated subsidiaries, including the Partnership, following the Reorganization and IPO (each as defined below) and to the Partnership and its consolidated subsidiaries prior to the Reorganization and IPO;</w:t>
      </w:r>
    </w:p>
    <w:p>
      <w:pPr>
        <w:spacing w:after="0" w:line="177" w:lineRule="exact"/>
        <w:rPr>
          <w:rFonts w:ascii="Arial" w:cs="Arial" w:eastAsia="Arial" w:hAnsi="Arial"/>
          <w:sz w:val="20"/>
          <w:szCs w:val="20"/>
          <w:color w:val="auto"/>
        </w:rPr>
      </w:pPr>
    </w:p>
    <w:p>
      <w:pPr>
        <w:ind w:left="660" w:right="260" w:hanging="4"/>
        <w:spacing w:after="0" w:line="267" w:lineRule="auto"/>
        <w:tabs>
          <w:tab w:leader="none" w:pos="779" w:val="left"/>
        </w:tabs>
        <w:numPr>
          <w:ilvl w:val="0"/>
          <w:numId w:val="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StepStone Funds</w:t>
      </w:r>
      <w:r>
        <w:rPr>
          <w:rFonts w:ascii="Arial" w:cs="Arial" w:eastAsia="Arial" w:hAnsi="Arial"/>
          <w:sz w:val="20"/>
          <w:szCs w:val="20"/>
          <w:color w:val="auto"/>
        </w:rPr>
        <w:t>” or “</w:t>
      </w:r>
      <w:r>
        <w:rPr>
          <w:rFonts w:ascii="Arial" w:cs="Arial" w:eastAsia="Arial" w:hAnsi="Arial"/>
          <w:sz w:val="20"/>
          <w:szCs w:val="20"/>
          <w:b w:val="1"/>
          <w:bCs w:val="1"/>
          <w:color w:val="auto"/>
        </w:rPr>
        <w:t>our funds</w:t>
      </w:r>
      <w:r>
        <w:rPr>
          <w:rFonts w:ascii="Arial" w:cs="Arial" w:eastAsia="Arial" w:hAnsi="Arial"/>
          <w:sz w:val="20"/>
          <w:szCs w:val="20"/>
          <w:color w:val="auto"/>
        </w:rPr>
        <w:t>” refers to our focused commingled funds and our separately managed accounts, for which we act as both investment adviser and general partner or managing member;</w:t>
      </w:r>
    </w:p>
    <w:p>
      <w:pPr>
        <w:spacing w:after="0" w:line="163" w:lineRule="exact"/>
        <w:rPr>
          <w:rFonts w:ascii="Arial" w:cs="Arial" w:eastAsia="Arial" w:hAnsi="Arial"/>
          <w:sz w:val="20"/>
          <w:szCs w:val="20"/>
          <w:color w:val="auto"/>
        </w:rPr>
      </w:pPr>
    </w:p>
    <w:p>
      <w:pPr>
        <w:ind w:left="780" w:hanging="124"/>
        <w:spacing w:after="0"/>
        <w:tabs>
          <w:tab w:leader="none" w:pos="78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references to “</w:t>
      </w:r>
      <w:r>
        <w:rPr>
          <w:rFonts w:ascii="Arial" w:cs="Arial" w:eastAsia="Arial" w:hAnsi="Arial"/>
          <w:sz w:val="20"/>
          <w:szCs w:val="20"/>
          <w:b w:val="1"/>
          <w:bCs w:val="1"/>
          <w:color w:val="auto"/>
        </w:rPr>
        <w:t>FY</w:t>
      </w:r>
      <w:r>
        <w:rPr>
          <w:rFonts w:ascii="Arial" w:cs="Arial" w:eastAsia="Arial" w:hAnsi="Arial"/>
          <w:sz w:val="20"/>
          <w:szCs w:val="20"/>
          <w:color w:val="auto"/>
        </w:rPr>
        <w:t>,” “</w:t>
      </w:r>
      <w:r>
        <w:rPr>
          <w:rFonts w:ascii="Arial" w:cs="Arial" w:eastAsia="Arial" w:hAnsi="Arial"/>
          <w:sz w:val="20"/>
          <w:szCs w:val="20"/>
          <w:b w:val="1"/>
          <w:bCs w:val="1"/>
          <w:color w:val="auto"/>
        </w:rPr>
        <w:t>fiscal</w:t>
      </w:r>
      <w:r>
        <w:rPr>
          <w:rFonts w:ascii="Arial" w:cs="Arial" w:eastAsia="Arial" w:hAnsi="Arial"/>
          <w:sz w:val="20"/>
          <w:szCs w:val="20"/>
          <w:color w:val="auto"/>
        </w:rPr>
        <w:t>” or “</w:t>
      </w:r>
      <w:r>
        <w:rPr>
          <w:rFonts w:ascii="Arial" w:cs="Arial" w:eastAsia="Arial" w:hAnsi="Arial"/>
          <w:sz w:val="20"/>
          <w:szCs w:val="20"/>
          <w:b w:val="1"/>
          <w:bCs w:val="1"/>
          <w:color w:val="auto"/>
        </w:rPr>
        <w:t>fiscal year</w:t>
      </w:r>
      <w:r>
        <w:rPr>
          <w:rFonts w:ascii="Arial" w:cs="Arial" w:eastAsia="Arial" w:hAnsi="Arial"/>
          <w:sz w:val="20"/>
          <w:szCs w:val="20"/>
          <w:color w:val="auto"/>
        </w:rPr>
        <w:t>” are to the fiscal year ended March 31 of the applicable year;</w:t>
      </w:r>
    </w:p>
    <w:p>
      <w:pPr>
        <w:spacing w:after="0" w:line="215" w:lineRule="exact"/>
        <w:rPr>
          <w:rFonts w:ascii="Arial" w:cs="Arial" w:eastAsia="Arial" w:hAnsi="Arial"/>
          <w:sz w:val="20"/>
          <w:szCs w:val="20"/>
          <w:color w:val="auto"/>
        </w:rPr>
      </w:pPr>
    </w:p>
    <w:p>
      <w:pPr>
        <w:ind w:left="780" w:hanging="124"/>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references to the “</w:t>
      </w:r>
      <w:r>
        <w:rPr>
          <w:rFonts w:ascii="Arial" w:cs="Arial" w:eastAsia="Arial" w:hAnsi="Arial"/>
          <w:sz w:val="18"/>
          <w:szCs w:val="18"/>
          <w:b w:val="1"/>
          <w:bCs w:val="1"/>
          <w:color w:val="auto"/>
        </w:rPr>
        <w:t>Reorganization</w:t>
      </w:r>
      <w:r>
        <w:rPr>
          <w:rFonts w:ascii="Arial" w:cs="Arial" w:eastAsia="Arial" w:hAnsi="Arial"/>
          <w:sz w:val="18"/>
          <w:szCs w:val="18"/>
          <w:color w:val="auto"/>
        </w:rPr>
        <w:t>” refer to the series of transactions immediately before the Company’s initial public offering</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IPO</w:t>
      </w:r>
      <w:r>
        <w:rPr>
          <w:rFonts w:ascii="Arial" w:cs="Arial" w:eastAsia="Arial" w:hAnsi="Arial"/>
          <w:sz w:val="20"/>
          <w:szCs w:val="20"/>
          <w:color w:val="auto"/>
        </w:rPr>
        <w:t>”), which was completed on September 18, 2020;</w:t>
      </w:r>
    </w:p>
    <w:p>
      <w:pPr>
        <w:spacing w:after="0" w:line="194" w:lineRule="exact"/>
        <w:rPr>
          <w:sz w:val="20"/>
          <w:szCs w:val="20"/>
          <w:color w:val="auto"/>
        </w:rPr>
      </w:pPr>
    </w:p>
    <w:p>
      <w:pPr>
        <w:ind w:left="660" w:right="640" w:hanging="4"/>
        <w:spacing w:after="0" w:line="267" w:lineRule="auto"/>
        <w:tabs>
          <w:tab w:leader="none" w:pos="779" w:val="left"/>
        </w:tabs>
        <w:numPr>
          <w:ilvl w:val="0"/>
          <w:numId w:val="4"/>
        </w:numPr>
        <w:rPr>
          <w:rFonts w:ascii="Arial" w:cs="Arial" w:eastAsia="Arial" w:hAnsi="Arial"/>
          <w:sz w:val="20"/>
          <w:szCs w:val="20"/>
          <w:color w:val="auto"/>
        </w:rPr>
      </w:pPr>
      <w:r>
        <w:rPr>
          <w:rFonts w:ascii="Arial" w:cs="Arial" w:eastAsia="Arial" w:hAnsi="Arial"/>
          <w:sz w:val="20"/>
          <w:szCs w:val="20"/>
          <w:color w:val="auto"/>
        </w:rPr>
        <w:t>references to “</w:t>
      </w:r>
      <w:r>
        <w:rPr>
          <w:rFonts w:ascii="Arial" w:cs="Arial" w:eastAsia="Arial" w:hAnsi="Arial"/>
          <w:sz w:val="20"/>
          <w:szCs w:val="20"/>
          <w:b w:val="1"/>
          <w:bCs w:val="1"/>
          <w:color w:val="auto"/>
        </w:rPr>
        <w:t>private markets allocations</w:t>
      </w:r>
      <w:r>
        <w:rPr>
          <w:rFonts w:ascii="Arial" w:cs="Arial" w:eastAsia="Arial" w:hAnsi="Arial"/>
          <w:sz w:val="20"/>
          <w:szCs w:val="20"/>
          <w:color w:val="auto"/>
        </w:rPr>
        <w:t>” or “</w:t>
      </w:r>
      <w:r>
        <w:rPr>
          <w:rFonts w:ascii="Arial" w:cs="Arial" w:eastAsia="Arial" w:hAnsi="Arial"/>
          <w:sz w:val="20"/>
          <w:szCs w:val="20"/>
          <w:b w:val="1"/>
          <w:bCs w:val="1"/>
          <w:color w:val="auto"/>
        </w:rPr>
        <w:t>combined AUM / AUA</w:t>
      </w:r>
      <w:r>
        <w:rPr>
          <w:rFonts w:ascii="Arial" w:cs="Arial" w:eastAsia="Arial" w:hAnsi="Arial"/>
          <w:sz w:val="20"/>
          <w:szCs w:val="20"/>
          <w:color w:val="auto"/>
        </w:rPr>
        <w:t>” refer to the aggregate amount of our assets under management (“</w:t>
      </w:r>
      <w:r>
        <w:rPr>
          <w:rFonts w:ascii="Arial" w:cs="Arial" w:eastAsia="Arial" w:hAnsi="Arial"/>
          <w:sz w:val="20"/>
          <w:szCs w:val="20"/>
          <w:b w:val="1"/>
          <w:bCs w:val="1"/>
          <w:color w:val="auto"/>
        </w:rPr>
        <w:t>AUM</w:t>
      </w:r>
      <w:r>
        <w:rPr>
          <w:rFonts w:ascii="Arial" w:cs="Arial" w:eastAsia="Arial" w:hAnsi="Arial"/>
          <w:sz w:val="20"/>
          <w:szCs w:val="20"/>
          <w:color w:val="auto"/>
        </w:rPr>
        <w:t>”) and our assets under advisement (“</w:t>
      </w:r>
      <w:r>
        <w:rPr>
          <w:rFonts w:ascii="Arial" w:cs="Arial" w:eastAsia="Arial" w:hAnsi="Arial"/>
          <w:sz w:val="20"/>
          <w:szCs w:val="20"/>
          <w:b w:val="1"/>
          <w:bCs w:val="1"/>
          <w:color w:val="auto"/>
        </w:rPr>
        <w:t>AUA”</w:t>
      </w:r>
      <w:r>
        <w:rPr>
          <w:rFonts w:ascii="Arial" w:cs="Arial" w:eastAsia="Arial" w:hAnsi="Arial"/>
          <w:sz w:val="20"/>
          <w:szCs w:val="20"/>
          <w:color w:val="auto"/>
        </w:rPr>
        <w:t>);</w:t>
      </w:r>
    </w:p>
    <w:p>
      <w:pPr>
        <w:spacing w:after="0" w:line="163" w:lineRule="exact"/>
        <w:rPr>
          <w:rFonts w:ascii="Arial" w:cs="Arial" w:eastAsia="Arial" w:hAnsi="Arial"/>
          <w:sz w:val="20"/>
          <w:szCs w:val="20"/>
          <w:color w:val="auto"/>
        </w:rPr>
      </w:pPr>
    </w:p>
    <w:p>
      <w:pPr>
        <w:ind w:left="780" w:hanging="124"/>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color w:val="auto"/>
        </w:rPr>
        <w:t>high-net-worth</w:t>
      </w:r>
      <w:r>
        <w:rPr>
          <w:rFonts w:ascii="Arial" w:cs="Arial" w:eastAsia="Arial" w:hAnsi="Arial"/>
          <w:sz w:val="18"/>
          <w:szCs w:val="18"/>
          <w:color w:val="auto"/>
        </w:rPr>
        <w:t>” individuals refer to individuals with net worth of over $5 million, excluding primary residence; and</w:t>
      </w:r>
    </w:p>
    <w:p>
      <w:pPr>
        <w:spacing w:after="0" w:line="238" w:lineRule="exact"/>
        <w:rPr>
          <w:rFonts w:ascii="Arial" w:cs="Arial" w:eastAsia="Arial" w:hAnsi="Arial"/>
          <w:sz w:val="18"/>
          <w:szCs w:val="18"/>
          <w:color w:val="auto"/>
        </w:rPr>
      </w:pPr>
    </w:p>
    <w:p>
      <w:pPr>
        <w:ind w:left="660" w:right="220" w:hanging="4"/>
        <w:spacing w:after="0" w:line="267" w:lineRule="auto"/>
        <w:tabs>
          <w:tab w:leader="none" w:pos="779" w:val="left"/>
        </w:tabs>
        <w:numPr>
          <w:ilvl w:val="0"/>
          <w:numId w:val="4"/>
        </w:numPr>
        <w:rPr>
          <w:rFonts w:ascii="Arial" w:cs="Arial" w:eastAsia="Arial" w:hAnsi="Arial"/>
          <w:sz w:val="20"/>
          <w:szCs w:val="20"/>
          <w:color w:val="auto"/>
        </w:rPr>
      </w:pPr>
      <w:r>
        <w:rPr>
          <w:rFonts w:ascii="Arial" w:cs="Arial" w:eastAsia="Arial" w:hAnsi="Arial"/>
          <w:sz w:val="20"/>
          <w:szCs w:val="20"/>
          <w:color w:val="auto"/>
        </w:rPr>
        <w:t>references to “</w:t>
      </w:r>
      <w:r>
        <w:rPr>
          <w:rFonts w:ascii="Arial" w:cs="Arial" w:eastAsia="Arial" w:hAnsi="Arial"/>
          <w:sz w:val="20"/>
          <w:szCs w:val="20"/>
          <w:b w:val="1"/>
          <w:bCs w:val="1"/>
          <w:color w:val="auto"/>
        </w:rPr>
        <w:t>mass affluent</w:t>
      </w:r>
      <w:r>
        <w:rPr>
          <w:rFonts w:ascii="Arial" w:cs="Arial" w:eastAsia="Arial" w:hAnsi="Arial"/>
          <w:sz w:val="20"/>
          <w:szCs w:val="20"/>
          <w:color w:val="auto"/>
        </w:rPr>
        <w:t>” individuals refer to individuals with annual income over $200,000 or net worth between $1 million and $5 million, excluding primary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TRADEMARKS, SERVICE MARKS AND TRADE NAMES</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We own or have rights to trademarks, service marks or trade names that we use in connection with the operation of our business. In addition, our names, logos and website names and addresses are owned by us or licensed by us. We also own or have the rights to copyrights that protect the content of our solutions. Solely for convenience, the trademarks, service marks, trade names and copyrights referred to in this Form 10-Q are listed without the ©, ® and ™ symbols, but we will assert, to the fullest extent under applicable law, our rights or the rights of the applicable licensors to these trademarks, service marks, trade names and copyrights.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FORWARD-LOOKING STATEMENTS</w:t>
      </w:r>
    </w:p>
    <w:p>
      <w:pPr>
        <w:spacing w:after="0" w:line="222"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This Form 10-Q contains forward-looking statements within the meaning of Section 27A of the Securities Act of 1933, as amended (the “Securities Act”), and Section 21E of the Securities Exchange Act of 1934, as amended (the “Exchange Act”). All statements other than statements of historical fact, including statements regarding guidance, industry prospects or future results of operations or financial position made in this Form 10-Q are forward-looking. We use words such as “anticipate,” “believe,” “continue,” “estimate,” “expect,” “future,” “intend,” “may,” “plan” and “will” and similar expressions to identify forward-looking statements. Forward-looking statements reflect management’s current plans, estimates and expectations and are inherently uncertain. The inclusion of any forward-looking information should not be regarded as a representation by us or any other person that the future plans, estimates or expectations contemplated will be achieved. Forward-looking statements are subject to various risks, uncertainties and assumptions. Important factors that could cause actual results to differ materially from those in forward-looking statements include, but are not limited to, global and domestic market and business conditions, our successful execution of business and growth strategies and regulatory factors relevant to our business, as well as assumptions relating to our operations, financial results, financial condition, business prospects, growth strategy and liquidity and the risks and uncertainties described in greater detail under “Risk Factors” in Part I, Item 1A of our Annual Report on Form 10-K for the fiscal year ended March 31, 2021 and in our subsequent reports filed from time to time with the U.S. Securities and Exchange Commission (“SEC”), which are accessible on the SEC’s website at www.sec.gov. These factors should not be construed as exhaustive and should be read in conjunction with the other cautionary statements that are included in this Form 10-Q and in our other periodic filings. We undertake no obligation to revise or update any forward-looking statements, whether as a result of new information, future events or otherwise,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t>Part I. FINANCIAL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Balance Sheets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w w:val="84"/>
              </w:rPr>
              <w:t>As of</w:t>
            </w: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6"/>
                <w:szCs w:val="16"/>
                <w:b w:val="1"/>
                <w:bCs w:val="1"/>
                <w:color w:val="auto"/>
                <w:w w:val="94"/>
              </w:rPr>
              <w:t>June 30, 2021</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6"/>
                <w:szCs w:val="16"/>
                <w:b w:val="1"/>
                <w:bCs w:val="1"/>
                <w:color w:val="auto"/>
                <w:w w:val="94"/>
              </w:rPr>
              <w:t>March 31, 2021</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218,580</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179,886</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Fees and accounts receivable</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42,004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32,096</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affiliates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6,819</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7,474</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 in funds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82,894</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74,379</w:t>
            </w: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color w:val="auto"/>
              </w:rPr>
              <w:t>Accrued carried interest allocations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1,072,673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896,523</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94,447</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89,439</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Lease right-of-use assets, net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64,707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and receivables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24,970</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24,715</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Intangibles, net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4,870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5,491</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6,792</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6,792</w:t>
            </w:r>
          </w:p>
        </w:tc>
        <w:tc>
          <w:tcPr>
            <w:tcW w:w="0" w:type="dxa"/>
            <w:vAlign w:val="bottom"/>
          </w:tcPr>
          <w:p>
            <w:pPr>
              <w:spacing w:after="0"/>
              <w:rPr>
                <w:sz w:val="1"/>
                <w:szCs w:val="1"/>
                <w:color w:val="auto"/>
              </w:rPr>
            </w:pP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1,622,767</w:t>
            </w:r>
          </w:p>
        </w:tc>
        <w:tc>
          <w:tcPr>
            <w:tcW w:w="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1,320,772</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Accounts payable, accrued expenses and other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45,992</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47,723</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51,003</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34,224</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Accrued carried interest-related compensation</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562,531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465,610</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to affiliates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126,594</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113,522</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liabilities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75,512</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861,632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661,079</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Commitments and contingencies (Note 13)</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1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Class A common stock, $0.001 par value, 650,000,000 authorized; 40,335,938 and 38,437,500 issued and</w:t>
            </w: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as of June 30, 2021 and March 31, 2021, respectively</w:t>
            </w:r>
          </w:p>
        </w:tc>
        <w:tc>
          <w:tcPr>
            <w:tcW w:w="1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140" w:type="dxa"/>
            <w:vAlign w:val="bottom"/>
          </w:tcPr>
          <w:p>
            <w:pPr>
              <w:ind w:left="20"/>
              <w:spacing w:after="0" w:line="176" w:lineRule="exact"/>
              <w:rPr>
                <w:sz w:val="20"/>
                <w:szCs w:val="20"/>
                <w:color w:val="auto"/>
              </w:rPr>
            </w:pPr>
            <w:r>
              <w:rPr>
                <w:rFonts w:ascii="Arial" w:cs="Arial" w:eastAsia="Arial" w:hAnsi="Arial"/>
                <w:sz w:val="18"/>
                <w:szCs w:val="18"/>
                <w:color w:val="auto"/>
                <w:w w:val="95"/>
              </w:rPr>
              <w:t>Class B common stock, $0.001 par value, 125,000,000 authorized; 54,480,393 and 56,378,831 issued and</w:t>
            </w:r>
          </w:p>
        </w:tc>
        <w:tc>
          <w:tcPr>
            <w:tcW w:w="1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8140" w:type="dxa"/>
            <w:vAlign w:val="bottom"/>
          </w:tcPr>
          <w:p>
            <w:pPr>
              <w:ind w:left="360"/>
              <w:spacing w:after="0"/>
              <w:rPr>
                <w:sz w:val="20"/>
                <w:szCs w:val="20"/>
                <w:color w:val="auto"/>
              </w:rPr>
            </w:pPr>
            <w:r>
              <w:rPr>
                <w:rFonts w:ascii="Arial" w:cs="Arial" w:eastAsia="Arial" w:hAnsi="Arial"/>
                <w:sz w:val="18"/>
                <w:szCs w:val="18"/>
                <w:color w:val="auto"/>
              </w:rPr>
              <w:t>outstanding as of June 30, 2021 and March 31, 2021, respectively</w:t>
            </w:r>
          </w:p>
        </w:tc>
        <w:tc>
          <w:tcPr>
            <w:tcW w:w="1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205,561</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188,751</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99,057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60,407</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Total StepStone Group Inc. stockholders’ equity / partners' capital</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304,928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249,408</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 in subsidiaries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26,585</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25,885</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 in the Partnership</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429,622</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384,400</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761,135</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659,693</w:t>
            </w:r>
          </w:p>
        </w:tc>
        <w:tc>
          <w:tcPr>
            <w:tcW w:w="0" w:type="dxa"/>
            <w:vAlign w:val="bottom"/>
          </w:tcPr>
          <w:p>
            <w:pPr>
              <w:spacing w:after="0"/>
              <w:rPr>
                <w:sz w:val="1"/>
                <w:szCs w:val="1"/>
                <w:color w:val="auto"/>
              </w:rPr>
            </w:pP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1,622,767</w:t>
            </w:r>
          </w:p>
        </w:tc>
        <w:tc>
          <w:tcPr>
            <w:tcW w:w="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1,320,772</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ind w:left="5040"/>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ind w:left="3380"/>
        <w:spacing w:after="0"/>
        <w:rPr>
          <w:sz w:val="20"/>
          <w:szCs w:val="20"/>
          <w:color w:val="auto"/>
        </w:rPr>
      </w:pPr>
      <w:r>
        <w:rPr>
          <w:rFonts w:ascii="Arial" w:cs="Arial" w:eastAsia="Arial" w:hAnsi="Arial"/>
          <w:sz w:val="20"/>
          <w:szCs w:val="20"/>
          <w:b w:val="1"/>
          <w:bCs w:val="1"/>
          <w:color w:val="auto"/>
        </w:rPr>
        <w:t>Condensed Consolidated Balance Sheets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70" w:lineRule="exact"/>
        <w:rPr>
          <w:sz w:val="20"/>
          <w:szCs w:val="20"/>
          <w:color w:val="auto"/>
        </w:rPr>
      </w:pPr>
    </w:p>
    <w:p>
      <w:pPr>
        <w:ind w:right="460" w:firstLine="648"/>
        <w:spacing w:after="0" w:line="260" w:lineRule="auto"/>
        <w:rPr>
          <w:sz w:val="20"/>
          <w:szCs w:val="20"/>
          <w:color w:val="auto"/>
        </w:rPr>
      </w:pPr>
      <w:r>
        <w:rPr>
          <w:rFonts w:ascii="Arial" w:cs="Arial" w:eastAsia="Arial" w:hAnsi="Arial"/>
          <w:sz w:val="20"/>
          <w:szCs w:val="20"/>
          <w:color w:val="auto"/>
        </w:rPr>
        <w:t>The following presents the portion of the condensed consolidated balances presented above attributable to consolidated variable interest entities.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w w:val="84"/>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8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w w:val="94"/>
              </w:rPr>
              <w:t>June 30, 2021</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w w:val="94"/>
              </w:rPr>
              <w:t>March 31, 2021</w:t>
            </w:r>
          </w:p>
        </w:tc>
      </w:tr>
      <w:tr>
        <w:trPr>
          <w:trHeight w:val="212"/>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23,354</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16,833</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Fees and accounts receivable</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26,879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25,282</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affiliates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Investments in funds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13,951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13,658</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Lease right-of-use assets, net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19,012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and receivables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3,328</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4,340</w:t>
            </w: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91,025</w:t>
            </w:r>
          </w:p>
        </w:tc>
        <w:tc>
          <w:tcPr>
            <w:tcW w:w="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65,325</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4"/>
        </w:trPr>
        <w:tc>
          <w:tcPr>
            <w:tcW w:w="8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accrued expenses and other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9,719</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10,370</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20,904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14,705</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to affiliates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liabilities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19,461</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51,575</w:t>
            </w: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26,929</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Income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6"/>
                <w:szCs w:val="16"/>
                <w:b w:val="1"/>
                <w:bCs w:val="1"/>
                <w:color w:val="auto"/>
                <w:w w:val="96"/>
              </w:rPr>
              <w:t>Three Months Ended June 30,</w:t>
            </w:r>
          </w:p>
        </w:tc>
      </w:tr>
      <w:tr>
        <w:trPr>
          <w:trHeight w:val="210"/>
        </w:trPr>
        <w:tc>
          <w:tcPr>
            <w:tcW w:w="84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r>
      <w:tr>
        <w:trPr>
          <w:trHeight w:val="19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Management and advisory fees, net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78,061</w:t>
            </w:r>
          </w:p>
        </w:tc>
        <w:tc>
          <w:tcPr>
            <w:tcW w:w="2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63,500</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Performance fees: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3"/>
        </w:trPr>
        <w:tc>
          <w:tcPr>
            <w:tcW w:w="8480" w:type="dxa"/>
            <w:vAlign w:val="bottom"/>
          </w:tcPr>
          <w:p>
            <w:pPr>
              <w:ind w:left="360"/>
              <w:spacing w:after="0"/>
              <w:rPr>
                <w:sz w:val="20"/>
                <w:szCs w:val="20"/>
                <w:color w:val="auto"/>
              </w:rPr>
            </w:pPr>
            <w:r>
              <w:rPr>
                <w:rFonts w:ascii="Arial" w:cs="Arial" w:eastAsia="Arial" w:hAnsi="Arial"/>
                <w:sz w:val="16"/>
                <w:szCs w:val="16"/>
                <w:color w:val="auto"/>
              </w:rPr>
              <w:t>Incentive fees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4,182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3,589</w:t>
            </w:r>
          </w:p>
        </w:tc>
      </w:tr>
      <w:tr>
        <w:trPr>
          <w:trHeight w:val="219"/>
        </w:trPr>
        <w:tc>
          <w:tcPr>
            <w:tcW w:w="8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Carried interest allocation:</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3"/>
        </w:trPr>
        <w:tc>
          <w:tcPr>
            <w:tcW w:w="8480" w:type="dxa"/>
            <w:vAlign w:val="bottom"/>
          </w:tcPr>
          <w:p>
            <w:pPr>
              <w:ind w:left="720"/>
              <w:spacing w:after="0"/>
              <w:rPr>
                <w:sz w:val="20"/>
                <w:szCs w:val="20"/>
                <w:color w:val="auto"/>
              </w:rPr>
            </w:pPr>
            <w:r>
              <w:rPr>
                <w:rFonts w:ascii="Arial" w:cs="Arial" w:eastAsia="Arial" w:hAnsi="Arial"/>
                <w:sz w:val="16"/>
                <w:szCs w:val="16"/>
                <w:color w:val="auto"/>
              </w:rPr>
              <w:t>Realized allocation</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49,963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3,638</w:t>
            </w:r>
          </w:p>
        </w:tc>
      </w:tr>
      <w:tr>
        <w:trPr>
          <w:trHeight w:val="219"/>
        </w:trPr>
        <w:tc>
          <w:tcPr>
            <w:tcW w:w="84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Unrealized allocation</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176,399</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(132,140)</w:t>
            </w:r>
          </w:p>
        </w:tc>
      </w:tr>
      <w:tr>
        <w:trPr>
          <w:trHeight w:val="206"/>
        </w:trPr>
        <w:tc>
          <w:tcPr>
            <w:tcW w:w="84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carried interest allocation</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226,362</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(128,502)</w:t>
            </w:r>
          </w:p>
        </w:tc>
      </w:tr>
      <w:tr>
        <w:trPr>
          <w:trHeight w:val="213"/>
        </w:trPr>
        <w:tc>
          <w:tcPr>
            <w:tcW w:w="8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revenues</w:t>
            </w: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308,605</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(61,413)</w:t>
            </w:r>
          </w:p>
        </w:tc>
      </w:tr>
      <w:tr>
        <w:trPr>
          <w:trHeight w:val="193"/>
        </w:trPr>
        <w:tc>
          <w:tcPr>
            <w:tcW w:w="848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 and benefits: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3"/>
        </w:trPr>
        <w:tc>
          <w:tcPr>
            <w:tcW w:w="8480" w:type="dxa"/>
            <w:vAlign w:val="bottom"/>
          </w:tcPr>
          <w:p>
            <w:pPr>
              <w:ind w:left="400"/>
              <w:spacing w:after="0"/>
              <w:rPr>
                <w:sz w:val="20"/>
                <w:szCs w:val="20"/>
                <w:color w:val="auto"/>
              </w:rPr>
            </w:pPr>
            <w:r>
              <w:rPr>
                <w:rFonts w:ascii="Arial" w:cs="Arial" w:eastAsia="Arial" w:hAnsi="Arial"/>
                <w:sz w:val="16"/>
                <w:szCs w:val="16"/>
                <w:color w:val="auto"/>
              </w:rPr>
              <w:t>Cash-based compensation</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42,671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39,653</w:t>
            </w:r>
          </w:p>
        </w:tc>
      </w:tr>
      <w:tr>
        <w:trPr>
          <w:trHeight w:val="219"/>
        </w:trPr>
        <w:tc>
          <w:tcPr>
            <w:tcW w:w="84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Equity-based compensation</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3,743</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w:t>
            </w:r>
          </w:p>
        </w:tc>
      </w:tr>
      <w:tr>
        <w:trPr>
          <w:trHeight w:val="213"/>
        </w:trPr>
        <w:tc>
          <w:tcPr>
            <w:tcW w:w="8480" w:type="dxa"/>
            <w:vAlign w:val="bottom"/>
          </w:tcPr>
          <w:p>
            <w:pPr>
              <w:ind w:left="400"/>
              <w:spacing w:after="0"/>
              <w:rPr>
                <w:sz w:val="20"/>
                <w:szCs w:val="20"/>
                <w:color w:val="auto"/>
              </w:rPr>
            </w:pPr>
            <w:r>
              <w:rPr>
                <w:rFonts w:ascii="Arial" w:cs="Arial" w:eastAsia="Arial" w:hAnsi="Arial"/>
                <w:sz w:val="16"/>
                <w:szCs w:val="16"/>
                <w:color w:val="auto"/>
              </w:rPr>
              <w:t>Performance fee-related compensation:</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8480" w:type="dxa"/>
            <w:vAlign w:val="bottom"/>
            <w:shd w:val="clear" w:color="auto" w:fill="CCEEFF"/>
          </w:tcPr>
          <w:p>
            <w:pPr>
              <w:ind w:left="780"/>
              <w:spacing w:after="0"/>
              <w:rPr>
                <w:sz w:val="20"/>
                <w:szCs w:val="20"/>
                <w:color w:val="auto"/>
              </w:rPr>
            </w:pPr>
            <w:r>
              <w:rPr>
                <w:rFonts w:ascii="Arial" w:cs="Arial" w:eastAsia="Arial" w:hAnsi="Arial"/>
                <w:sz w:val="16"/>
                <w:szCs w:val="16"/>
                <w:color w:val="auto"/>
              </w:rPr>
              <w:t>Realized</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25,308</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2,900</w:t>
            </w:r>
          </w:p>
        </w:tc>
      </w:tr>
      <w:tr>
        <w:trPr>
          <w:trHeight w:val="213"/>
        </w:trPr>
        <w:tc>
          <w:tcPr>
            <w:tcW w:w="8480" w:type="dxa"/>
            <w:vAlign w:val="bottom"/>
            <w:tcBorders>
              <w:bottom w:val="single" w:sz="8" w:color="CCEEFF"/>
            </w:tcBorders>
          </w:tcPr>
          <w:p>
            <w:pPr>
              <w:ind w:left="780"/>
              <w:spacing w:after="0"/>
              <w:rPr>
                <w:sz w:val="20"/>
                <w:szCs w:val="20"/>
                <w:color w:val="auto"/>
              </w:rPr>
            </w:pPr>
            <w:r>
              <w:rPr>
                <w:rFonts w:ascii="Arial" w:cs="Arial" w:eastAsia="Arial" w:hAnsi="Arial"/>
                <w:sz w:val="16"/>
                <w:szCs w:val="16"/>
                <w:color w:val="auto"/>
              </w:rPr>
              <w:t>Unrealized</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85,572</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(68,675)</w:t>
            </w:r>
          </w:p>
        </w:tc>
      </w:tr>
      <w:tr>
        <w:trPr>
          <w:trHeight w:val="212"/>
        </w:trPr>
        <w:tc>
          <w:tcPr>
            <w:tcW w:w="84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 performance fee-related compensation</w:t>
            </w: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110,880</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(65,775)</w:t>
            </w:r>
          </w:p>
        </w:tc>
      </w:tr>
      <w:tr>
        <w:trPr>
          <w:trHeight w:val="207"/>
        </w:trPr>
        <w:tc>
          <w:tcPr>
            <w:tcW w:w="8480" w:type="dxa"/>
            <w:vAlign w:val="bottom"/>
          </w:tcPr>
          <w:p>
            <w:pPr>
              <w:ind w:left="20"/>
              <w:spacing w:after="0"/>
              <w:rPr>
                <w:sz w:val="20"/>
                <w:szCs w:val="20"/>
                <w:color w:val="auto"/>
              </w:rPr>
            </w:pPr>
            <w:r>
              <w:rPr>
                <w:rFonts w:ascii="Arial" w:cs="Arial" w:eastAsia="Arial" w:hAnsi="Arial"/>
                <w:sz w:val="16"/>
                <w:szCs w:val="16"/>
                <w:color w:val="auto"/>
              </w:rPr>
              <w:t>Total compensation and benefits</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157,294</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(25,639)</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administrative and other</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16,430</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10,507</w:t>
            </w:r>
          </w:p>
        </w:tc>
      </w:tr>
      <w:tr>
        <w:trPr>
          <w:trHeight w:val="206"/>
        </w:trPr>
        <w:tc>
          <w:tcPr>
            <w:tcW w:w="848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Total expenses</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173,724</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(15,132)</w:t>
            </w:r>
          </w:p>
        </w:tc>
      </w:tr>
      <w:tr>
        <w:trPr>
          <w:trHeight w:val="19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Investment income (loss)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6,424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(3,178)</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(2,057)</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(loss)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r>
      <w:tr>
        <w:trPr>
          <w:trHeight w:val="207"/>
        </w:trPr>
        <w:tc>
          <w:tcPr>
            <w:tcW w:w="848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Total other income (expense)</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6,061</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(4,921)</w:t>
            </w:r>
          </w:p>
        </w:tc>
      </w:tr>
      <w:tr>
        <w:trPr>
          <w:trHeight w:val="212"/>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140,942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(51,202)</w:t>
            </w:r>
          </w:p>
        </w:tc>
      </w:tr>
      <w:tr>
        <w:trPr>
          <w:trHeight w:val="21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14,423</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1,158</w:t>
            </w:r>
          </w:p>
        </w:tc>
      </w:tr>
      <w:tr>
        <w:trPr>
          <w:trHeight w:val="213"/>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126,519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(52,360)</w:t>
            </w:r>
          </w:p>
        </w:tc>
      </w:tr>
      <w:tr>
        <w:trPr>
          <w:trHeight w:val="213"/>
        </w:trPr>
        <w:tc>
          <w:tcPr>
            <w:tcW w:w="8480" w:type="dxa"/>
            <w:vAlign w:val="bottom"/>
          </w:tcPr>
          <w:p>
            <w:pPr>
              <w:ind w:left="400"/>
              <w:spacing w:after="0"/>
              <w:rPr>
                <w:sz w:val="20"/>
                <w:szCs w:val="20"/>
                <w:color w:val="auto"/>
              </w:rPr>
            </w:pPr>
            <w:r>
              <w:rPr>
                <w:rFonts w:ascii="Arial" w:cs="Arial" w:eastAsia="Arial" w:hAnsi="Arial"/>
                <w:sz w:val="16"/>
                <w:szCs w:val="16"/>
                <w:color w:val="auto"/>
              </w:rPr>
              <w:t>Less: Net income attributable to non-controlling interests in subsidiaries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5,614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4,093</w:t>
            </w:r>
          </w:p>
        </w:tc>
      </w:tr>
      <w:tr>
        <w:trPr>
          <w:trHeight w:val="216"/>
        </w:trPr>
        <w:tc>
          <w:tcPr>
            <w:tcW w:w="84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Less: Net income (loss) attributable to non-controlling interests in the Partnership</w:t>
            </w: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79,255</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(56,453)</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Net income attributable to StepStone Group Inc.</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41,650</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3"/>
        </w:trPr>
        <w:tc>
          <w:tcPr>
            <w:tcW w:w="8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Earnings per share of Class A common stock:</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84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Basic</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3"/>
        </w:trPr>
        <w:tc>
          <w:tcPr>
            <w:tcW w:w="8480" w:type="dxa"/>
            <w:vAlign w:val="bottom"/>
          </w:tcPr>
          <w:p>
            <w:pPr>
              <w:ind w:left="460"/>
              <w:spacing w:after="0"/>
              <w:rPr>
                <w:sz w:val="20"/>
                <w:szCs w:val="20"/>
                <w:color w:val="auto"/>
              </w:rPr>
            </w:pPr>
            <w:r>
              <w:rPr>
                <w:rFonts w:ascii="Arial" w:cs="Arial" w:eastAsia="Arial" w:hAnsi="Arial"/>
                <w:sz w:val="16"/>
                <w:szCs w:val="16"/>
                <w:color w:val="auto"/>
              </w:rPr>
              <w:t>Diluted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shares of Class A common stock:</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3"/>
        </w:trPr>
        <w:tc>
          <w:tcPr>
            <w:tcW w:w="8480" w:type="dxa"/>
            <w:vAlign w:val="bottom"/>
          </w:tcPr>
          <w:p>
            <w:pPr>
              <w:ind w:left="460"/>
              <w:spacing w:after="0"/>
              <w:rPr>
                <w:sz w:val="20"/>
                <w:szCs w:val="20"/>
                <w:color w:val="auto"/>
              </w:rPr>
            </w:pPr>
            <w:r>
              <w:rPr>
                <w:rFonts w:ascii="Arial" w:cs="Arial" w:eastAsia="Arial" w:hAnsi="Arial"/>
                <w:sz w:val="16"/>
                <w:szCs w:val="16"/>
                <w:color w:val="auto"/>
              </w:rPr>
              <w:t>Basic</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39,042,497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84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Diluted</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42,885,231</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Comprehensive Income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6"/>
                <w:szCs w:val="16"/>
                <w:b w:val="1"/>
                <w:bCs w:val="1"/>
                <w:color w:val="auto"/>
                <w:w w:val="96"/>
              </w:rPr>
              <w:t>Three Months Ended June 30,</w:t>
            </w:r>
          </w:p>
        </w:tc>
      </w:tr>
      <w:tr>
        <w:trPr>
          <w:trHeight w:val="210"/>
        </w:trPr>
        <w:tc>
          <w:tcPr>
            <w:tcW w:w="84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2020</w:t>
            </w:r>
          </w:p>
        </w:tc>
      </w:tr>
      <w:tr>
        <w:trPr>
          <w:trHeight w:val="226"/>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126,519</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(52,360)</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2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 before non-controlling interests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126,767</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(52,098)</w:t>
            </w:r>
          </w:p>
        </w:tc>
      </w:tr>
      <w:tr>
        <w:trPr>
          <w:trHeight w:val="230"/>
        </w:trPr>
        <w:tc>
          <w:tcPr>
            <w:tcW w:w="8480" w:type="dxa"/>
            <w:vAlign w:val="bottom"/>
          </w:tcPr>
          <w:p>
            <w:pPr>
              <w:ind w:left="400"/>
              <w:spacing w:after="0"/>
              <w:rPr>
                <w:sz w:val="20"/>
                <w:szCs w:val="20"/>
                <w:color w:val="auto"/>
              </w:rPr>
            </w:pPr>
            <w:r>
              <w:rPr>
                <w:rFonts w:ascii="Arial" w:cs="Arial" w:eastAsia="Arial" w:hAnsi="Arial"/>
                <w:sz w:val="18"/>
                <w:szCs w:val="18"/>
                <w:color w:val="auto"/>
              </w:rPr>
              <w:t>Less: Comprehensive income attributable to non-controlling interests in subsidiaries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5,741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4,227</w:t>
            </w:r>
          </w:p>
        </w:tc>
      </w:tr>
      <w:tr>
        <w:trPr>
          <w:trHeight w:val="229"/>
        </w:trPr>
        <w:tc>
          <w:tcPr>
            <w:tcW w:w="8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Less: Comprehensive income (loss) attributable to non-controlling interests in the Partnership</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79,327</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(56,325)</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Comprehensive income attributable to StepStone Group Inc.</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41,699</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Stockholders’ Equity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w w:val="87"/>
              </w:rPr>
              <w:t>Class A Common</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w w:val="89"/>
              </w:rPr>
              <w:t>Class B Common</w:t>
            </w:r>
          </w:p>
        </w:tc>
        <w:tc>
          <w:tcPr>
            <w:tcW w:w="100" w:type="dxa"/>
            <w:vAlign w:val="bottom"/>
          </w:tcPr>
          <w:p>
            <w:pPr>
              <w:spacing w:after="0"/>
              <w:rPr>
                <w:sz w:val="10"/>
                <w:szCs w:val="10"/>
                <w:color w:val="auto"/>
              </w:rPr>
            </w:pPr>
          </w:p>
        </w:tc>
        <w:tc>
          <w:tcPr>
            <w:tcW w:w="860" w:type="dxa"/>
            <w:vAlign w:val="bottom"/>
            <w:gridSpan w:val="3"/>
            <w:vMerge w:val="restart"/>
          </w:tcPr>
          <w:p>
            <w:pPr>
              <w:jc w:val="right"/>
              <w:ind w:right="60"/>
              <w:spacing w:after="0"/>
              <w:rPr>
                <w:sz w:val="20"/>
                <w:szCs w:val="20"/>
                <w:color w:val="auto"/>
              </w:rPr>
            </w:pPr>
            <w:r>
              <w:rPr>
                <w:rFonts w:ascii="Arial" w:cs="Arial" w:eastAsia="Arial" w:hAnsi="Arial"/>
                <w:sz w:val="11"/>
                <w:szCs w:val="11"/>
                <w:b w:val="1"/>
                <w:bCs w:val="1"/>
                <w:color w:val="auto"/>
                <w:w w:val="93"/>
              </w:rPr>
              <w:t>Additional Paid-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3"/>
          </w:tcPr>
          <w:p>
            <w:pPr>
              <w:jc w:val="center"/>
              <w:spacing w:after="0"/>
              <w:rPr>
                <w:sz w:val="20"/>
                <w:szCs w:val="20"/>
                <w:color w:val="auto"/>
              </w:rPr>
            </w:pPr>
            <w:r>
              <w:rPr>
                <w:rFonts w:ascii="Arial" w:cs="Arial" w:eastAsia="Arial" w:hAnsi="Arial"/>
                <w:sz w:val="11"/>
                <w:szCs w:val="11"/>
                <w:b w:val="1"/>
                <w:bCs w:val="1"/>
                <w:color w:val="auto"/>
                <w:w w:val="90"/>
              </w:rPr>
              <w:t>Accumulated Other</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3"/>
          </w:tcPr>
          <w:p>
            <w:pPr>
              <w:jc w:val="center"/>
              <w:spacing w:after="0"/>
              <w:rPr>
                <w:sz w:val="20"/>
                <w:szCs w:val="20"/>
                <w:color w:val="auto"/>
              </w:rPr>
            </w:pPr>
            <w:r>
              <w:rPr>
                <w:rFonts w:ascii="Arial" w:cs="Arial" w:eastAsia="Arial" w:hAnsi="Arial"/>
                <w:sz w:val="11"/>
                <w:szCs w:val="11"/>
                <w:b w:val="1"/>
                <w:bCs w:val="1"/>
                <w:color w:val="auto"/>
                <w:w w:val="90"/>
              </w:rPr>
              <w:t>Non-Controlling</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gridSpan w:val="4"/>
          </w:tcPr>
          <w:p>
            <w:pPr>
              <w:ind w:left="80"/>
              <w:spacing w:after="0"/>
              <w:rPr>
                <w:sz w:val="20"/>
                <w:szCs w:val="20"/>
                <w:color w:val="auto"/>
              </w:rPr>
            </w:pPr>
            <w:r>
              <w:rPr>
                <w:rFonts w:ascii="Arial" w:cs="Arial" w:eastAsia="Arial" w:hAnsi="Arial"/>
                <w:sz w:val="11"/>
                <w:szCs w:val="11"/>
                <w:b w:val="1"/>
                <w:bCs w:val="1"/>
                <w:color w:val="auto"/>
              </w:rPr>
              <w:t>Non-Controlling</w:t>
            </w:r>
          </w:p>
        </w:tc>
        <w:tc>
          <w:tcPr>
            <w:tcW w:w="100" w:type="dxa"/>
            <w:vAlign w:val="bottom"/>
          </w:tcPr>
          <w:p>
            <w:pPr>
              <w:spacing w:after="0"/>
              <w:rPr>
                <w:sz w:val="10"/>
                <w:szCs w:val="10"/>
                <w:color w:val="auto"/>
              </w:rPr>
            </w:pPr>
          </w:p>
        </w:tc>
        <w:tc>
          <w:tcPr>
            <w:tcW w:w="800" w:type="dxa"/>
            <w:vAlign w:val="bottom"/>
          </w:tcPr>
          <w:p>
            <w:pPr>
              <w:jc w:val="center"/>
              <w:ind w:right="6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8"/>
        </w:trPr>
        <w:tc>
          <w:tcPr>
            <w:tcW w:w="2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w w:val="88"/>
              </w:rPr>
              <w:t>Retained Earnings</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88"/>
              </w:rPr>
              <w:t>Interests in</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3"/>
          </w:tcPr>
          <w:p>
            <w:pPr>
              <w:jc w:val="right"/>
              <w:ind w:right="200"/>
              <w:spacing w:after="0" w:line="108" w:lineRule="exact"/>
              <w:rPr>
                <w:sz w:val="20"/>
                <w:szCs w:val="20"/>
                <w:color w:val="auto"/>
              </w:rPr>
            </w:pPr>
            <w:r>
              <w:rPr>
                <w:rFonts w:ascii="Arial" w:cs="Arial" w:eastAsia="Arial" w:hAnsi="Arial"/>
                <w:sz w:val="11"/>
                <w:szCs w:val="11"/>
                <w:b w:val="1"/>
                <w:bCs w:val="1"/>
                <w:color w:val="auto"/>
                <w:w w:val="86"/>
              </w:rPr>
              <w:t>Interests in the</w:t>
            </w:r>
          </w:p>
        </w:tc>
        <w:tc>
          <w:tcPr>
            <w:tcW w:w="100" w:type="dxa"/>
            <w:vAlign w:val="bottom"/>
          </w:tcPr>
          <w:p>
            <w:pPr>
              <w:spacing w:after="0"/>
              <w:rPr>
                <w:sz w:val="9"/>
                <w:szCs w:val="9"/>
                <w:color w:val="auto"/>
              </w:rPr>
            </w:pPr>
          </w:p>
        </w:tc>
        <w:tc>
          <w:tcPr>
            <w:tcW w:w="800" w:type="dxa"/>
            <w:vAlign w:val="bottom"/>
          </w:tcPr>
          <w:p>
            <w:pPr>
              <w:jc w:val="center"/>
              <w:ind w:right="66"/>
              <w:spacing w:after="0" w:line="108" w:lineRule="exact"/>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140"/>
        </w:trPr>
        <w:tc>
          <w:tcPr>
            <w:tcW w:w="2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ind w:left="300"/>
              <w:spacing w:after="0"/>
              <w:rPr>
                <w:sz w:val="20"/>
                <w:szCs w:val="20"/>
                <w:color w:val="auto"/>
              </w:rPr>
            </w:pPr>
            <w:r>
              <w:rPr>
                <w:rFonts w:ascii="Arial" w:cs="Arial" w:eastAsia="Arial" w:hAnsi="Arial"/>
                <w:sz w:val="11"/>
                <w:szCs w:val="11"/>
                <w:b w:val="1"/>
                <w:bCs w:val="1"/>
                <w:color w:val="auto"/>
              </w:rPr>
              <w:t>Stock</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Stock</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in Capital</w:t>
            </w: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Income</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5"/>
              </w:rPr>
              <w:t>Subsidiaries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ind w:left="80"/>
              <w:spacing w:after="0"/>
              <w:rPr>
                <w:sz w:val="20"/>
                <w:szCs w:val="20"/>
                <w:color w:val="auto"/>
              </w:rPr>
            </w:pPr>
            <w:r>
              <w:rPr>
                <w:rFonts w:ascii="Arial" w:cs="Arial" w:eastAsia="Arial" w:hAnsi="Arial"/>
                <w:sz w:val="11"/>
                <w:szCs w:val="11"/>
                <w:b w:val="1"/>
                <w:bCs w:val="1"/>
                <w:color w:val="auto"/>
              </w:rPr>
              <w:t>Partnership</w:t>
            </w:r>
          </w:p>
        </w:tc>
        <w:tc>
          <w:tcPr>
            <w:tcW w:w="100" w:type="dxa"/>
            <w:vAlign w:val="bottom"/>
          </w:tcPr>
          <w:p>
            <w:pPr>
              <w:spacing w:after="0"/>
              <w:rPr>
                <w:sz w:val="12"/>
                <w:szCs w:val="12"/>
                <w:color w:val="auto"/>
              </w:rPr>
            </w:pPr>
          </w:p>
        </w:tc>
        <w:tc>
          <w:tcPr>
            <w:tcW w:w="800" w:type="dxa"/>
            <w:vAlign w:val="bottom"/>
          </w:tcPr>
          <w:p>
            <w:pPr>
              <w:jc w:val="center"/>
              <w:ind w:right="46"/>
              <w:spacing w:after="0"/>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22"/>
        </w:trPr>
        <w:tc>
          <w:tcPr>
            <w:tcW w:w="2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March 31, 2021</w:t>
            </w:r>
          </w:p>
        </w:tc>
        <w:tc>
          <w:tcPr>
            <w:tcW w:w="34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81"/>
              </w:rPr>
              <w:t>38</w:t>
            </w:r>
          </w:p>
        </w:tc>
        <w:tc>
          <w:tcPr>
            <w:tcW w:w="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57</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188,751</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60,407</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155</w:t>
            </w:r>
          </w:p>
        </w:tc>
        <w:tc>
          <w:tcPr>
            <w:tcW w:w="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25,885</w:t>
            </w:r>
          </w:p>
        </w:tc>
        <w:tc>
          <w:tcPr>
            <w:tcW w:w="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384,400</w:t>
            </w: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659,693</w:t>
            </w:r>
          </w:p>
        </w:tc>
        <w:tc>
          <w:tcPr>
            <w:tcW w:w="0" w:type="dxa"/>
            <w:vAlign w:val="bottom"/>
          </w:tcPr>
          <w:p>
            <w:pPr>
              <w:spacing w:after="0"/>
              <w:rPr>
                <w:sz w:val="1"/>
                <w:szCs w:val="1"/>
                <w:color w:val="auto"/>
              </w:rPr>
            </w:pPr>
          </w:p>
        </w:tc>
      </w:tr>
      <w:tr>
        <w:trPr>
          <w:trHeight w:val="140"/>
        </w:trPr>
        <w:tc>
          <w:tcPr>
            <w:tcW w:w="2240" w:type="dxa"/>
            <w:vAlign w:val="bottom"/>
          </w:tcPr>
          <w:p>
            <w:pPr>
              <w:ind w:left="140"/>
              <w:spacing w:after="0"/>
              <w:rPr>
                <w:sz w:val="20"/>
                <w:szCs w:val="20"/>
                <w:color w:val="auto"/>
              </w:rPr>
            </w:pPr>
            <w:r>
              <w:rPr>
                <w:rFonts w:ascii="Arial" w:cs="Arial" w:eastAsia="Arial" w:hAnsi="Arial"/>
                <w:sz w:val="11"/>
                <w:szCs w:val="11"/>
                <w:color w:val="auto"/>
              </w:rPr>
              <w:t>Net income</w:t>
            </w: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auto"/>
                <w:w w:val="90"/>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1"/>
                <w:szCs w:val="11"/>
                <w:color w:val="auto"/>
              </w:rPr>
              <w:t>41,650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1"/>
                <w:szCs w:val="11"/>
                <w:color w:val="auto"/>
              </w:rPr>
              <w:t>5,614</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79,255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126,519</w:t>
            </w: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Other comprehensive income</w:t>
            </w:r>
          </w:p>
        </w:tc>
        <w:tc>
          <w:tcPr>
            <w:tcW w:w="34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0"/>
              </w:rPr>
              <w:t>—</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49</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127</w:t>
            </w: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72</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248</w:t>
            </w:r>
          </w:p>
        </w:tc>
        <w:tc>
          <w:tcPr>
            <w:tcW w:w="0" w:type="dxa"/>
            <w:vAlign w:val="bottom"/>
          </w:tcPr>
          <w:p>
            <w:pPr>
              <w:spacing w:after="0"/>
              <w:rPr>
                <w:sz w:val="1"/>
                <w:szCs w:val="1"/>
                <w:color w:val="auto"/>
              </w:rPr>
            </w:pPr>
          </w:p>
        </w:tc>
      </w:tr>
      <w:tr>
        <w:trPr>
          <w:trHeight w:val="140"/>
        </w:trPr>
        <w:tc>
          <w:tcPr>
            <w:tcW w:w="2240" w:type="dxa"/>
            <w:vAlign w:val="bottom"/>
          </w:tcPr>
          <w:p>
            <w:pPr>
              <w:ind w:left="140"/>
              <w:spacing w:after="0"/>
              <w:rPr>
                <w:sz w:val="20"/>
                <w:szCs w:val="20"/>
                <w:color w:val="auto"/>
              </w:rPr>
            </w:pPr>
            <w:r>
              <w:rPr>
                <w:rFonts w:ascii="Arial" w:cs="Arial" w:eastAsia="Arial" w:hAnsi="Arial"/>
                <w:sz w:val="11"/>
                <w:szCs w:val="11"/>
                <w:color w:val="auto"/>
              </w:rPr>
              <w:t>Contributed capital</w:t>
            </w: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auto"/>
                <w:w w:val="90"/>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Equity-based compensation</w:t>
            </w:r>
          </w:p>
        </w:tc>
        <w:tc>
          <w:tcPr>
            <w:tcW w:w="34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0"/>
              </w:rPr>
              <w:t>—</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1,546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w:t>
            </w: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2,192</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3,742</w:t>
            </w:r>
          </w:p>
        </w:tc>
        <w:tc>
          <w:tcPr>
            <w:tcW w:w="0" w:type="dxa"/>
            <w:vAlign w:val="bottom"/>
          </w:tcPr>
          <w:p>
            <w:pPr>
              <w:spacing w:after="0"/>
              <w:rPr>
                <w:sz w:val="1"/>
                <w:szCs w:val="1"/>
                <w:color w:val="auto"/>
              </w:rPr>
            </w:pPr>
          </w:p>
        </w:tc>
      </w:tr>
      <w:tr>
        <w:trPr>
          <w:trHeight w:val="140"/>
        </w:trPr>
        <w:tc>
          <w:tcPr>
            <w:tcW w:w="2240" w:type="dxa"/>
            <w:vAlign w:val="bottom"/>
          </w:tcPr>
          <w:p>
            <w:pPr>
              <w:ind w:left="140"/>
              <w:spacing w:after="0"/>
              <w:rPr>
                <w:sz w:val="20"/>
                <w:szCs w:val="20"/>
                <w:color w:val="auto"/>
              </w:rPr>
            </w:pPr>
            <w:r>
              <w:rPr>
                <w:rFonts w:ascii="Arial" w:cs="Arial" w:eastAsia="Arial" w:hAnsi="Arial"/>
                <w:sz w:val="11"/>
                <w:szCs w:val="11"/>
                <w:color w:val="auto"/>
              </w:rPr>
              <w:t>Distributions</w:t>
            </w: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auto"/>
                <w:w w:val="90"/>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(5,045)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1"/>
                <w:szCs w:val="11"/>
                <w:color w:val="auto"/>
              </w:rPr>
              <w:t>(24,442)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(29,487)</w:t>
            </w: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Dividends declared</w:t>
            </w:r>
          </w:p>
        </w:tc>
        <w:tc>
          <w:tcPr>
            <w:tcW w:w="34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0"/>
              </w:rPr>
              <w:t>—</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(3,000)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(3,000)</w:t>
            </w:r>
          </w:p>
        </w:tc>
        <w:tc>
          <w:tcPr>
            <w:tcW w:w="0" w:type="dxa"/>
            <w:vAlign w:val="bottom"/>
          </w:tcPr>
          <w:p>
            <w:pPr>
              <w:spacing w:after="0"/>
              <w:rPr>
                <w:sz w:val="1"/>
                <w:szCs w:val="1"/>
                <w:color w:val="auto"/>
              </w:rPr>
            </w:pPr>
          </w:p>
        </w:tc>
      </w:tr>
      <w:tr>
        <w:trPr>
          <w:trHeight w:val="112"/>
        </w:trPr>
        <w:tc>
          <w:tcPr>
            <w:tcW w:w="3400" w:type="dxa"/>
            <w:vAlign w:val="bottom"/>
            <w:gridSpan w:val="5"/>
          </w:tcPr>
          <w:p>
            <w:pPr>
              <w:ind w:left="140"/>
              <w:spacing w:after="0" w:line="112" w:lineRule="exact"/>
              <w:rPr>
                <w:sz w:val="20"/>
                <w:szCs w:val="20"/>
                <w:color w:val="auto"/>
              </w:rPr>
            </w:pPr>
            <w:r>
              <w:rPr>
                <w:rFonts w:ascii="Arial" w:cs="Arial" w:eastAsia="Arial" w:hAnsi="Arial"/>
                <w:sz w:val="11"/>
                <w:szCs w:val="11"/>
                <w:color w:val="auto"/>
                <w:w w:val="92"/>
              </w:rPr>
              <w:t>Exchange of Class B units for Class A common stock and redemption of</w:t>
            </w:r>
          </w:p>
        </w:tc>
        <w:tc>
          <w:tcPr>
            <w:tcW w:w="68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Arial" w:cs="Arial" w:eastAsia="Arial" w:hAnsi="Arial"/>
                <w:sz w:val="11"/>
                <w:szCs w:val="11"/>
                <w:color w:val="auto"/>
              </w:rPr>
              <w:t>2</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restart"/>
          </w:tcPr>
          <w:p>
            <w:pPr>
              <w:ind w:left="580"/>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3"/>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36"/>
        </w:trPr>
        <w:tc>
          <w:tcPr>
            <w:tcW w:w="2240" w:type="dxa"/>
            <w:vAlign w:val="bottom"/>
          </w:tcPr>
          <w:p>
            <w:pPr>
              <w:ind w:left="240"/>
              <w:spacing w:after="0"/>
              <w:rPr>
                <w:sz w:val="20"/>
                <w:szCs w:val="20"/>
                <w:color w:val="auto"/>
              </w:rPr>
            </w:pPr>
            <w:r>
              <w:rPr>
                <w:rFonts w:ascii="Arial" w:cs="Arial" w:eastAsia="Arial" w:hAnsi="Arial"/>
                <w:sz w:val="11"/>
                <w:szCs w:val="11"/>
                <w:color w:val="auto"/>
              </w:rPr>
              <w:t>corresponding Class B common shares</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30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1"/>
                <w:szCs w:val="11"/>
                <w:color w:val="auto"/>
                <w:w w:val="93"/>
              </w:rPr>
              <w:t>Equity reallocation between controlling and non-controlling interests</w:t>
            </w:r>
          </w:p>
        </w:tc>
        <w:tc>
          <w:tcPr>
            <w:tcW w:w="1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0"/>
              </w:rPr>
              <w:t>—</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11,865</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11</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(11,876)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3220" w:type="dxa"/>
            <w:vAlign w:val="bottom"/>
            <w:gridSpan w:val="4"/>
          </w:tcPr>
          <w:p>
            <w:pPr>
              <w:ind w:left="140"/>
              <w:spacing w:after="0" w:line="112" w:lineRule="exact"/>
              <w:rPr>
                <w:sz w:val="20"/>
                <w:szCs w:val="20"/>
                <w:color w:val="auto"/>
              </w:rPr>
            </w:pPr>
            <w:r>
              <w:rPr>
                <w:rFonts w:ascii="Arial" w:cs="Arial" w:eastAsia="Arial" w:hAnsi="Arial"/>
                <w:sz w:val="11"/>
                <w:szCs w:val="11"/>
                <w:color w:val="auto"/>
                <w:w w:val="94"/>
              </w:rPr>
              <w:t>Deferred tax effect resulting from exchange of Class B units, net of</w:t>
            </w: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gridSpan w:val="2"/>
            <w:vMerge w:val="restart"/>
          </w:tcPr>
          <w:p>
            <w:pPr>
              <w:jc w:val="right"/>
              <w:ind w:right="40"/>
              <w:spacing w:after="0"/>
              <w:rPr>
                <w:sz w:val="20"/>
                <w:szCs w:val="20"/>
                <w:color w:val="auto"/>
              </w:rPr>
            </w:pPr>
            <w:r>
              <w:rPr>
                <w:rFonts w:ascii="Arial" w:cs="Arial" w:eastAsia="Arial" w:hAnsi="Arial"/>
                <w:sz w:val="11"/>
                <w:szCs w:val="11"/>
                <w:color w:val="auto"/>
                <w:w w:val="90"/>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restart"/>
          </w:tcPr>
          <w:p>
            <w:pPr>
              <w:ind w:left="5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3,401</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3"/>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3,401</w:t>
            </w:r>
          </w:p>
        </w:tc>
        <w:tc>
          <w:tcPr>
            <w:tcW w:w="0" w:type="dxa"/>
            <w:vAlign w:val="bottom"/>
          </w:tcPr>
          <w:p>
            <w:pPr>
              <w:spacing w:after="0"/>
              <w:rPr>
                <w:sz w:val="1"/>
                <w:szCs w:val="1"/>
                <w:color w:val="auto"/>
              </w:rPr>
            </w:pPr>
          </w:p>
        </w:tc>
      </w:tr>
      <w:tr>
        <w:trPr>
          <w:trHeight w:val="136"/>
        </w:trPr>
        <w:tc>
          <w:tcPr>
            <w:tcW w:w="2580" w:type="dxa"/>
            <w:vAlign w:val="bottom"/>
            <w:gridSpan w:val="2"/>
          </w:tcPr>
          <w:p>
            <w:pPr>
              <w:ind w:left="240"/>
              <w:spacing w:after="0"/>
              <w:rPr>
                <w:sz w:val="20"/>
                <w:szCs w:val="20"/>
                <w:color w:val="auto"/>
              </w:rPr>
            </w:pPr>
            <w:r>
              <w:rPr>
                <w:rFonts w:ascii="Arial" w:cs="Arial" w:eastAsia="Arial" w:hAnsi="Arial"/>
                <w:sz w:val="11"/>
                <w:szCs w:val="11"/>
                <w:color w:val="auto"/>
                <w:w w:val="90"/>
              </w:rPr>
              <w:t>amounts payable under Tax Receivable Agreements</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2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Balance at June 30, 2021</w:t>
            </w:r>
          </w:p>
        </w:tc>
        <w:tc>
          <w:tcPr>
            <w:tcW w:w="3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rPr>
              <w:t>40</w:t>
            </w:r>
          </w:p>
        </w:tc>
        <w:tc>
          <w:tcPr>
            <w:tcW w:w="20" w:type="dxa"/>
            <w:vAlign w:val="bottom"/>
            <w:shd w:val="clear" w:color="auto" w:fill="CCEEFF"/>
          </w:tcPr>
          <w:p>
            <w:pPr>
              <w:spacing w:after="0"/>
              <w:rPr>
                <w:sz w:val="15"/>
                <w:szCs w:val="15"/>
                <w:color w:val="auto"/>
              </w:rPr>
            </w:pPr>
          </w:p>
        </w:tc>
        <w:tc>
          <w:tcPr>
            <w:tcW w:w="240" w:type="dxa"/>
            <w:vAlign w:val="bottom"/>
            <w:gridSpan w:val="3"/>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55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205,561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99,057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215</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26,585</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429,622</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761,135</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2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4"/>
            <w:vMerge w:val="restart"/>
          </w:tcPr>
          <w:p>
            <w:pPr>
              <w:jc w:val="center"/>
              <w:ind w:right="100"/>
              <w:spacing w:after="0"/>
              <w:rPr>
                <w:sz w:val="20"/>
                <w:szCs w:val="20"/>
                <w:color w:val="auto"/>
              </w:rPr>
            </w:pPr>
            <w:r>
              <w:rPr>
                <w:rFonts w:ascii="Arial" w:cs="Arial" w:eastAsia="Arial" w:hAnsi="Arial"/>
                <w:sz w:val="11"/>
                <w:szCs w:val="11"/>
                <w:b w:val="1"/>
                <w:bCs w:val="1"/>
                <w:color w:val="auto"/>
                <w:w w:val="90"/>
              </w:rPr>
              <w:t>Accumulated Other</w:t>
            </w:r>
          </w:p>
        </w:tc>
        <w:tc>
          <w:tcPr>
            <w:tcW w:w="40" w:type="dxa"/>
            <w:vAlign w:val="bottom"/>
          </w:tcPr>
          <w:p>
            <w:pPr>
              <w:spacing w:after="0"/>
              <w:rPr>
                <w:sz w:val="24"/>
                <w:szCs w:val="24"/>
                <w:color w:val="auto"/>
              </w:rPr>
            </w:pPr>
          </w:p>
        </w:tc>
        <w:tc>
          <w:tcPr>
            <w:tcW w:w="940" w:type="dxa"/>
            <w:vAlign w:val="bottom"/>
            <w:gridSpan w:val="4"/>
            <w:vMerge w:val="restart"/>
          </w:tcPr>
          <w:p>
            <w:pPr>
              <w:jc w:val="center"/>
              <w:ind w:right="100"/>
              <w:spacing w:after="0"/>
              <w:rPr>
                <w:sz w:val="20"/>
                <w:szCs w:val="20"/>
                <w:color w:val="auto"/>
              </w:rPr>
            </w:pPr>
            <w:r>
              <w:rPr>
                <w:rFonts w:ascii="Arial" w:cs="Arial" w:eastAsia="Arial" w:hAnsi="Arial"/>
                <w:sz w:val="11"/>
                <w:szCs w:val="11"/>
                <w:b w:val="1"/>
                <w:bCs w:val="1"/>
                <w:color w:val="auto"/>
                <w:w w:val="90"/>
              </w:rPr>
              <w:t>Non-Controlling</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4"/>
            <w:vMerge w:val="restart"/>
          </w:tcPr>
          <w:p>
            <w:pPr>
              <w:jc w:val="right"/>
              <w:ind w:right="200"/>
              <w:spacing w:after="0"/>
              <w:rPr>
                <w:sz w:val="20"/>
                <w:szCs w:val="20"/>
                <w:color w:val="auto"/>
              </w:rPr>
            </w:pPr>
            <w:r>
              <w:rPr>
                <w:rFonts w:ascii="Arial" w:cs="Arial" w:eastAsia="Arial" w:hAnsi="Arial"/>
                <w:sz w:val="11"/>
                <w:szCs w:val="11"/>
                <w:b w:val="1"/>
                <w:bCs w:val="1"/>
                <w:color w:val="auto"/>
                <w:w w:val="93"/>
              </w:rPr>
              <w:t>Non-Controlling</w:t>
            </w:r>
          </w:p>
        </w:tc>
        <w:tc>
          <w:tcPr>
            <w:tcW w:w="100" w:type="dxa"/>
            <w:vAlign w:val="bottom"/>
          </w:tcPr>
          <w:p>
            <w:pPr>
              <w:spacing w:after="0"/>
              <w:rPr>
                <w:sz w:val="24"/>
                <w:szCs w:val="24"/>
                <w:color w:val="auto"/>
              </w:rPr>
            </w:pPr>
          </w:p>
        </w:tc>
        <w:tc>
          <w:tcPr>
            <w:tcW w:w="800" w:type="dxa"/>
            <w:vAlign w:val="bottom"/>
          </w:tcPr>
          <w:p>
            <w:pPr>
              <w:jc w:val="center"/>
              <w:ind w:right="6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8"/>
        </w:trPr>
        <w:tc>
          <w:tcPr>
            <w:tcW w:w="2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w w:val="87"/>
              </w:rPr>
              <w:t>Class A Common</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gridSpan w:val="5"/>
            <w:vMerge w:val="restart"/>
          </w:tcPr>
          <w:p>
            <w:pPr>
              <w:ind w:left="20"/>
              <w:spacing w:after="0"/>
              <w:rPr>
                <w:sz w:val="20"/>
                <w:szCs w:val="20"/>
                <w:color w:val="auto"/>
              </w:rPr>
            </w:pPr>
            <w:r>
              <w:rPr>
                <w:rFonts w:ascii="Arial" w:cs="Arial" w:eastAsia="Arial" w:hAnsi="Arial"/>
                <w:sz w:val="11"/>
                <w:szCs w:val="11"/>
                <w:b w:val="1"/>
                <w:bCs w:val="1"/>
                <w:color w:val="auto"/>
              </w:rPr>
              <w:t>Class B Common</w:t>
            </w:r>
          </w:p>
        </w:tc>
        <w:tc>
          <w:tcPr>
            <w:tcW w:w="960" w:type="dxa"/>
            <w:vAlign w:val="bottom"/>
            <w:gridSpan w:val="4"/>
            <w:vMerge w:val="restart"/>
          </w:tcPr>
          <w:p>
            <w:pPr>
              <w:jc w:val="right"/>
              <w:ind w:right="140"/>
              <w:spacing w:after="0"/>
              <w:rPr>
                <w:sz w:val="20"/>
                <w:szCs w:val="20"/>
                <w:color w:val="auto"/>
              </w:rPr>
            </w:pPr>
            <w:r>
              <w:rPr>
                <w:rFonts w:ascii="Arial" w:cs="Arial" w:eastAsia="Arial" w:hAnsi="Arial"/>
                <w:sz w:val="11"/>
                <w:szCs w:val="11"/>
                <w:b w:val="1"/>
                <w:bCs w:val="1"/>
                <w:color w:val="auto"/>
                <w:w w:val="95"/>
              </w:rPr>
              <w:t>Additional Paid-</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1"/>
                <w:szCs w:val="11"/>
                <w:b w:val="1"/>
                <w:bCs w:val="1"/>
                <w:color w:val="auto"/>
                <w:w w:val="90"/>
              </w:rPr>
              <w:t>Retained</w:t>
            </w:r>
          </w:p>
        </w:tc>
        <w:tc>
          <w:tcPr>
            <w:tcW w:w="1100" w:type="dxa"/>
            <w:vAlign w:val="bottom"/>
            <w:gridSpan w:val="4"/>
            <w:vMerge w:val="continue"/>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jc w:val="center"/>
              <w:ind w:right="66"/>
              <w:spacing w:after="0" w:line="108" w:lineRule="exact"/>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108"/>
        </w:trPr>
        <w:tc>
          <w:tcPr>
            <w:tcW w:w="2240" w:type="dxa"/>
            <w:vAlign w:val="bottom"/>
          </w:tcPr>
          <w:p>
            <w:pPr>
              <w:spacing w:after="0"/>
              <w:rPr>
                <w:sz w:val="9"/>
                <w:szCs w:val="9"/>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Partners’ Capital</w:t>
            </w:r>
          </w:p>
        </w:tc>
        <w:tc>
          <w:tcPr>
            <w:tcW w:w="8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gridSpan w:val="5"/>
            <w:vMerge w:val="continue"/>
          </w:tcPr>
          <w:p>
            <w:pPr>
              <w:spacing w:after="0"/>
              <w:rPr>
                <w:sz w:val="9"/>
                <w:szCs w:val="9"/>
                <w:color w:val="auto"/>
              </w:rPr>
            </w:pPr>
          </w:p>
        </w:tc>
        <w:tc>
          <w:tcPr>
            <w:tcW w:w="96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3"/>
          </w:tcPr>
          <w:p>
            <w:pPr>
              <w:jc w:val="center"/>
              <w:ind w:right="200"/>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5"/>
              </w:rPr>
              <w:t>Interests in</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gridSpan w:val="4"/>
          </w:tcPr>
          <w:p>
            <w:pPr>
              <w:ind w:left="80"/>
              <w:spacing w:after="0" w:line="108" w:lineRule="exact"/>
              <w:rPr>
                <w:sz w:val="20"/>
                <w:szCs w:val="20"/>
                <w:color w:val="auto"/>
              </w:rPr>
            </w:pPr>
            <w:r>
              <w:rPr>
                <w:rFonts w:ascii="Arial" w:cs="Arial" w:eastAsia="Arial" w:hAnsi="Arial"/>
                <w:sz w:val="11"/>
                <w:szCs w:val="11"/>
                <w:b w:val="1"/>
                <w:bCs w:val="1"/>
                <w:color w:val="auto"/>
              </w:rPr>
              <w:t>Interests in the</w:t>
            </w:r>
          </w:p>
        </w:tc>
        <w:tc>
          <w:tcPr>
            <w:tcW w:w="90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0"/>
              </w:rPr>
              <w:t>Equity / Partners’</w:t>
            </w:r>
          </w:p>
        </w:tc>
        <w:tc>
          <w:tcPr>
            <w:tcW w:w="0" w:type="dxa"/>
            <w:vAlign w:val="bottom"/>
          </w:tcPr>
          <w:p>
            <w:pPr>
              <w:spacing w:after="0"/>
              <w:rPr>
                <w:sz w:val="1"/>
                <w:szCs w:val="1"/>
                <w:color w:val="auto"/>
              </w:rPr>
            </w:pPr>
          </w:p>
        </w:tc>
      </w:tr>
      <w:tr>
        <w:trPr>
          <w:trHeight w:val="140"/>
        </w:trPr>
        <w:tc>
          <w:tcPr>
            <w:tcW w:w="224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Stock</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Stock</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w w:val="92"/>
              </w:rPr>
              <w:t>in Capital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w w:val="89"/>
              </w:rPr>
              <w:t>Earnings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8"/>
              </w:rPr>
              <w:t>Income</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Subsidiaries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ind w:left="40"/>
              <w:spacing w:after="0"/>
              <w:rPr>
                <w:sz w:val="20"/>
                <w:szCs w:val="20"/>
                <w:color w:val="auto"/>
              </w:rPr>
            </w:pPr>
            <w:r>
              <w:rPr>
                <w:rFonts w:ascii="Arial" w:cs="Arial" w:eastAsia="Arial" w:hAnsi="Arial"/>
                <w:sz w:val="11"/>
                <w:szCs w:val="11"/>
                <w:b w:val="1"/>
                <w:bCs w:val="1"/>
                <w:color w:val="auto"/>
              </w:rPr>
              <w:t>Partnership</w:t>
            </w:r>
          </w:p>
        </w:tc>
        <w:tc>
          <w:tcPr>
            <w:tcW w:w="100" w:type="dxa"/>
            <w:vAlign w:val="bottom"/>
          </w:tcPr>
          <w:p>
            <w:pPr>
              <w:spacing w:after="0"/>
              <w:rPr>
                <w:sz w:val="12"/>
                <w:szCs w:val="12"/>
                <w:color w:val="auto"/>
              </w:rPr>
            </w:pPr>
          </w:p>
        </w:tc>
        <w:tc>
          <w:tcPr>
            <w:tcW w:w="800" w:type="dxa"/>
            <w:vAlign w:val="bottom"/>
          </w:tcPr>
          <w:p>
            <w:pPr>
              <w:jc w:val="center"/>
              <w:ind w:right="46"/>
              <w:spacing w:after="0"/>
              <w:rPr>
                <w:sz w:val="20"/>
                <w:szCs w:val="20"/>
                <w:color w:val="auto"/>
              </w:rPr>
            </w:pPr>
            <w:r>
              <w:rPr>
                <w:rFonts w:ascii="Arial" w:cs="Arial" w:eastAsia="Arial" w:hAnsi="Arial"/>
                <w:sz w:val="11"/>
                <w:szCs w:val="11"/>
                <w:b w:val="1"/>
                <w:bCs w:val="1"/>
                <w:color w:val="auto"/>
                <w:w w:val="92"/>
              </w:rPr>
              <w:t>Capital</w:t>
            </w:r>
          </w:p>
        </w:tc>
        <w:tc>
          <w:tcPr>
            <w:tcW w:w="0" w:type="dxa"/>
            <w:vAlign w:val="bottom"/>
          </w:tcPr>
          <w:p>
            <w:pPr>
              <w:spacing w:after="0"/>
              <w:rPr>
                <w:sz w:val="1"/>
                <w:szCs w:val="1"/>
                <w:color w:val="auto"/>
              </w:rPr>
            </w:pPr>
          </w:p>
        </w:tc>
      </w:tr>
      <w:tr>
        <w:trPr>
          <w:trHeight w:val="22"/>
        </w:trPr>
        <w:tc>
          <w:tcPr>
            <w:tcW w:w="2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March 31, 2020</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216,051</w:t>
            </w:r>
          </w:p>
        </w:tc>
        <w:tc>
          <w:tcPr>
            <w:tcW w:w="1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178</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gridSpan w:val="3"/>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20,738</w:t>
            </w: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236,967</w:t>
            </w:r>
          </w:p>
        </w:tc>
        <w:tc>
          <w:tcPr>
            <w:tcW w:w="0" w:type="dxa"/>
            <w:vAlign w:val="bottom"/>
          </w:tcPr>
          <w:p>
            <w:pPr>
              <w:spacing w:after="0"/>
              <w:rPr>
                <w:sz w:val="1"/>
                <w:szCs w:val="1"/>
                <w:color w:val="auto"/>
              </w:rPr>
            </w:pPr>
          </w:p>
        </w:tc>
      </w:tr>
      <w:tr>
        <w:trPr>
          <w:trHeight w:val="140"/>
        </w:trPr>
        <w:tc>
          <w:tcPr>
            <w:tcW w:w="2240" w:type="dxa"/>
            <w:vAlign w:val="bottom"/>
          </w:tcPr>
          <w:p>
            <w:pPr>
              <w:ind w:left="140"/>
              <w:spacing w:after="0"/>
              <w:rPr>
                <w:sz w:val="20"/>
                <w:szCs w:val="20"/>
                <w:color w:val="auto"/>
              </w:rPr>
            </w:pPr>
            <w:r>
              <w:rPr>
                <w:rFonts w:ascii="Arial" w:cs="Arial" w:eastAsia="Arial" w:hAnsi="Arial"/>
                <w:sz w:val="11"/>
                <w:szCs w:val="11"/>
                <w:color w:val="auto"/>
              </w:rPr>
              <w:t>Net income (loss)</w:t>
            </w:r>
          </w:p>
        </w:tc>
        <w:tc>
          <w:tcPr>
            <w:tcW w:w="3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(56,453)</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4,093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(52,360)</w:t>
            </w: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Other comprehensive income</w:t>
            </w:r>
          </w:p>
        </w:tc>
        <w:tc>
          <w:tcPr>
            <w:tcW w:w="3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128</w:t>
            </w:r>
          </w:p>
        </w:tc>
        <w:tc>
          <w:tcPr>
            <w:tcW w:w="1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134</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262</w:t>
            </w:r>
          </w:p>
        </w:tc>
        <w:tc>
          <w:tcPr>
            <w:tcW w:w="0" w:type="dxa"/>
            <w:vAlign w:val="bottom"/>
          </w:tcPr>
          <w:p>
            <w:pPr>
              <w:spacing w:after="0"/>
              <w:rPr>
                <w:sz w:val="1"/>
                <w:szCs w:val="1"/>
                <w:color w:val="auto"/>
              </w:rPr>
            </w:pPr>
          </w:p>
        </w:tc>
      </w:tr>
      <w:tr>
        <w:trPr>
          <w:trHeight w:val="140"/>
        </w:trPr>
        <w:tc>
          <w:tcPr>
            <w:tcW w:w="2240" w:type="dxa"/>
            <w:vAlign w:val="bottom"/>
          </w:tcPr>
          <w:p>
            <w:pPr>
              <w:ind w:left="140"/>
              <w:spacing w:after="0"/>
              <w:rPr>
                <w:sz w:val="20"/>
                <w:szCs w:val="20"/>
                <w:color w:val="auto"/>
              </w:rPr>
            </w:pPr>
            <w:r>
              <w:rPr>
                <w:rFonts w:ascii="Arial" w:cs="Arial" w:eastAsia="Arial" w:hAnsi="Arial"/>
                <w:sz w:val="11"/>
                <w:szCs w:val="11"/>
                <w:color w:val="auto"/>
              </w:rPr>
              <w:t>Contributed capital</w:t>
            </w:r>
          </w:p>
        </w:tc>
        <w:tc>
          <w:tcPr>
            <w:tcW w:w="3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15</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Equity-based compensation</w:t>
            </w:r>
          </w:p>
        </w:tc>
        <w:tc>
          <w:tcPr>
            <w:tcW w:w="34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483</w:t>
            </w:r>
          </w:p>
        </w:tc>
        <w:tc>
          <w:tcPr>
            <w:tcW w:w="1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483</w:t>
            </w:r>
          </w:p>
        </w:tc>
        <w:tc>
          <w:tcPr>
            <w:tcW w:w="0" w:type="dxa"/>
            <w:vAlign w:val="bottom"/>
          </w:tcPr>
          <w:p>
            <w:pPr>
              <w:spacing w:after="0"/>
              <w:rPr>
                <w:sz w:val="1"/>
                <w:szCs w:val="1"/>
                <w:color w:val="auto"/>
              </w:rPr>
            </w:pPr>
          </w:p>
        </w:tc>
      </w:tr>
      <w:tr>
        <w:trPr>
          <w:trHeight w:val="140"/>
        </w:trPr>
        <w:tc>
          <w:tcPr>
            <w:tcW w:w="2240" w:type="dxa"/>
            <w:vAlign w:val="bottom"/>
          </w:tcPr>
          <w:p>
            <w:pPr>
              <w:ind w:left="140"/>
              <w:spacing w:after="0"/>
              <w:rPr>
                <w:sz w:val="20"/>
                <w:szCs w:val="20"/>
                <w:color w:val="auto"/>
              </w:rPr>
            </w:pPr>
            <w:r>
              <w:rPr>
                <w:rFonts w:ascii="Arial" w:cs="Arial" w:eastAsia="Arial" w:hAnsi="Arial"/>
                <w:sz w:val="11"/>
                <w:szCs w:val="11"/>
                <w:color w:val="auto"/>
              </w:rPr>
              <w:t>Sale of non-controlling interests</w:t>
            </w:r>
          </w:p>
        </w:tc>
        <w:tc>
          <w:tcPr>
            <w:tcW w:w="34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80" w:type="dxa"/>
            <w:vAlign w:val="bottom"/>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3,308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3,308</w:t>
            </w: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Purchase of non-controlling interests</w:t>
            </w:r>
          </w:p>
        </w:tc>
        <w:tc>
          <w:tcPr>
            <w:tcW w:w="3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(3,308)</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(3,308)</w:t>
            </w:r>
          </w:p>
        </w:tc>
        <w:tc>
          <w:tcPr>
            <w:tcW w:w="0" w:type="dxa"/>
            <w:vAlign w:val="bottom"/>
          </w:tcPr>
          <w:p>
            <w:pPr>
              <w:spacing w:after="0"/>
              <w:rPr>
                <w:sz w:val="1"/>
                <w:szCs w:val="1"/>
                <w:color w:val="auto"/>
              </w:rPr>
            </w:pPr>
          </w:p>
        </w:tc>
      </w:tr>
      <w:tr>
        <w:trPr>
          <w:trHeight w:val="140"/>
        </w:trPr>
        <w:tc>
          <w:tcPr>
            <w:tcW w:w="2240" w:type="dxa"/>
            <w:vAlign w:val="bottom"/>
          </w:tcPr>
          <w:p>
            <w:pPr>
              <w:ind w:left="140"/>
              <w:spacing w:after="0"/>
              <w:rPr>
                <w:sz w:val="20"/>
                <w:szCs w:val="20"/>
                <w:color w:val="auto"/>
              </w:rPr>
            </w:pPr>
            <w:r>
              <w:rPr>
                <w:rFonts w:ascii="Arial" w:cs="Arial" w:eastAsia="Arial" w:hAnsi="Arial"/>
                <w:sz w:val="11"/>
                <w:szCs w:val="11"/>
                <w:color w:val="auto"/>
              </w:rPr>
              <w:t>Distributions</w:t>
            </w:r>
          </w:p>
        </w:tc>
        <w:tc>
          <w:tcPr>
            <w:tcW w:w="3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(25,189)</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(4,117)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(29,306)</w:t>
            </w:r>
          </w:p>
        </w:tc>
        <w:tc>
          <w:tcPr>
            <w:tcW w:w="0" w:type="dxa"/>
            <w:vAlign w:val="bottom"/>
          </w:tcPr>
          <w:p>
            <w:pPr>
              <w:spacing w:after="0"/>
              <w:rPr>
                <w:sz w:val="1"/>
                <w:szCs w:val="1"/>
                <w:color w:val="auto"/>
              </w:rPr>
            </w:pPr>
          </w:p>
        </w:tc>
      </w:tr>
      <w:tr>
        <w:trPr>
          <w:trHeight w:val="22"/>
        </w:trPr>
        <w:tc>
          <w:tcPr>
            <w:tcW w:w="2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Balance at June 30, 2020</w:t>
            </w:r>
          </w:p>
        </w:tc>
        <w:tc>
          <w:tcPr>
            <w:tcW w:w="34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134,907</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306</w:t>
            </w:r>
          </w:p>
        </w:tc>
        <w:tc>
          <w:tcPr>
            <w:tcW w:w="100" w:type="dxa"/>
            <w:vAlign w:val="bottom"/>
            <w:shd w:val="clear" w:color="auto" w:fill="CCEEFF"/>
          </w:tcPr>
          <w:p>
            <w:pPr>
              <w:spacing w:after="0"/>
              <w:rPr>
                <w:sz w:val="15"/>
                <w:szCs w:val="15"/>
                <w:color w:val="auto"/>
              </w:rPr>
            </w:pPr>
          </w:p>
        </w:tc>
        <w:tc>
          <w:tcPr>
            <w:tcW w:w="180" w:type="dxa"/>
            <w:vAlign w:val="bottom"/>
            <w:gridSpan w:val="3"/>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20,848</w:t>
            </w:r>
          </w:p>
        </w:tc>
        <w:tc>
          <w:tcPr>
            <w:tcW w:w="80" w:type="dxa"/>
            <w:vAlign w:val="bottom"/>
            <w:shd w:val="clear" w:color="auto" w:fill="CCEEFF"/>
          </w:tcPr>
          <w:p>
            <w:pPr>
              <w:spacing w:after="0"/>
              <w:rPr>
                <w:sz w:val="15"/>
                <w:szCs w:val="15"/>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156,061</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Cash Flows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4"/>
              </w:rPr>
              <w:t>Three Months Ended June 30,</w:t>
            </w:r>
          </w:p>
        </w:tc>
      </w:tr>
      <w:tr>
        <w:trPr>
          <w:trHeight w:val="223"/>
        </w:trPr>
        <w:tc>
          <w:tcPr>
            <w:tcW w:w="8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126,519</w:t>
            </w:r>
          </w:p>
        </w:tc>
        <w:tc>
          <w:tcPr>
            <w:tcW w:w="2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(52,360)</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1,374</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carried interest allocation and investment income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(180,412)</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136,333</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Unrealized performance fee-related compensation</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85,572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(68,675)</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deferred financing costs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Equity-based compensation</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3,742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483</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deferred income taxes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12,554</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Other non-cash activities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Fees and accounts receivable</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(9,908)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(9,324)</w:t>
            </w: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Due from affiliates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w:t>
            </w: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Other assets and receivables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3,822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2,215</w:t>
            </w: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accrued expenses and other liabilities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Accrued compensation and benefits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16,779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14,362</w:t>
            </w: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carried interest-related compensation</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11,348</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Due to affiliates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right-of-use assets, net and lease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75,123</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28,921</w:t>
            </w:r>
          </w:p>
        </w:tc>
      </w:tr>
      <w:tr>
        <w:trPr>
          <w:trHeight w:val="250"/>
        </w:trPr>
        <w:tc>
          <w:tcPr>
            <w:tcW w:w="8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Contributions to investments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(6,103)</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Distributions received from investments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investing activities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(5,660)</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Cash Flows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4"/>
              </w:rPr>
              <w:t>Three Months Ended June 30,</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Sale of non-controlling interests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3,308</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capital contributions from non-controlling interests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Payment of deferred offering costs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payments on term loan</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Distributions to non-controlling interests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(29,487)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(29,306)</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(30,547)</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(26,629)</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foreign currency exchange rate changes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Net increase in cash, cash equivalents and restricted cash</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38,728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183,863</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89,939</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222,591</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90,711</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operating, investing, and financing activities: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Purchase of non-controlling partnership interests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3,308</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dividends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220" w:type="dxa"/>
            <w:vAlign w:val="bottom"/>
          </w:tcPr>
          <w:p>
            <w:pPr>
              <w:ind w:left="360"/>
              <w:spacing w:after="0" w:line="176" w:lineRule="exact"/>
              <w:rPr>
                <w:sz w:val="20"/>
                <w:szCs w:val="20"/>
                <w:color w:val="auto"/>
              </w:rPr>
            </w:pPr>
            <w:r>
              <w:rPr>
                <w:rFonts w:ascii="Arial" w:cs="Arial" w:eastAsia="Arial" w:hAnsi="Arial"/>
                <w:sz w:val="18"/>
                <w:szCs w:val="18"/>
                <w:color w:val="auto"/>
                <w:w w:val="91"/>
              </w:rPr>
              <w:t>Deferred tax effect resulting from exchange of Class B units, net of amounts payable under Tax Receivable</w:t>
            </w:r>
          </w:p>
        </w:tc>
        <w:tc>
          <w:tcPr>
            <w:tcW w:w="2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3,401</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8220" w:type="dxa"/>
            <w:vAlign w:val="bottom"/>
            <w:vMerge w:val="restart"/>
          </w:tcPr>
          <w:p>
            <w:pPr>
              <w:ind w:left="680"/>
              <w:spacing w:after="0"/>
              <w:rPr>
                <w:sz w:val="20"/>
                <w:szCs w:val="20"/>
                <w:color w:val="auto"/>
              </w:rPr>
            </w:pPr>
            <w:r>
              <w:rPr>
                <w:rFonts w:ascii="Arial" w:cs="Arial" w:eastAsia="Arial" w:hAnsi="Arial"/>
                <w:sz w:val="18"/>
                <w:szCs w:val="18"/>
                <w:color w:val="auto"/>
              </w:rPr>
              <w:t>Agreements</w:t>
            </w:r>
          </w:p>
        </w:tc>
        <w:tc>
          <w:tcPr>
            <w:tcW w:w="22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82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Establishment of lease liabilities in exchange for lease right-of-use assets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76,893</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Reconciliation of cash, cash equivalents and restricted cash:</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218,580</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90,711</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4,011</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cash, cash equivalents and restricted cash</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222,591</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90,711</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8"/>
          <w:szCs w:val="18"/>
          <w:b w:val="1"/>
          <w:bCs w:val="1"/>
          <w:color w:val="auto"/>
        </w:rPr>
        <w:t>Organization</w:t>
      </w:r>
    </w:p>
    <w:p>
      <w:pPr>
        <w:spacing w:after="0" w:line="22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9"/>
          <w:szCs w:val="19"/>
          <w:color w:val="auto"/>
        </w:rPr>
        <w:t>StepStone Group Inc. (“SSG”) was incorporated in the state of Delaware on November 20, 2019. The company was formed for the purpose of completing an initial public offering (“IPO”) in order to conduct the business of StepStone Group LP (the “Partnership”) as a publicly-traded entity. As of September 18, 2020, in connection with the Reorganization discussed below, SSG became the sole managing member of StepStone Group Holdings LLC (the “General Partner”), the general partner of the Partnership. Unless otherwise specified, “StepStone” or the “Company” refers to SSG and its consolidated subsidiaries, including the Partnership, following the Reorganization and IPO, and to the Partnership and its consolidated subsidiaries prior to the Reorganization and IPO, throughout the remainder of these notes to the condensed consolidated financial statements.</w:t>
      </w:r>
    </w:p>
    <w:p>
      <w:pPr>
        <w:spacing w:after="0" w:line="185" w:lineRule="exact"/>
        <w:rPr>
          <w:sz w:val="20"/>
          <w:szCs w:val="20"/>
          <w:color w:val="auto"/>
        </w:rPr>
      </w:pPr>
    </w:p>
    <w:p>
      <w:pPr>
        <w:ind w:right="60" w:firstLine="648"/>
        <w:spacing w:after="0" w:line="242" w:lineRule="auto"/>
        <w:rPr>
          <w:sz w:val="20"/>
          <w:szCs w:val="20"/>
          <w:color w:val="auto"/>
        </w:rPr>
      </w:pPr>
      <w:r>
        <w:rPr>
          <w:rFonts w:ascii="Arial" w:cs="Arial" w:eastAsia="Arial" w:hAnsi="Arial"/>
          <w:sz w:val="20"/>
          <w:szCs w:val="20"/>
          <w:color w:val="auto"/>
        </w:rPr>
        <w:t>The Company is a global private markets investment firm focused on providing customized investment solutions and advisory and data services to its clients. The Company’s clients include some of the world’s largest public and private defined benefit and defined contribution pension funds, sovereign wealth funds and insurance companies, as well as prominent endowments, foundations, family offices and private wealth clients, including high-net-worth and mass affluent individuals. The Company partners with its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w:t>
      </w:r>
    </w:p>
    <w:p>
      <w:pPr>
        <w:spacing w:after="0" w:line="197" w:lineRule="exact"/>
        <w:rPr>
          <w:sz w:val="20"/>
          <w:szCs w:val="20"/>
          <w:color w:val="auto"/>
        </w:rPr>
      </w:pPr>
    </w:p>
    <w:p>
      <w:pPr>
        <w:ind w:right="700" w:firstLine="648"/>
        <w:spacing w:after="0" w:line="287" w:lineRule="auto"/>
        <w:rPr>
          <w:sz w:val="20"/>
          <w:szCs w:val="20"/>
          <w:color w:val="auto"/>
        </w:rPr>
      </w:pPr>
      <w:r>
        <w:rPr>
          <w:rFonts w:ascii="Arial" w:cs="Arial" w:eastAsia="Arial" w:hAnsi="Arial"/>
          <w:sz w:val="19"/>
          <w:szCs w:val="19"/>
          <w:color w:val="auto"/>
        </w:rPr>
        <w:t>The Company, through its subsidiaries, acts as the investment advisor and general partner or managing member to separately managed accounts (“SMAs”) and focused commingled funds (collectively, the “StepStone Funds”).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Reorganization</w:t>
      </w:r>
    </w:p>
    <w:p>
      <w:pPr>
        <w:spacing w:after="0" w:line="222"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In connection with the IPO, the Company completed certain transactions as part of a corporate reorganization (the “Reorganization”), which are described below:</w:t>
      </w:r>
    </w:p>
    <w:p>
      <w:pPr>
        <w:spacing w:after="0" w:line="177" w:lineRule="exact"/>
        <w:rPr>
          <w:sz w:val="20"/>
          <w:szCs w:val="20"/>
          <w:color w:val="auto"/>
        </w:rPr>
      </w:pPr>
    </w:p>
    <w:p>
      <w:pPr>
        <w:ind w:left="980" w:right="60" w:hanging="324"/>
        <w:spacing w:after="0" w:line="247" w:lineRule="auto"/>
        <w:tabs>
          <w:tab w:leader="none" w:pos="968" w:val="left"/>
        </w:tabs>
        <w:numPr>
          <w:ilvl w:val="0"/>
          <w:numId w:val="5"/>
        </w:numPr>
        <w:rPr>
          <w:rFonts w:ascii="Arial" w:cs="Arial" w:eastAsia="Arial" w:hAnsi="Arial"/>
          <w:sz w:val="20"/>
          <w:szCs w:val="20"/>
          <w:color w:val="auto"/>
        </w:rPr>
      </w:pPr>
      <w:r>
        <w:rPr>
          <w:rFonts w:ascii="Arial" w:cs="Arial" w:eastAsia="Arial" w:hAnsi="Arial"/>
          <w:sz w:val="20"/>
          <w:szCs w:val="20"/>
          <w:color w:val="auto"/>
        </w:rPr>
        <w:t>SSG amended and restated its certificate of incorporation to, among other things, provide for Class A common stock and Class B common stock.</w:t>
      </w:r>
    </w:p>
    <w:p>
      <w:pPr>
        <w:spacing w:after="0" w:line="1" w:lineRule="exact"/>
        <w:rPr>
          <w:rFonts w:ascii="Arial" w:cs="Arial" w:eastAsia="Arial" w:hAnsi="Arial"/>
          <w:sz w:val="20"/>
          <w:szCs w:val="20"/>
          <w:color w:val="auto"/>
        </w:rPr>
      </w:pPr>
    </w:p>
    <w:p>
      <w:pPr>
        <w:ind w:left="960" w:hanging="30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Partnership amended its limited partnership agreement to, among other things, provide for Class A units and Class B units.</w:t>
      </w:r>
    </w:p>
    <w:p>
      <w:pPr>
        <w:spacing w:after="0" w:line="22" w:lineRule="exact"/>
        <w:rPr>
          <w:rFonts w:ascii="Arial" w:cs="Arial" w:eastAsia="Arial" w:hAnsi="Arial"/>
          <w:sz w:val="18"/>
          <w:szCs w:val="18"/>
          <w:color w:val="auto"/>
        </w:rPr>
      </w:pPr>
    </w:p>
    <w:p>
      <w:pPr>
        <w:ind w:left="980" w:right="300" w:hanging="324"/>
        <w:spacing w:after="0" w:line="239" w:lineRule="auto"/>
        <w:tabs>
          <w:tab w:leader="none" w:pos="968"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General Partner amended and restated its limited liability company agreement to, among other things, appoint SSG as the sole managing member of the General Partner.</w:t>
      </w:r>
    </w:p>
    <w:p>
      <w:pPr>
        <w:ind w:left="960" w:hanging="304"/>
        <w:spacing w:after="0"/>
        <w:tabs>
          <w:tab w:leader="none" w:pos="960" w:val="left"/>
        </w:tabs>
        <w:numPr>
          <w:ilvl w:val="0"/>
          <w:numId w:val="5"/>
        </w:numPr>
        <w:rPr>
          <w:rFonts w:ascii="Arial" w:cs="Arial" w:eastAsia="Arial" w:hAnsi="Arial"/>
          <w:sz w:val="20"/>
          <w:szCs w:val="20"/>
          <w:color w:val="auto"/>
        </w:rPr>
      </w:pPr>
      <w:r>
        <w:rPr>
          <w:rFonts w:ascii="Arial" w:cs="Arial" w:eastAsia="Arial" w:hAnsi="Arial"/>
          <w:sz w:val="20"/>
          <w:szCs w:val="20"/>
          <w:color w:val="auto"/>
        </w:rPr>
        <w:t>SSG redeemed its 100 shares of common stock outstanding.</w:t>
      </w:r>
    </w:p>
    <w:p>
      <w:pPr>
        <w:ind w:left="980" w:hanging="324"/>
        <w:spacing w:after="0" w:line="266" w:lineRule="auto"/>
        <w:tabs>
          <w:tab w:leader="none" w:pos="96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Partnership effectuated a series of transactions such that certain blocker entities in which certain pre-IPO institutional investors that held partnership units in the Partnership merged with and into SSG, with SSG surviving. As a result of the mergers, the 100% owners of the blocker entities acquired 9,112,500 shares of newly issued Class A common stock of SSG.</w:t>
      </w:r>
    </w:p>
    <w:p>
      <w:pPr>
        <w:ind w:left="980" w:right="260" w:hanging="324"/>
        <w:spacing w:after="0" w:line="239" w:lineRule="auto"/>
        <w:tabs>
          <w:tab w:leader="none" w:pos="968"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Partnership classified the partnership units acquired by SSG as Class A units and reclassified the partnership units held by the continuing limited partners of the Partnership as Class B units.</w:t>
      </w:r>
    </w:p>
    <w:p>
      <w:pPr>
        <w:ind w:left="980" w:right="300" w:hanging="324"/>
        <w:spacing w:after="0" w:line="239" w:lineRule="auto"/>
        <w:tabs>
          <w:tab w:leader="none" w:pos="968" w:val="left"/>
        </w:tabs>
        <w:numPr>
          <w:ilvl w:val="0"/>
          <w:numId w:val="5"/>
        </w:numPr>
        <w:rPr>
          <w:rFonts w:ascii="Arial" w:cs="Arial" w:eastAsia="Arial" w:hAnsi="Arial"/>
          <w:sz w:val="20"/>
          <w:szCs w:val="20"/>
          <w:color w:val="auto"/>
        </w:rPr>
      </w:pPr>
      <w:r>
        <w:rPr>
          <w:rFonts w:ascii="Arial" w:cs="Arial" w:eastAsia="Arial" w:hAnsi="Arial"/>
          <w:sz w:val="20"/>
          <w:szCs w:val="20"/>
          <w:color w:val="auto"/>
        </w:rPr>
        <w:t>SSG issued to the remaining Class B unitholders one share of Class B common stock for each Class B unit that they owned in exchange for their interests in the General Partner.</w:t>
      </w:r>
    </w:p>
    <w:p>
      <w:pPr>
        <w:ind w:left="980" w:right="40" w:hanging="324"/>
        <w:spacing w:after="0" w:line="260" w:lineRule="auto"/>
        <w:tabs>
          <w:tab w:leader="none" w:pos="968" w:val="left"/>
        </w:tabs>
        <w:numPr>
          <w:ilvl w:val="0"/>
          <w:numId w:val="5"/>
        </w:numPr>
        <w:rPr>
          <w:rFonts w:ascii="Arial" w:cs="Arial" w:eastAsia="Arial" w:hAnsi="Arial"/>
          <w:sz w:val="19"/>
          <w:szCs w:val="19"/>
          <w:color w:val="auto"/>
        </w:rPr>
      </w:pPr>
      <w:r>
        <w:rPr>
          <w:rFonts w:ascii="Arial" w:cs="Arial" w:eastAsia="Arial" w:hAnsi="Arial"/>
          <w:sz w:val="19"/>
          <w:szCs w:val="19"/>
          <w:color w:val="auto"/>
        </w:rPr>
        <w:t>Certain of the Class B stockholders entered into a stockholders agreement pursuant to which they agreed to vote all their shares of voting stock, including Class A common stock and Class B common stock, together and in accordance with the instructions of the Class B Committee, which comprises certain members of senior management.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Initial Public Offering</w:t>
      </w:r>
    </w:p>
    <w:p>
      <w:pPr>
        <w:spacing w:after="0" w:line="222" w:lineRule="exact"/>
        <w:rPr>
          <w:sz w:val="20"/>
          <w:szCs w:val="20"/>
          <w:color w:val="auto"/>
        </w:rPr>
      </w:pPr>
    </w:p>
    <w:p>
      <w:pPr>
        <w:ind w:right="180" w:firstLine="648"/>
        <w:spacing w:after="0" w:line="260" w:lineRule="auto"/>
        <w:rPr>
          <w:sz w:val="20"/>
          <w:szCs w:val="20"/>
          <w:color w:val="auto"/>
        </w:rPr>
      </w:pPr>
      <w:r>
        <w:rPr>
          <w:rFonts w:ascii="Arial" w:cs="Arial" w:eastAsia="Arial" w:hAnsi="Arial"/>
          <w:sz w:val="19"/>
          <w:szCs w:val="19"/>
          <w:color w:val="auto"/>
        </w:rPr>
        <w:t>On September 18, 2020, SSG issued 20,125,000 shares of Class A common stock in the IPO at a price of $18.00 per share. The net proceeds from the offering totaled $337.8 million, net of underwriting discounts of $24.5 million and before offering costs of $9.7 million that were incurred by the Partnership. SSG used approximately $209.8 million of the net proceeds from the offering to acquire 12,500,000 newly issued Class A units of the Partnership and approximately $128.0 million to purchase 7,625,000 Class B units from certain of the Partnership’s existing unitholders, including certain members of senior management.</w:t>
      </w:r>
    </w:p>
    <w:p>
      <w:pPr>
        <w:spacing w:after="0" w:line="180" w:lineRule="exact"/>
        <w:rPr>
          <w:sz w:val="20"/>
          <w:szCs w:val="20"/>
          <w:color w:val="auto"/>
        </w:rPr>
      </w:pPr>
    </w:p>
    <w:p>
      <w:pPr>
        <w:ind w:firstLine="648"/>
        <w:spacing w:after="0" w:line="255" w:lineRule="auto"/>
        <w:rPr>
          <w:sz w:val="20"/>
          <w:szCs w:val="20"/>
          <w:color w:val="auto"/>
        </w:rPr>
      </w:pPr>
      <w:r>
        <w:rPr>
          <w:rFonts w:ascii="Arial" w:cs="Arial" w:eastAsia="Arial" w:hAnsi="Arial"/>
          <w:sz w:val="19"/>
          <w:szCs w:val="19"/>
          <w:color w:val="auto"/>
        </w:rPr>
        <w:t>Following the Reorganization and IPO, SSG became a holding company whose principal asset is a controlling financial interest in the Partnership through its ownership of all of the Partnership’s Class A units and 100% of the membership interests in the General Partner of the Partnership. While this interest represents a minority of economic interests in the Partnership, SSG acts as the sole managing member of the General Partner of the Partnership and, as a result, indirectly operates and controls all of the Partnership’s business and affairs. As a result, SSG consolidates the financial results of the Partnership and reports non-controlling interests related to the Class B units of the Partnership which are not owned by SSG. The assets and liabilities of the Partnership represent substantially all of SSG’s consolidated assets and liabilities, with the exception of certain deferred income taxes and payables due to affiliates pursuant to tax receivable agreements (see note 9). Each share of Class A common stock is entitled to one vote and each share of Class B common stock is entitled to five votes. As of June 30, 2021, SSG held approximately 42.5% of the economic interest in the Partnership. As the Partnership’s limited partners exchange their Class B units into SSG’s Class A common stock in the future, SSG’s economic interest in the Partnership will increase relative to that of the Class B unit holders.</w:t>
      </w:r>
    </w:p>
    <w:p>
      <w:pPr>
        <w:spacing w:after="0" w:line="187" w:lineRule="exact"/>
        <w:rPr>
          <w:sz w:val="20"/>
          <w:szCs w:val="20"/>
          <w:color w:val="auto"/>
        </w:rPr>
      </w:pPr>
    </w:p>
    <w:p>
      <w:pPr>
        <w:ind w:right="20" w:firstLine="648"/>
        <w:spacing w:after="0" w:line="250" w:lineRule="auto"/>
        <w:rPr>
          <w:sz w:val="20"/>
          <w:szCs w:val="20"/>
          <w:color w:val="auto"/>
        </w:rPr>
      </w:pPr>
      <w:r>
        <w:rPr>
          <w:rFonts w:ascii="Arial" w:cs="Arial" w:eastAsia="Arial" w:hAnsi="Arial"/>
          <w:sz w:val="20"/>
          <w:szCs w:val="20"/>
          <w:color w:val="auto"/>
        </w:rPr>
        <w:t>The Reorganization was considered a transaction between entities under common control. As a result, the condensed consolidated financial statements for periods prior to the Reorganization and IPO are the condensed consolidated financial statements of the Partnership as the predecessor to SSG for accounting and reporting purposes.</w:t>
      </w:r>
    </w:p>
    <w:p>
      <w:pPr>
        <w:spacing w:after="0" w:line="180" w:lineRule="exact"/>
        <w:rPr>
          <w:sz w:val="20"/>
          <w:szCs w:val="20"/>
          <w:color w:val="auto"/>
        </w:rPr>
      </w:pPr>
    </w:p>
    <w:p>
      <w:pPr>
        <w:ind w:left="660" w:right="7160" w:hanging="652"/>
        <w:spacing w:after="0" w:line="468" w:lineRule="auto"/>
        <w:tabs>
          <w:tab w:leader="none" w:pos="358"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 Basis of Presentation</w:t>
      </w:r>
    </w:p>
    <w:p>
      <w:pPr>
        <w:ind w:right="40" w:firstLine="648"/>
        <w:spacing w:after="0" w:line="309" w:lineRule="auto"/>
        <w:rPr>
          <w:sz w:val="20"/>
          <w:szCs w:val="20"/>
          <w:color w:val="auto"/>
        </w:rPr>
      </w:pPr>
      <w:r>
        <w:rPr>
          <w:rFonts w:ascii="Arial" w:cs="Arial" w:eastAsia="Arial" w:hAnsi="Arial"/>
          <w:sz w:val="16"/>
          <w:szCs w:val="16"/>
          <w:color w:val="auto"/>
        </w:rPr>
        <w:t>The accompanying unaudited condensed consolidated financial statements are prepared in accordance with accounting principles generally accepted in the United States (“GAAP”) for interim financial information. Management believes it has made all necessary adjustments (consisting of only normal recurring items) such that the condensed consolidated financial statements are presented fairly and that estimates made in preparing the condensed consolidated financial statements are reasonable and prudent. The operating results presented for interim periods are not necessarily indicative of the results that may be expected for any other interim period or for the entire year. The condensed consolidated financial statements include the accounts of the Company, its wholly-owned or majority-owned subsidiaries and entities in which the Company is deemed to have a direct or indirect controlling financial interest based on either a variable interest model or voting interest model. All intercompany balances and transactions have been eliminated in consolidation. These unaudited condensed consolidated financial statements should be read in conjunction with the Company’s audited consolidated financial statements included in its Annual Report on Form 10-K for the fiscal year ended March 31, 2021 filed with the Securities and Exchange Commission (“SEC”).</w:t>
      </w:r>
    </w:p>
    <w:p>
      <w:pPr>
        <w:spacing w:after="0" w:line="379" w:lineRule="exact"/>
        <w:rPr>
          <w:sz w:val="20"/>
          <w:szCs w:val="20"/>
          <w:color w:val="auto"/>
        </w:rPr>
      </w:pPr>
    </w:p>
    <w:p>
      <w:pPr>
        <w:ind w:right="120" w:firstLine="648"/>
        <w:spacing w:after="0" w:line="250" w:lineRule="auto"/>
        <w:rPr>
          <w:sz w:val="20"/>
          <w:szCs w:val="20"/>
          <w:color w:val="auto"/>
        </w:rPr>
      </w:pPr>
      <w:r>
        <w:rPr>
          <w:rFonts w:ascii="Arial" w:cs="Arial" w:eastAsia="Arial" w:hAnsi="Arial"/>
          <w:sz w:val="20"/>
          <w:szCs w:val="20"/>
          <w:color w:val="auto"/>
        </w:rPr>
        <w:t>Certain of the StepStone Funds are investment companies that follow specialized accounting under GAAP and reflect their investments at estimated fair value. Accordingly, the carrying value of the Company’s equity method investments in such entities retains the specialized accounting.</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Reclassifications</w:t>
      </w:r>
    </w:p>
    <w:p>
      <w:pPr>
        <w:spacing w:after="0" w:line="20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Certain prior year amounts have been reclassified to conform to the current period presentation. Amounts relating to foreign currency transaction gains and losses that were previously reported within general, administrative and other expenses have been presented within other income (loss) in the condensed consolidated statements of income.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Consolidation</w:t>
      </w:r>
    </w:p>
    <w:p>
      <w:pPr>
        <w:spacing w:after="0" w:line="208" w:lineRule="exact"/>
        <w:rPr>
          <w:sz w:val="20"/>
          <w:szCs w:val="20"/>
          <w:color w:val="auto"/>
        </w:rPr>
      </w:pPr>
    </w:p>
    <w:p>
      <w:pPr>
        <w:ind w:right="20" w:firstLine="648"/>
        <w:spacing w:after="0" w:line="271" w:lineRule="auto"/>
        <w:rPr>
          <w:sz w:val="20"/>
          <w:szCs w:val="20"/>
          <w:color w:val="auto"/>
        </w:rPr>
      </w:pPr>
      <w:r>
        <w:rPr>
          <w:rFonts w:ascii="Arial" w:cs="Arial" w:eastAsia="Arial" w:hAnsi="Arial"/>
          <w:sz w:val="18"/>
          <w:szCs w:val="18"/>
          <w:color w:val="auto"/>
        </w:rPr>
        <w:t>The Company consolidates all entities that it controls through a majority voting interest or as the primary beneficiary of a variable interest entity (“VIE”). Under the VIE model, management first assesses whether the Company has a variable interest in an entity. In evaluating whether the Company holds a variable interest, fees received as a decision maker or in exchange for services (including management fees, incentive fees and carried interest allocations) that are customary and commensurate with the level of services provided, and where the Company does not hold other economic interests in the entity that would absorb more than an insignificant amount of the expected losses or returns of the entity, are not considered variable interests. If the Company has a variable interest in an entity, management further assesses whether that entity is a VIE, and if so, whether the Company is the primary beneficiary under the VIE model. Entities that do not qualify as VIEs are assessed for consolidation under the voting interest model. The consolidation analysis can generally be performed qualitatively; however, in certain situations a quantitative analysis may also be performed. Investments and redemptions (either by the Company, affiliates of the Company or third parties) or amendments to the governing documents of the respective StepStone Funds that are VIEs could affect the entity’s status as a VIE or the determination of the primary beneficiary.</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8"/>
          <w:szCs w:val="18"/>
          <w:color w:val="auto"/>
        </w:rPr>
        <w:t>Under the VIE model, an entity is deemed to be the primary beneficiary of a VIE if it holds a controlling financial interest. A controlling financial interest is defined as (a) the power to direct the activities of a VIE that most significantly affect the entity’s economic performance and (b) the obligation to absorb losses of the entity or the right to receive benefits from the entity that could potentially be significant to the VIE. Management determines whether the Company is the primary beneficiary of a VIE at the time it becomes involved with a VIE and reconsiders that conclusion at each reporting date. When assessing whether the Company is the primary beneficiary of a VIE, management evaluates whether the Company’s involvement, through holding interests directly or indirectly in an entity or contractually through other variable interests, would give the Company a controlling financial interest. This analysis includes an evaluation of the Company’s control rights, as well as the economic interests that the Company holds in the VIE, including indirectly through related parties.</w:t>
      </w:r>
    </w:p>
    <w:p>
      <w:pPr>
        <w:spacing w:after="0" w:line="168"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color w:val="auto"/>
        </w:rPr>
        <w:t>The Company provides investment advisory services to the StepStone Funds, which have third-party clients. These funds are investment companies and are typically organized as limited partnerships or limited liability companies for which the Company, through its operating subsidiaries, acts as the general partner or managing member. A limited partnership or similar entity is a VIE if the unaffiliated limited partners or members do not have substantive rights to terminate or remove the general partner or substantive rights to participate. Certain StepStone Funds are VIEs because they have not granted unaffiliated limited partners or members substantive rights to terminate or remove the general partner or substantive rights to participate. The Company does not consolidate these StepStone Funds because it is not the primary beneficiary of those funds, primarily because its fee arrangements are considered customary and commensurate and thus not deemed to be variable interests, and it does not hold any other interests in those funds that are considered more than insignificant.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firstLine="648"/>
        <w:spacing w:after="0" w:line="243" w:lineRule="auto"/>
        <w:rPr>
          <w:sz w:val="20"/>
          <w:szCs w:val="20"/>
          <w:color w:val="auto"/>
        </w:rPr>
      </w:pPr>
      <w:r>
        <w:rPr>
          <w:rFonts w:ascii="Arial" w:cs="Arial" w:eastAsia="Arial" w:hAnsi="Arial"/>
          <w:sz w:val="20"/>
          <w:szCs w:val="20"/>
          <w:color w:val="auto"/>
        </w:rPr>
        <w:t>The Company has determined that certain of its operating subsidiaries, StepStone Group Real Assets LP (“SRA”), StepStone Group Real Estate LP (“SRE”) and Swiss Capital Alternative Investments AG (“Swiss Capital”), are VIEs, and that the Company is the primary beneficiary of each entity because it has a controlling financial interest in each entity; accordingly, the Company consolidates these entities. The assets and liabilities of the consolidated VIEs are presented gross in the condensed consolidated balance sheets. The assets of the consolidated VIEs may only be used to settle obligations of the consolidated VIEs. See note 4 for more information on both consolidated and unconsolidated VIEs.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Non-Controlling Interests</w:t>
      </w:r>
    </w:p>
    <w:p>
      <w:pPr>
        <w:spacing w:after="0" w:line="222"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Non-controlling interests (“NCI”) reflect the portion of income or loss and the corresponding equity attributable to third-party equity holders and employees in certain consolidated subsidiaries that are not 100% owned by the Company. Non-controlling interests are presented as separate components of stockholders’ equity on the Company’s condensed consolidated balance sheets to clearly distinguish between the Company’s interests and the economic interests of third parties and employees in those entities. Net income (loss) attributable to SSG, as reported in the condensed consolidated statements of income, is presented net of the portion of net income (loss) attributable to holders of non-controlling interests. See note 12 for more information on ownership interests in the Company.</w:t>
      </w:r>
    </w:p>
    <w:p>
      <w:pPr>
        <w:spacing w:after="0" w:line="165"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i w:val="1"/>
          <w:iCs w:val="1"/>
          <w:color w:val="auto"/>
        </w:rPr>
        <w:t xml:space="preserve">Non-controlling interests in subsidiaries </w:t>
      </w:r>
      <w:r>
        <w:rPr>
          <w:rFonts w:ascii="Arial" w:cs="Arial" w:eastAsia="Arial" w:hAnsi="Arial"/>
          <w:sz w:val="18"/>
          <w:szCs w:val="18"/>
          <w:color w:val="auto"/>
        </w:rPr>
        <w:t>represent the economic interests in SRA, SRE, and Swiss Capital (the variable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included in the Company’s condensed consolidated financial statements) held by third parties and employees in those entities.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61" w:lineRule="exact"/>
        <w:rPr>
          <w:sz w:val="20"/>
          <w:szCs w:val="20"/>
          <w:color w:val="auto"/>
        </w:rPr>
      </w:pPr>
    </w:p>
    <w:p>
      <w:pPr>
        <w:ind w:right="20" w:firstLine="648"/>
        <w:spacing w:after="0" w:line="244" w:lineRule="auto"/>
        <w:rPr>
          <w:sz w:val="20"/>
          <w:szCs w:val="20"/>
          <w:color w:val="auto"/>
        </w:rPr>
      </w:pPr>
      <w:r>
        <w:rPr>
          <w:rFonts w:ascii="Arial" w:cs="Arial" w:eastAsia="Arial" w:hAnsi="Arial"/>
          <w:sz w:val="20"/>
          <w:szCs w:val="20"/>
          <w:i w:val="1"/>
          <w:iCs w:val="1"/>
          <w:color w:val="auto"/>
        </w:rPr>
        <w:t xml:space="preserve">Non-controlling interests in the Partnership </w:t>
      </w:r>
      <w:r>
        <w:rPr>
          <w:rFonts w:ascii="Arial" w:cs="Arial" w:eastAsia="Arial" w:hAnsi="Arial"/>
          <w:sz w:val="20"/>
          <w:szCs w:val="20"/>
          <w:color w:val="auto"/>
        </w:rPr>
        <w:t>represent the economic interests related to the Class B units of the Partnership which are</w:t>
      </w:r>
      <w:r>
        <w:rPr>
          <w:rFonts w:ascii="Arial" w:cs="Arial" w:eastAsia="Arial" w:hAnsi="Arial"/>
          <w:sz w:val="20"/>
          <w:szCs w:val="20"/>
          <w:i w:val="1"/>
          <w:iCs w:val="1"/>
          <w:color w:val="auto"/>
        </w:rPr>
        <w:t xml:space="preserve"> </w:t>
      </w:r>
      <w:r>
        <w:rPr>
          <w:rFonts w:ascii="Arial" w:cs="Arial" w:eastAsia="Arial" w:hAnsi="Arial"/>
          <w:sz w:val="20"/>
          <w:szCs w:val="20"/>
          <w:color w:val="auto"/>
        </w:rPr>
        <w:t>not owned by SSG. Non-controlling interests in the Partnership are allocated a share of income or loss in the Partnership in proportion to their relative ownership interests, after consideration of contractual arrangements that govern allocations of income or loss. Prior to the Reorganization and IPO, all of the Company’s net income related to the Partnership and therefore has been presented as non-controlling interests in the Partnership.</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Accounting for Differing Fiscal Periods</w:t>
      </w:r>
    </w:p>
    <w:p>
      <w:pPr>
        <w:spacing w:after="0" w:line="222" w:lineRule="exact"/>
        <w:rPr>
          <w:sz w:val="20"/>
          <w:szCs w:val="20"/>
          <w:color w:val="auto"/>
        </w:rPr>
      </w:pPr>
    </w:p>
    <w:p>
      <w:pPr>
        <w:ind w:right="40" w:firstLine="648"/>
        <w:spacing w:after="0" w:line="255" w:lineRule="auto"/>
        <w:rPr>
          <w:sz w:val="20"/>
          <w:szCs w:val="20"/>
          <w:color w:val="auto"/>
        </w:rPr>
      </w:pPr>
      <w:r>
        <w:rPr>
          <w:rFonts w:ascii="Arial" w:cs="Arial" w:eastAsia="Arial" w:hAnsi="Arial"/>
          <w:sz w:val="19"/>
          <w:szCs w:val="19"/>
          <w:color w:val="auto"/>
        </w:rPr>
        <w:t>The StepStone Funds primarily have a fiscal year end as of December 31. The Company accounts for its investments in the StepStone Funds on a three-month lag due to the timing of receipt of financial information from the investments held by the StepStone Funds. The StepStone Funds primarily invest in private markets funds that generally require at least 90 days following the calendar year end to provide audited financial statements. As a result, the Company uses the December 31 audited financial statements of the StepStone Funds, which reflect the underlying private markets funds as of December 31, to record its investments (including any carried interest allocated by those investments) for its fiscal year-end consolidated financial statements as of March 31. The Company further adjusts the reported carrying values of its investments in the StepStone Funds for its share of capital contributions to and distributions from the StepStone Funds during the three-month lag period. For this interim period ending June 30, 2021, the Company used the March 31, 2021 unaudited financial statements of the StepStone Funds, which reflect the underlying private market funds as of March 31, 2021, to record its investments (including any carried interest allocated by those investments), as adjusted for capital contributions and distributions during the three-month lag period ended June 30, 2021.</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does not account for management and advisory fees or incentive fees on a three-month lag.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4" w:right="379" w:bottom="1440" w:gutter="0" w:footer="0" w:header="0"/>
        </w:sectPr>
      </w:pPr>
    </w:p>
    <w:bookmarkStart w:id="15" w:name="page16"/>
    <w:bookmarkEnd w:id="15"/>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right="400" w:firstLine="648"/>
        <w:spacing w:after="0" w:line="287" w:lineRule="auto"/>
        <w:rPr>
          <w:sz w:val="20"/>
          <w:szCs w:val="20"/>
          <w:color w:val="auto"/>
        </w:rPr>
      </w:pPr>
      <w:r>
        <w:rPr>
          <w:rFonts w:ascii="Arial" w:cs="Arial" w:eastAsia="Arial" w:hAnsi="Arial"/>
          <w:sz w:val="19"/>
          <w:szCs w:val="19"/>
          <w:color w:val="auto"/>
        </w:rPr>
        <w:t>To the extent that management becomes aware of any material events that affect the StepStone Funds during the three-month lag period, the effect of the events would be disclosed in the notes to the condensed consolidated financial statements.</w:t>
      </w:r>
    </w:p>
    <w:p>
      <w:pPr>
        <w:spacing w:after="0" w:line="152"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In March 2020, the World Health Organization declared the outbreak of the novel coronavirus (“COVID-19”) a global pandemic. The spread of COVID-19 throughout the world has led many countries to institute a variety of measures in an effort to contain viral spread, which has led to significant disruption and uncertainty in the global financial markets. While some of the initial restrictions have been relaxed or lifted in an effort to generate more economic activity following progress on vaccine distribution, the risk of future COVID-19 outbreaks or worsening conditions remains, particularly with the introduction of the Delta variant, and restrictions have been and may continue to be reimposed to mitigate risks to public health in jurisdictions where additional outbreaks have been detected. Moreover, even where restrictions are and remain lifted, and as vaccination treatment options have become available and more accessible, certain groups of people may continue to self-isolate and not participate in the economy at pre-pandemic levels for a prolonged period of time, potentially further delaying global economic recovery. The Company is closely monitoring developments related to COVID-19 and assessing any negative impacts to the Company. The COVID-19 pandemic has affected, and may further affect, the Company in various ways. In particular, it is possible that future results may be adversely affected by slowdowns in fundraising activity and the pace of capital deployment, which could result in delayed or decreased management fees. Further, if fund managers are unable or less able to profitably exit existing investments, such conditions could result in delayed or decreased performance fee revenues. During the three months ended June 30, 2020, the Company’s investments in StepStone Funds and accrued carried interest allocations experienced significant declines, primarily reflecting the unrealized depreciation in the fair value of certain underlying fund investments driven by the impact of COVID-19, and has subsequently seen significant increases, primarily reflecting the unrealized appreciation in the fair value of certain underlying fund investments driven by the general recovery in the financial markets.</w:t>
      </w:r>
    </w:p>
    <w:p>
      <w:pPr>
        <w:spacing w:after="0" w:line="174" w:lineRule="exact"/>
        <w:rPr>
          <w:sz w:val="20"/>
          <w:szCs w:val="20"/>
          <w:color w:val="auto"/>
        </w:rPr>
      </w:pPr>
    </w:p>
    <w:p>
      <w:pPr>
        <w:ind w:right="140" w:firstLine="648"/>
        <w:spacing w:after="0" w:line="250" w:lineRule="auto"/>
        <w:rPr>
          <w:sz w:val="20"/>
          <w:szCs w:val="20"/>
          <w:color w:val="auto"/>
        </w:rPr>
      </w:pPr>
      <w:r>
        <w:rPr>
          <w:rFonts w:ascii="Arial" w:cs="Arial" w:eastAsia="Arial" w:hAnsi="Arial"/>
          <w:sz w:val="20"/>
          <w:szCs w:val="20"/>
          <w:color w:val="auto"/>
        </w:rPr>
        <w:t>As the global response and ongoing nature of COVID-19 evolves, it is currently not possible to predict the potential scale and scope of the outbreak and its ultimate effects on the financial markets, overall economy and the Company’s condensed consolidated financial statements.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Fair Value Measurements</w:t>
      </w:r>
    </w:p>
    <w:p>
      <w:pPr>
        <w:spacing w:after="0" w:line="222"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auto"/>
        </w:rPr>
        <w:t>GAAP establishes a hierarchical disclosure framework, which prioritizes and ranks the level of market price observability used in measuring financial instruments at fair value. Market price observability is affected by a number of factors, including the type of financial instrument, the characteristics specific to the financial instrument and the state of the marketplace – including the existence and transparency of transactions between market participants. Financial instruments with readily available quoted prices in active markets generally will have a higher degree of market price observability and therefore a lesser degree of judgment is used in measuring their fair value.</w:t>
      </w:r>
    </w:p>
    <w:p>
      <w:pPr>
        <w:spacing w:after="0" w:line="165"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Financial instruments measured and reported at fair value are classified and disclosed based on the observability of inputs used in the determination of their fair values, as follows:</w:t>
      </w:r>
    </w:p>
    <w:p>
      <w:pPr>
        <w:spacing w:after="0" w:line="177"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I – Pricing inputs are unadjusted, quoted prices in active markets for identical assets or liabilities as of the measurement date.</w:t>
      </w:r>
    </w:p>
    <w:p>
      <w:pPr>
        <w:spacing w:after="0" w:line="238" w:lineRule="exact"/>
        <w:rPr>
          <w:rFonts w:ascii="Arial" w:cs="Arial" w:eastAsia="Arial" w:hAnsi="Arial"/>
          <w:sz w:val="18"/>
          <w:szCs w:val="18"/>
          <w:color w:val="auto"/>
        </w:rPr>
      </w:pPr>
    </w:p>
    <w:p>
      <w:pPr>
        <w:ind w:left="660" w:right="120" w:hanging="328"/>
        <w:spacing w:after="0" w:line="246"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Level II – Pricing inputs are other than quoted prices in active markets, which are either directly or indirectly observable as of the measurement date, and fair value is determined through the use of models or other valuation methodologies. The types of financial instruments classified in this category include less liquid securities traded in active markets and securities traded in other than active markets.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left="660" w:right="340" w:hanging="328"/>
        <w:spacing w:after="0" w:line="250"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Level III – Pricing inputs are unobservable for the financial instruments and include situations where there is little, if any, market activity for the financial instrument. The inputs into the determination of fair value require significant management judgment or estimation.</w:t>
      </w:r>
    </w:p>
    <w:p>
      <w:pPr>
        <w:spacing w:after="0" w:line="186"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The Company’s assessment of the significance of a particular input to the fair value measurement in its entirety requires judgment and consideration of factors specific to the financial instrument.</w:t>
      </w:r>
    </w:p>
    <w:p>
      <w:pPr>
        <w:spacing w:after="0" w:line="161" w:lineRule="exact"/>
        <w:rPr>
          <w:sz w:val="20"/>
          <w:szCs w:val="20"/>
          <w:color w:val="auto"/>
        </w:rPr>
      </w:pPr>
    </w:p>
    <w:p>
      <w:pPr>
        <w:ind w:right="20" w:firstLine="648"/>
        <w:spacing w:after="0" w:line="276" w:lineRule="auto"/>
        <w:rPr>
          <w:sz w:val="20"/>
          <w:szCs w:val="20"/>
          <w:color w:val="auto"/>
        </w:rPr>
      </w:pPr>
      <w:r>
        <w:rPr>
          <w:rFonts w:ascii="Arial" w:cs="Arial" w:eastAsia="Arial" w:hAnsi="Arial"/>
          <w:sz w:val="18"/>
          <w:szCs w:val="18"/>
          <w:color w:val="auto"/>
        </w:rPr>
        <w:t>The availability of observable inputs can vary depending on the financial asset or liability and is affected by a wide variety of factors including, for example, the type of instrument, whether the instrument has recently been issued, whether the instrument is traded on an active exchange or in the secondary market, and current market conditions. To the extent that valuation is based on models or inputs that are less observable or unobservable in the market, the determination of fair value requires more judgment. Accordingly, the degree of judgment exercised in determining fair value is greatest for financial instruments categorized in Level III. The variability and availability of the observable inputs affected by the factors described above may result in transfers between Levels I, II, and III.</w:t>
      </w:r>
    </w:p>
    <w:p>
      <w:pPr>
        <w:spacing w:after="0" w:line="165"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The Company considers its cash, cash equivalents, restricted cash, fees and accounts receivable, accounts payable, investments and contingent consideration balances to be financial instruments. The carrying amounts of cash, cash equivalents, restricted cash, fees and accounts receivable and accounts payable equal or approximate their fair values due to their nature and/or the relatively short period over which they are held. See note 6 for additional details regarding the fair value of the Company’s contingent consideration balances.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Restricted Cash</w:t>
      </w:r>
    </w:p>
    <w:p>
      <w:pPr>
        <w:spacing w:after="0" w:line="222" w:lineRule="exact"/>
        <w:rPr>
          <w:sz w:val="20"/>
          <w:szCs w:val="20"/>
          <w:color w:val="auto"/>
        </w:rPr>
      </w:pPr>
    </w:p>
    <w:p>
      <w:pPr>
        <w:ind w:right="160" w:firstLine="648"/>
        <w:spacing w:after="0" w:line="260" w:lineRule="auto"/>
        <w:rPr>
          <w:sz w:val="20"/>
          <w:szCs w:val="20"/>
          <w:color w:val="auto"/>
        </w:rPr>
      </w:pPr>
      <w:r>
        <w:rPr>
          <w:rFonts w:ascii="Arial" w:cs="Arial" w:eastAsia="Arial" w:hAnsi="Arial"/>
          <w:sz w:val="20"/>
          <w:szCs w:val="20"/>
          <w:color w:val="auto"/>
        </w:rPr>
        <w:t>Restricted cash consists of cash that the Company is contractually obligated to maintain to secure its letters of credit used primarily related to its office facilities and other obligations.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Investments</w:t>
      </w:r>
    </w:p>
    <w:p>
      <w:pPr>
        <w:spacing w:after="0" w:line="222" w:lineRule="exact"/>
        <w:rPr>
          <w:sz w:val="20"/>
          <w:szCs w:val="20"/>
          <w:color w:val="auto"/>
        </w:rPr>
      </w:pPr>
    </w:p>
    <w:p>
      <w:pPr>
        <w:ind w:firstLine="648"/>
        <w:spacing w:after="0" w:line="272" w:lineRule="auto"/>
        <w:rPr>
          <w:sz w:val="20"/>
          <w:szCs w:val="20"/>
          <w:color w:val="auto"/>
        </w:rPr>
      </w:pPr>
      <w:r>
        <w:rPr>
          <w:rFonts w:ascii="Arial" w:cs="Arial" w:eastAsia="Arial" w:hAnsi="Arial"/>
          <w:sz w:val="18"/>
          <w:szCs w:val="18"/>
          <w:color w:val="auto"/>
        </w:rPr>
        <w:t>Investments primarily include the Company’s ownership interests in the StepStone Funds, as general partner or managing member of such funds. The Company accounts for all investments in which it has or is otherwise presumed to have significant influence, but not control, including the StepStone Funds, using the equity method of accounting. The carrying value of these equity method investments is determined based on amounts invested by the Company, adjusted for the Company’s share in the earnings or losses of each investee, after consideration of contractual arrangements that govern allocations of income or loss (including carried interest allocations), less distributions received. Investments include the Company’s cumulative accrued carried interest allocations from the StepStone Funds, which primarily represent performance-based capital allocations, assuming the StepStone Funds were liquidated as of each reporting date in accordance with the funds’ governing documents. The Company evaluates its equity method investments for impairment whenever events or changes in circumstances indicate that the carrying amounts of such investments may not be recoverable.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Leases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On April 1, 2021, the Company adopted Accounting Standards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on a prospective basis.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As a result, prior period amounts were not adjusted to reflect the impact of the new standard.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4" w:right="37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right="60" w:firstLine="648"/>
        <w:spacing w:after="0" w:line="255" w:lineRule="auto"/>
        <w:rPr>
          <w:sz w:val="20"/>
          <w:szCs w:val="20"/>
          <w:color w:val="auto"/>
        </w:rPr>
      </w:pPr>
      <w:r>
        <w:rPr>
          <w:rFonts w:ascii="Arial" w:cs="Arial" w:eastAsia="Arial" w:hAnsi="Arial"/>
          <w:sz w:val="19"/>
          <w:szCs w:val="19"/>
          <w:color w:val="auto"/>
        </w:rPr>
        <w:t>The new standard establishes a right-of-use (“ROU”) model that requires a lessee to record a ROU asset and a lease liability on the condensed consolidated balance sheets for all leases with terms longer than 12 months. Under the previous guidance, operating leases were not recognized by the Company in the condensed consolidated balance sheets as a lessee. The guidance does not significantly change the recognition, measurement and presentation of expenses in the condensed consolidated statements of income or cash flows arising from a lease by a lessee. The adoption of this standard did not have a material impact on the condensed consolidated statements of income as substantially all of the Company’s leases are still classified as operating leases, which under the new guidance will continue to be recognized as expense on a straight-line basis. However, the adoption resulted in a significant gross-up in total assets and total liabilities on the Company’s condensed consolidated balance sheets. The Company recognized right-of-use assets of approximately $66.7 million and liabilities of approximately $76.9 million related to its operating leases which represents the aggregate discounted amount of the Company’s minimum lease obligations as of the adoption date.</w:t>
      </w:r>
    </w:p>
    <w:p>
      <w:pPr>
        <w:spacing w:after="0" w:line="190" w:lineRule="exact"/>
        <w:rPr>
          <w:sz w:val="20"/>
          <w:szCs w:val="20"/>
          <w:color w:val="auto"/>
        </w:rPr>
      </w:pPr>
    </w:p>
    <w:p>
      <w:pPr>
        <w:ind w:firstLine="648"/>
        <w:spacing w:after="0" w:line="309" w:lineRule="auto"/>
        <w:rPr>
          <w:sz w:val="20"/>
          <w:szCs w:val="20"/>
          <w:color w:val="auto"/>
        </w:rPr>
      </w:pPr>
      <w:r>
        <w:rPr>
          <w:rFonts w:ascii="Arial" w:cs="Arial" w:eastAsia="Arial" w:hAnsi="Arial"/>
          <w:sz w:val="16"/>
          <w:szCs w:val="16"/>
          <w:color w:val="auto"/>
        </w:rPr>
        <w:t>The Company determines whether an arrangement contains a lease at inception of the arrangement. A lease is a contract that provides the right to control an identified asset for a period of time in exchange for consideration. For identified leases, the Company determines the classification as either an operating or finance lease. The Company’s identified leases primarily consist of operating lease agreements for office space and certain equipment, as the lessee. Operating leases are included in lease right-of-use-assets, net and lease liabilities in the condensed consolidated balance sheets. Certain leases include lease and non-lease components, which the Company accounts for as a single lease component. Lease ROU assets and lease liabilities are measured based on the present value of future minimum lease payments over the lease term at the commencement date. Lease ROU assets include initial direct costs incurred by the Company and are presented net of deferred rent and lease incentives. The Company uses its incremental borrowing rate in determining the present value of future minimum lease payments. The Company’s lease terms may include options to extend or terminate the lease, which are included in the measurement of ROU assets and lease liabilities when it is reasonably certain that the Company will exercise those options.</w:t>
      </w:r>
    </w:p>
    <w:p>
      <w:pPr>
        <w:spacing w:after="0" w:line="37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8"/>
          <w:szCs w:val="18"/>
          <w:color w:val="auto"/>
        </w:rPr>
        <w:t>Operating lease expense associated with minimum lease payments is recognized on a straight-line basis over the lease term in general, administrative and other expenses in the condensed consolidated statements of income. Minimum lease payments for leases with an initial term of twelve months or less are not recorded in the condensed consolidated balance sheets. See note 13 for more information.</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Revenues</w:t>
      </w:r>
    </w:p>
    <w:p>
      <w:pPr>
        <w:spacing w:after="0" w:line="222" w:lineRule="exact"/>
        <w:rPr>
          <w:sz w:val="20"/>
          <w:szCs w:val="20"/>
          <w:color w:val="auto"/>
        </w:rPr>
      </w:pPr>
    </w:p>
    <w:p>
      <w:pPr>
        <w:ind w:firstLine="648"/>
        <w:spacing w:after="0" w:line="256" w:lineRule="auto"/>
        <w:rPr>
          <w:sz w:val="20"/>
          <w:szCs w:val="20"/>
          <w:color w:val="auto"/>
        </w:rPr>
      </w:pPr>
      <w:r>
        <w:rPr>
          <w:rFonts w:ascii="Arial" w:cs="Arial" w:eastAsia="Arial" w:hAnsi="Arial"/>
          <w:sz w:val="19"/>
          <w:szCs w:val="19"/>
          <w:color w:val="auto"/>
        </w:rPr>
        <w:t xml:space="preserve">The Company recognizes revenue in accordance with Accounting Standards Codification Topic 606 (“ASC 606”), </w:t>
      </w:r>
      <w:r>
        <w:rPr>
          <w:rFonts w:ascii="Arial" w:cs="Arial" w:eastAsia="Arial" w:hAnsi="Arial"/>
          <w:sz w:val="19"/>
          <w:szCs w:val="19"/>
          <w:i w:val="1"/>
          <w:iCs w:val="1"/>
          <w:color w:val="auto"/>
        </w:rPr>
        <w:t>Revenue from</w:t>
      </w:r>
      <w:r>
        <w:rPr>
          <w:rFonts w:ascii="Arial" w:cs="Arial" w:eastAsia="Arial" w:hAnsi="Arial"/>
          <w:sz w:val="19"/>
          <w:szCs w:val="19"/>
          <w:color w:val="auto"/>
        </w:rPr>
        <w:t xml:space="preserve"> </w:t>
      </w:r>
      <w:r>
        <w:rPr>
          <w:rFonts w:ascii="Arial" w:cs="Arial" w:eastAsia="Arial" w:hAnsi="Arial"/>
          <w:sz w:val="19"/>
          <w:szCs w:val="19"/>
          <w:i w:val="1"/>
          <w:iCs w:val="1"/>
          <w:color w:val="auto"/>
        </w:rPr>
        <w:t>Contracts with Customers</w:t>
      </w:r>
      <w:r>
        <w:rPr>
          <w:rFonts w:ascii="Arial" w:cs="Arial" w:eastAsia="Arial" w:hAnsi="Arial"/>
          <w:sz w:val="19"/>
          <w:szCs w:val="19"/>
          <w:color w:val="auto"/>
        </w:rPr>
        <w:t>. Revenue is recognized in a manner that depicts the transfer of promised goods or services to customers and for an</w:t>
      </w:r>
      <w:r>
        <w:rPr>
          <w:rFonts w:ascii="Arial" w:cs="Arial" w:eastAsia="Arial" w:hAnsi="Arial"/>
          <w:sz w:val="19"/>
          <w:szCs w:val="19"/>
          <w:i w:val="1"/>
          <w:iCs w:val="1"/>
          <w:color w:val="auto"/>
        </w:rPr>
        <w:t xml:space="preserve"> </w:t>
      </w:r>
      <w:r>
        <w:rPr>
          <w:rFonts w:ascii="Arial" w:cs="Arial" w:eastAsia="Arial" w:hAnsi="Arial"/>
          <w:sz w:val="19"/>
          <w:szCs w:val="19"/>
          <w:color w:val="auto"/>
        </w:rPr>
        <w:t>amount that reflects the consideration to which the Company expects to be entitled in exchange for those goods or services. The application of ASC 606 requires an entity to identify its contract(s) with a customer, identify the performance obligations in a contract, determine the transaction price, allocate the transaction price to the performance obligations in the contract and recognize revenue when (or as) the entity satisfies a performance obligation. In determining the transaction price, variable consideration is included only to the extent that it is probable that a significant reversal in the amount of cumulative revenue recognized would not occur when the uncertainty associated with the variable consideration is resolved. The Company has elected to apply the variable consideration allocation exception for its fee arrangements with its customers.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Management and Advisory Fees, Net</w:t>
      </w:r>
    </w:p>
    <w:p>
      <w:pPr>
        <w:spacing w:after="0" w:line="216" w:lineRule="exact"/>
        <w:rPr>
          <w:sz w:val="20"/>
          <w:szCs w:val="20"/>
          <w:color w:val="auto"/>
        </w:rPr>
      </w:pPr>
    </w:p>
    <w:p>
      <w:pPr>
        <w:ind w:right="220" w:firstLine="648"/>
        <w:spacing w:after="0" w:line="244" w:lineRule="auto"/>
        <w:rPr>
          <w:sz w:val="20"/>
          <w:szCs w:val="20"/>
          <w:color w:val="auto"/>
        </w:rPr>
      </w:pPr>
      <w:r>
        <w:rPr>
          <w:rFonts w:ascii="Arial" w:cs="Arial" w:eastAsia="Arial" w:hAnsi="Arial"/>
          <w:sz w:val="20"/>
          <w:szCs w:val="20"/>
          <w:color w:val="auto"/>
        </w:rPr>
        <w:t>The Company earns management fees for services provided to its SMAs, focused commingled funds and distribution management clients. The Company earns advisory fees for services provided to advisory clients where the Company does not have discretion over investment decisions. The Company considers its performance obligations in its customer contracts from which it earns management and advisory fees to be one or more of the following, based on the services promised: asset management services, advisory services and/or the arrangement of administrative services.</w:t>
      </w:r>
    </w:p>
    <w:p>
      <w:pPr>
        <w:spacing w:after="0" w:line="194"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color w:val="auto"/>
        </w:rPr>
        <w:t>The Company recognizes revenues from asset management services and advisory services when control of the promised services is transferred to customers, in an amount that reflects the consideration that the Company expects to receive in exchange for those services. SMAs are generally contractual arrangements involving an investment management agreement between the Company and a single client, and are typically structured as a partnership or limited liability company for which a subsidiary of SSG serves as the general partner or managing member. Focused commingled funds are structured as limited partnerships or limited liability companies with multiple clients, for which a subsidiary of the Company serves as the general partner or managing member. The Company determined that the individual client or single limited partner or member is the customer with respect to SMAs and advisory clients, while the investment fund is generally considered to be the customer for arrangements with focused commingled funds.</w:t>
      </w:r>
    </w:p>
    <w:p>
      <w:pPr>
        <w:spacing w:after="0" w:line="168"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When asset management services and the arrangement of administrative services are the performance obligations promised in a contract, the Company satisfies these performance obligations over time because the customer simultaneously receives and consumes the benefits of the services as they are performed. The transaction price is the amount of consideration to which the Company expects to be entitled in exchange for transferring the promised services to the customer. Management fees earned from these contracts where the Company has discretion over investment decisions are generally calculated based on a percentage of unaffiliated committed capital or net invested capital, and these amounts are typically billed quarterly. For certain investment funds, management fees are initially based on committed capital during the investment period and on net invested capital through the remainder of the fund’s term. In addition, the management fee rate charged may also be reduced for certain investment funds depending on the contractual arrangement. The management fee basis is subject to factors outside of the Company’s control. Therefore, estimates of future period management fees are not included in the transaction price because those estimates would be considered constrained. Advisory fees from contracts where the Company does not have discretion over investment decisions are generally based on fixed amounts and typically billed quarterly.</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Management fees generally exclude reimbursements for expenses paid by the Company on behalf of its customers, including amounts related to certain professional fees and other fund administrative expenses pursuant to the fund’s governing documents. For professional and administrative services that the Company arranges to be performed by third parties on behalf of investment funds, management has concluded that the nature of its promise is to arrange for the services to be provided and, accordingly, the Company does not control the services provided by the third parties before they are transferred to the customer. Therefore, the Company is acting as an agent, and the reimbursements for these professional fees paid on behalf of the investment funds are generally presented on a net basis.</w:t>
      </w:r>
    </w:p>
    <w:p>
      <w:pPr>
        <w:spacing w:after="0" w:line="165" w:lineRule="exact"/>
        <w:rPr>
          <w:sz w:val="20"/>
          <w:szCs w:val="20"/>
          <w:color w:val="auto"/>
        </w:rPr>
      </w:pPr>
    </w:p>
    <w:p>
      <w:pPr>
        <w:ind w:right="80" w:firstLine="648"/>
        <w:spacing w:after="0" w:line="244" w:lineRule="auto"/>
        <w:rPr>
          <w:sz w:val="20"/>
          <w:szCs w:val="20"/>
          <w:color w:val="auto"/>
        </w:rPr>
      </w:pPr>
      <w:r>
        <w:rPr>
          <w:rFonts w:ascii="Arial" w:cs="Arial" w:eastAsia="Arial" w:hAnsi="Arial"/>
          <w:sz w:val="20"/>
          <w:szCs w:val="20"/>
          <w:color w:val="auto"/>
        </w:rPr>
        <w:t>The Company and certain investment funds that it manages have distribution and service agreements with third-party financial institutions, whereby the Company pays a portion of the fees it receives to such institutions for ongoing distribution and servicing of customer accounts. Management has concluded that the Company does not act as principal for the third-party services, as the Company does not control the services provided by the third parties before they are transferred to the customer. Therefore, the Company is acting as an agent, and the management fees are recorded net of these service fees.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may incur certain costs in connection with satisfying its performance obligations for investment management services</w:t>
      </w:r>
    </w:p>
    <w:p>
      <w:pPr>
        <w:spacing w:after="0" w:line="3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 primarily employee travel costs and certain professional fees – for which it receives reimbursements from its customers. For reimbursable employee travel costs and certain professional fees, the Company concluded it controls the services provided by its employees and other parties and, therefore, is acting as principal. Accordingly, the Company records the reimbursement for these costs incurred on a gross basis – that is, as revenue in management and advisory fees, net and expense in general, administrative and other expenses in the condensed consolidated statements of income. For reimbursable costs incurred in connection with satisfying its performance obligations for administration services, the Company concluded it does not control the services provided by its employees and other parties and, therefore, is acting as agent. Accordingly, the Company records the reimbursement for these costs incurred on a net basis.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Performance Fees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earns two types of performance fee revenues: incentive fees and carried interest allocations, as described below.</w:t>
      </w:r>
    </w:p>
    <w:p>
      <w:pPr>
        <w:spacing w:after="0" w:line="239" w:lineRule="exact"/>
        <w:rPr>
          <w:sz w:val="20"/>
          <w:szCs w:val="20"/>
          <w:color w:val="auto"/>
        </w:rPr>
      </w:pPr>
    </w:p>
    <w:p>
      <w:pPr>
        <w:ind w:right="60" w:firstLine="648"/>
        <w:spacing w:after="0" w:line="259" w:lineRule="auto"/>
        <w:rPr>
          <w:sz w:val="20"/>
          <w:szCs w:val="20"/>
          <w:color w:val="auto"/>
        </w:rPr>
      </w:pPr>
      <w:r>
        <w:rPr>
          <w:rFonts w:ascii="Arial" w:cs="Arial" w:eastAsia="Arial" w:hAnsi="Arial"/>
          <w:sz w:val="19"/>
          <w:szCs w:val="19"/>
          <w:i w:val="1"/>
          <w:iCs w:val="1"/>
          <w:color w:val="auto"/>
        </w:rPr>
        <w:t xml:space="preserve">Incentive fees </w:t>
      </w:r>
      <w:r>
        <w:rPr>
          <w:rFonts w:ascii="Arial" w:cs="Arial" w:eastAsia="Arial" w:hAnsi="Arial"/>
          <w:sz w:val="19"/>
          <w:szCs w:val="19"/>
          <w:color w:val="auto"/>
        </w:rPr>
        <w:t>are generally calculated as a percentage of the profits (up to 10%) earned in respect of certain accounts for which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is the investment adviser, subject to the achievement of minimum return levels or performance benchmarks. Incentive fees are a form of variable consideration and represent contractual fee arrangements in the Company’s contracts with its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spacing w:after="0" w:line="178" w:lineRule="exact"/>
        <w:rPr>
          <w:sz w:val="20"/>
          <w:szCs w:val="20"/>
          <w:color w:val="auto"/>
        </w:rPr>
      </w:pPr>
    </w:p>
    <w:p>
      <w:pPr>
        <w:jc w:val="both"/>
        <w:ind w:right="100" w:firstLine="648"/>
        <w:spacing w:after="0" w:line="306" w:lineRule="auto"/>
        <w:rPr>
          <w:sz w:val="20"/>
          <w:szCs w:val="20"/>
          <w:color w:val="auto"/>
        </w:rPr>
      </w:pPr>
      <w:r>
        <w:rPr>
          <w:rFonts w:ascii="Arial" w:cs="Arial" w:eastAsia="Arial" w:hAnsi="Arial"/>
          <w:sz w:val="16"/>
          <w:szCs w:val="16"/>
          <w:color w:val="auto"/>
        </w:rPr>
        <w:t>The Company recognizes incentive fee revenue only when these amounts are realized and no longer subject to significant reversal, which is typically at the end of a defined performance period and/or upon expiration of the associated clawback period (i.e., crystallization). However, clawback terms for incentive fees received prior to crystallization only require the return of amounts on a net of tax basis.</w:t>
      </w:r>
    </w:p>
    <w:p>
      <w:pPr>
        <w:spacing w:after="0" w:line="1" w:lineRule="exact"/>
        <w:rPr>
          <w:sz w:val="20"/>
          <w:szCs w:val="20"/>
          <w:color w:val="auto"/>
        </w:rPr>
      </w:pPr>
    </w:p>
    <w:p>
      <w:pPr>
        <w:ind w:right="300"/>
        <w:spacing w:after="0" w:line="241" w:lineRule="auto"/>
        <w:rPr>
          <w:sz w:val="20"/>
          <w:szCs w:val="20"/>
          <w:color w:val="auto"/>
        </w:rPr>
      </w:pPr>
      <w:r>
        <w:rPr>
          <w:rFonts w:ascii="Arial" w:cs="Arial" w:eastAsia="Arial" w:hAnsi="Arial"/>
          <w:sz w:val="20"/>
          <w:szCs w:val="20"/>
          <w:color w:val="auto"/>
        </w:rPr>
        <w:t>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condensed consolidated balance sheets.</w:t>
      </w:r>
    </w:p>
    <w:p>
      <w:pPr>
        <w:spacing w:after="0" w:line="194" w:lineRule="exact"/>
        <w:rPr>
          <w:sz w:val="20"/>
          <w:szCs w:val="20"/>
          <w:color w:val="auto"/>
        </w:rPr>
      </w:pPr>
    </w:p>
    <w:p>
      <w:pPr>
        <w:ind w:right="20" w:firstLine="648"/>
        <w:spacing w:after="0" w:line="242" w:lineRule="auto"/>
        <w:rPr>
          <w:sz w:val="20"/>
          <w:szCs w:val="20"/>
          <w:color w:val="auto"/>
        </w:rPr>
      </w:pPr>
      <w:r>
        <w:rPr>
          <w:rFonts w:ascii="Arial" w:cs="Arial" w:eastAsia="Arial" w:hAnsi="Arial"/>
          <w:sz w:val="20"/>
          <w:szCs w:val="20"/>
          <w:i w:val="1"/>
          <w:iCs w:val="1"/>
          <w:color w:val="auto"/>
        </w:rPr>
        <w:t xml:space="preserve">Carried interest allocations </w:t>
      </w:r>
      <w:r>
        <w:rPr>
          <w:rFonts w:ascii="Arial" w:cs="Arial" w:eastAsia="Arial" w:hAnsi="Arial"/>
          <w:sz w:val="20"/>
          <w:szCs w:val="20"/>
          <w:color w:val="auto"/>
        </w:rPr>
        <w:t>include the allocation of performance-based fees, commonly referred to as carried interest, to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from unaffiliated limited partners in the StepStone Funds in which the Company holds an equity interest. The Company is entitled to a carried interest allocation (typically 5% to 15%) based on cumulative fund or account performance to date, irrespective of whether such amounts have been realized. These carried interest allocations are subject to the achievement of minimum return levels (typically 5% to 10%), in accordance with the terms set forth in each respective fund’s governing documents. The Company accounts for its investment balances in the StepStone Funds, including carried interest allocations, under the equity method of accounting because it is presumed to have significant influence as the general partner or managing member. Accordingly, carried interest allocations are not deemed to be within the scope of ASC 606.</w:t>
      </w:r>
    </w:p>
    <w:p>
      <w:pPr>
        <w:spacing w:after="0" w:line="197" w:lineRule="exact"/>
        <w:rPr>
          <w:sz w:val="20"/>
          <w:szCs w:val="20"/>
          <w:color w:val="auto"/>
        </w:rPr>
      </w:pPr>
    </w:p>
    <w:p>
      <w:pPr>
        <w:ind w:right="40" w:firstLine="648"/>
        <w:spacing w:after="0" w:line="316" w:lineRule="auto"/>
        <w:rPr>
          <w:sz w:val="20"/>
          <w:szCs w:val="20"/>
          <w:color w:val="auto"/>
        </w:rPr>
      </w:pPr>
      <w:r>
        <w:rPr>
          <w:rFonts w:ascii="Arial" w:cs="Arial" w:eastAsia="Arial" w:hAnsi="Arial"/>
          <w:sz w:val="16"/>
          <w:szCs w:val="16"/>
          <w:color w:val="auto"/>
        </w:rPr>
        <w:t>The Company recognizes revenue attributable to carried interest allocations from a fund based on the amount that would be due to the Company pursuant to the fund’s governing documents, assuming the fund was liquidated based on the current fair value of its underlying investments as of that date. Accordingly, the amount recognized as carried interest allocation revenue reflects the Company’s share of the gains and losses of the associated fund’s underlying investments measured at their then-fair values, relative to the fair values as of the end of the prior period. The Company records the amount of carried interest allocated to the Company as of each period end as accrued carried interest allocations receivable, which is included as a component of investments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4" w:right="37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firstLine="648"/>
        <w:spacing w:after="0" w:line="243" w:lineRule="auto"/>
        <w:rPr>
          <w:sz w:val="20"/>
          <w:szCs w:val="20"/>
          <w:color w:val="auto"/>
        </w:rPr>
      </w:pPr>
      <w:r>
        <w:rPr>
          <w:rFonts w:ascii="Arial" w:cs="Arial" w:eastAsia="Arial" w:hAnsi="Arial"/>
          <w:sz w:val="20"/>
          <w:szCs w:val="20"/>
          <w:color w:val="auto"/>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the Company based on cumulative results. As such, a liability is accrued for potential clawback obligations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June 30, 2021 and March 31, 2021, no material amounts for potential clawback obligations had been accrued.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Equity-Based Compensation</w:t>
      </w:r>
    </w:p>
    <w:p>
      <w:pPr>
        <w:spacing w:after="0" w:line="222" w:lineRule="exact"/>
        <w:rPr>
          <w:sz w:val="20"/>
          <w:szCs w:val="20"/>
          <w:color w:val="auto"/>
        </w:rPr>
      </w:pPr>
    </w:p>
    <w:p>
      <w:pPr>
        <w:ind w:right="20" w:firstLine="648"/>
        <w:spacing w:after="0" w:line="259" w:lineRule="auto"/>
        <w:rPr>
          <w:sz w:val="20"/>
          <w:szCs w:val="20"/>
          <w:color w:val="auto"/>
        </w:rPr>
      </w:pPr>
      <w:r>
        <w:rPr>
          <w:rFonts w:ascii="Arial" w:cs="Arial" w:eastAsia="Arial" w:hAnsi="Arial"/>
          <w:sz w:val="19"/>
          <w:szCs w:val="19"/>
          <w:color w:val="auto"/>
        </w:rPr>
        <w:t>The Company accounts for grants of equity-based awards, including restricted stock units (“RSUs”), to certain employees and directors at fair value as of the grant date. The Company recognizes non-cash compensation expense attributable to these grants on a straight-line basis over the requisite service period, which is generally the vesting period. Expense related to grants of equity-based awards is recognized as equity-based compensation expense in the condensed consolidated statements of income. The fair value of RSUs is determined by the closing stock price on the grant date. Forfeitures of equity-based awards are recognized as they occur. See note 8 for additional information regarding the Company’s accounting for equity-based awards.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Income Taxes</w:t>
      </w:r>
    </w:p>
    <w:p>
      <w:pPr>
        <w:spacing w:after="0" w:line="222" w:lineRule="exact"/>
        <w:rPr>
          <w:sz w:val="20"/>
          <w:szCs w:val="20"/>
          <w:color w:val="auto"/>
        </w:rPr>
      </w:pPr>
    </w:p>
    <w:p>
      <w:pPr>
        <w:ind w:right="40" w:firstLine="648"/>
        <w:spacing w:after="0" w:line="257" w:lineRule="auto"/>
        <w:rPr>
          <w:sz w:val="20"/>
          <w:szCs w:val="20"/>
          <w:color w:val="auto"/>
        </w:rPr>
      </w:pPr>
      <w:r>
        <w:rPr>
          <w:rFonts w:ascii="Arial" w:cs="Arial" w:eastAsia="Arial" w:hAnsi="Arial"/>
          <w:sz w:val="19"/>
          <w:szCs w:val="19"/>
          <w:color w:val="auto"/>
        </w:rPr>
        <w:t>SSG is a corporation for U.S. federal income tax purposes and therefore is subject to U.S. federal and state income taxes on its share of taxable income generated by the Partnership. The Partnership is treated as a pass-through entity for U.S. federal and state income tax purposes. As such, income generated by the Partnership flows through to its limited partners, including SSG, and is generally not subject to U.S. federal or state income tax at the Partnership level. The Partnership’s non-U.S. subsidiaries generally operate as corporate entities in non-U.S. jurisdictions, with certain of these entities subject to non-U.S. income taxes. Additionally, certain subsidiaries are subject to local jurisdiction taxes at the entity level, which are reflected within income tax expense in the condensed consolidated statements of income. As a result, the Partnership does not record U.S. federal and state income taxes on income in the Partnership or its subsidiaries, except for certain local and foreign income taxes discussed above.</w:t>
      </w:r>
    </w:p>
    <w:p>
      <w:pPr>
        <w:spacing w:after="0" w:line="180" w:lineRule="exact"/>
        <w:rPr>
          <w:sz w:val="20"/>
          <w:szCs w:val="20"/>
          <w:color w:val="auto"/>
        </w:rPr>
      </w:pPr>
    </w:p>
    <w:p>
      <w:pPr>
        <w:ind w:right="40" w:firstLine="648"/>
        <w:spacing w:after="0" w:line="321" w:lineRule="auto"/>
        <w:rPr>
          <w:sz w:val="20"/>
          <w:szCs w:val="20"/>
          <w:color w:val="auto"/>
        </w:rPr>
      </w:pPr>
      <w:r>
        <w:rPr>
          <w:rFonts w:ascii="Arial" w:cs="Arial" w:eastAsia="Arial" w:hAnsi="Arial"/>
          <w:sz w:val="16"/>
          <w:szCs w:val="16"/>
          <w:color w:val="auto"/>
        </w:rPr>
        <w:t>Taxes are accounted for using the asset and liability method of accounting.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The principal items giving rise to temporary differences are certain basis differences resulting from exchanges of Partnership units. See Tax Receivable Agreements below.</w:t>
      </w:r>
    </w:p>
    <w:p>
      <w:pPr>
        <w:spacing w:after="0" w:line="133" w:lineRule="exact"/>
        <w:rPr>
          <w:sz w:val="20"/>
          <w:szCs w:val="20"/>
          <w:color w:val="auto"/>
        </w:rPr>
      </w:pPr>
    </w:p>
    <w:p>
      <w:pPr>
        <w:ind w:right="100" w:firstLine="648"/>
        <w:spacing w:after="0" w:line="244" w:lineRule="auto"/>
        <w:rPr>
          <w:sz w:val="20"/>
          <w:szCs w:val="20"/>
          <w:color w:val="auto"/>
        </w:rPr>
      </w:pPr>
      <w:r>
        <w:rPr>
          <w:rFonts w:ascii="Arial" w:cs="Arial" w:eastAsia="Arial" w:hAnsi="Arial"/>
          <w:sz w:val="20"/>
          <w:szCs w:val="20"/>
          <w:color w:val="auto"/>
        </w:rPr>
        <w:t>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21" w:name="page22"/>
    <w:bookmarkEnd w:id="21"/>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 xml:space="preserve">The Company is subject to the provisions of ASC Subtopic 740-10,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This standard establishes consistent thresholds as it relates to accounting for income taxes. It defines the threshold for recognizing the benefits of tax return positions in the financial statements as more-likely-than-not to be sustained by the relevant taxing authority and requires measurement of a tax position meeting the more-likely-than-not criterion, based on the largest benefit that is more than 50 percent likely to be realized. If upon performance of an assessment pursuant to this subtopic, management determines that uncertainties in tax positions exist that do not meet the minimum threshold for recognition of the related tax benefit, a liability is recorded in the condensed consolidated financial statements. The Company recognizes interest and penalties, if any, related to unrecognized tax benefits as interest expense and general, administrative and other expenses, respectively, in the condensed consolidated statements of income. See note 9 for more information.</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Tax Receivable Agreements</w:t>
      </w:r>
    </w:p>
    <w:p>
      <w:pPr>
        <w:spacing w:after="0" w:line="222"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SSG has entered into an Exchanges Tax Receivable Agreement with the partners of the Partnership as of the date of the IPO and a Reorganization Tax Receivable Agreement with certain pre-IPO institutional investors (collectively, the “Tax Receivable Agreements”). The Tax Receivable Agreements provide for payment by SSG to such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partners’ and institutional investors’ Partnership units and (ii) in the case of the Exchanges Tax Receivable Agreement, any payments SSG makes under the Exchanges Tax Receivable Agreement (including tax benefits related to imputed interest). SSG will retain the benefit of the remaining 15% of these net cash tax savings under both Tax Receivable Agreements.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Accumulated Other Comprehensive Income</w:t>
      </w:r>
    </w:p>
    <w:p>
      <w:pPr>
        <w:spacing w:after="0" w:line="222" w:lineRule="exact"/>
        <w:rPr>
          <w:sz w:val="20"/>
          <w:szCs w:val="20"/>
          <w:color w:val="auto"/>
        </w:rPr>
      </w:pPr>
    </w:p>
    <w:p>
      <w:pPr>
        <w:ind w:right="140" w:firstLine="648"/>
        <w:spacing w:after="0" w:line="250" w:lineRule="auto"/>
        <w:rPr>
          <w:sz w:val="20"/>
          <w:szCs w:val="20"/>
          <w:color w:val="auto"/>
        </w:rPr>
      </w:pPr>
      <w:r>
        <w:rPr>
          <w:rFonts w:ascii="Arial" w:cs="Arial" w:eastAsia="Arial" w:hAnsi="Arial"/>
          <w:sz w:val="20"/>
          <w:szCs w:val="20"/>
          <w:color w:val="auto"/>
        </w:rPr>
        <w:t>The Company’s accumulated other comprehensive income consists of foreign currency translation adjustments and unrealized gains and losses on the defined benefit plan sponsored by one of its subsidiaries. The components of accumulated other comprehensive income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ind w:left="1180"/>
              <w:spacing w:after="0"/>
              <w:rPr>
                <w:sz w:val="20"/>
                <w:szCs w:val="20"/>
                <w:color w:val="auto"/>
              </w:rPr>
            </w:pPr>
            <w:r>
              <w:rPr>
                <w:rFonts w:ascii="Arial" w:cs="Arial" w:eastAsia="Arial" w:hAnsi="Arial"/>
                <w:sz w:val="16"/>
                <w:szCs w:val="16"/>
                <w:b w:val="1"/>
                <w:bCs w:val="1"/>
                <w:color w:val="auto"/>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8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2021</w:t>
            </w:r>
          </w:p>
        </w:tc>
        <w:tc>
          <w:tcPr>
            <w:tcW w:w="160" w:type="dxa"/>
            <w:vAlign w:val="bottom"/>
          </w:tcPr>
          <w:p>
            <w:pPr>
              <w:spacing w:after="0"/>
              <w:rPr>
                <w:sz w:val="18"/>
                <w:szCs w:val="18"/>
                <w:color w:val="auto"/>
              </w:rPr>
            </w:pPr>
          </w:p>
        </w:tc>
        <w:tc>
          <w:tcPr>
            <w:tcW w:w="1280" w:type="dxa"/>
            <w:vAlign w:val="bottom"/>
          </w:tcPr>
          <w:p>
            <w:pPr>
              <w:ind w:left="20"/>
              <w:spacing w:after="0"/>
              <w:rPr>
                <w:sz w:val="20"/>
                <w:szCs w:val="20"/>
                <w:color w:val="auto"/>
              </w:rPr>
            </w:pPr>
            <w:r>
              <w:rPr>
                <w:rFonts w:ascii="Arial" w:cs="Arial" w:eastAsia="Arial" w:hAnsi="Arial"/>
                <w:sz w:val="16"/>
                <w:szCs w:val="16"/>
                <w:b w:val="1"/>
                <w:bCs w:val="1"/>
                <w:color w:val="auto"/>
              </w:rPr>
              <w:t>March 31, 2021</w:t>
            </w:r>
          </w:p>
        </w:tc>
      </w:tr>
      <w:tr>
        <w:trPr>
          <w:trHeight w:val="226"/>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270</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208</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Unrealized loss on defined benefit plan, net</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w w:val="93"/>
              </w:rPr>
              <w:t>(55)</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w w:val="93"/>
              </w:rPr>
              <w:t>(53)</w:t>
            </w:r>
          </w:p>
        </w:tc>
      </w:tr>
      <w:tr>
        <w:trPr>
          <w:trHeight w:val="248"/>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215</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155</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Segments</w:t>
      </w:r>
    </w:p>
    <w:p>
      <w:pPr>
        <w:spacing w:after="0" w:line="222" w:lineRule="exact"/>
        <w:rPr>
          <w:sz w:val="20"/>
          <w:szCs w:val="20"/>
          <w:color w:val="auto"/>
        </w:rPr>
      </w:pPr>
    </w:p>
    <w:p>
      <w:pPr>
        <w:ind w:right="40" w:firstLine="648"/>
        <w:spacing w:after="0" w:line="263" w:lineRule="auto"/>
        <w:rPr>
          <w:sz w:val="20"/>
          <w:szCs w:val="20"/>
          <w:color w:val="auto"/>
        </w:rPr>
      </w:pPr>
      <w:r>
        <w:rPr>
          <w:rFonts w:ascii="Arial" w:cs="Arial" w:eastAsia="Arial" w:hAnsi="Arial"/>
          <w:sz w:val="19"/>
          <w:szCs w:val="19"/>
          <w:color w:val="auto"/>
        </w:rPr>
        <w:t>The Company operates as one business, a fully-integrated private markets solution provider. The Company’s chief operating decision maker, which consists of the Company’s co-chief executive officers together, utilizes a consolidated approach to assess the performance of and allocate resources to the business. Accordingly, management has concluded that the Company consists of a single operating segment and single reportable segment for accounting and financial reporting purposes.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Recent Accounting Pronouncements</w:t>
      </w:r>
    </w:p>
    <w:p>
      <w:pPr>
        <w:spacing w:after="0" w:line="22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9"/>
          <w:szCs w:val="19"/>
          <w:color w:val="auto"/>
        </w:rPr>
        <w:t xml:space="preserve">In December 2019, the Financial Accounting Standards Board (“FASB”) issued ASU 2019-12, </w:t>
      </w:r>
      <w:r>
        <w:rPr>
          <w:rFonts w:ascii="Arial" w:cs="Arial" w:eastAsia="Arial" w:hAnsi="Arial"/>
          <w:sz w:val="19"/>
          <w:szCs w:val="19"/>
          <w:i w:val="1"/>
          <w:iCs w:val="1"/>
          <w:color w:val="auto"/>
        </w:rPr>
        <w:t>Income Taxes (Topic 740):</w:t>
      </w:r>
      <w:r>
        <w:rPr>
          <w:rFonts w:ascii="Arial" w:cs="Arial" w:eastAsia="Arial" w:hAnsi="Arial"/>
          <w:sz w:val="19"/>
          <w:szCs w:val="19"/>
          <w:color w:val="auto"/>
        </w:rPr>
        <w:t xml:space="preserve"> </w:t>
      </w:r>
      <w:r>
        <w:rPr>
          <w:rFonts w:ascii="Arial" w:cs="Arial" w:eastAsia="Arial" w:hAnsi="Arial"/>
          <w:sz w:val="19"/>
          <w:szCs w:val="19"/>
          <w:i w:val="1"/>
          <w:iCs w:val="1"/>
          <w:color w:val="auto"/>
        </w:rPr>
        <w:t>Simplifying the Accounting for Income Taxes</w:t>
      </w:r>
      <w:r>
        <w:rPr>
          <w:rFonts w:ascii="Arial" w:cs="Arial" w:eastAsia="Arial" w:hAnsi="Arial"/>
          <w:sz w:val="19"/>
          <w:szCs w:val="19"/>
          <w:color w:val="auto"/>
        </w:rPr>
        <w:t>, which modifies ASC 740 to simplify the accounting for income taxes. The guidance, among</w:t>
      </w:r>
      <w:r>
        <w:rPr>
          <w:rFonts w:ascii="Arial" w:cs="Arial" w:eastAsia="Arial" w:hAnsi="Arial"/>
          <w:sz w:val="19"/>
          <w:szCs w:val="19"/>
          <w:i w:val="1"/>
          <w:iCs w:val="1"/>
          <w:color w:val="auto"/>
        </w:rPr>
        <w:t xml:space="preserve"> </w:t>
      </w:r>
      <w:r>
        <w:rPr>
          <w:rFonts w:ascii="Arial" w:cs="Arial" w:eastAsia="Arial" w:hAnsi="Arial"/>
          <w:sz w:val="19"/>
          <w:szCs w:val="19"/>
          <w:color w:val="auto"/>
        </w:rPr>
        <w:t>other changes, (i) provides a policy election to not allocate consolidated income taxes when a member of a consolidated tax return is not subject to income tax and (ii) provides guidance to evaluate whether a step-up in tax basis of goodwill relates to a business combination in which book goodwill was recognized or a separate transaction. This guidance is effective for annual and interim periods beginning after December 15, 2020, with early adoption permitted. The Company adopted this guidance on April 1, 2021. Adoption of this guidance did not have a material effect on the condensed consolidated financial statements.</w:t>
      </w:r>
    </w:p>
    <w:p>
      <w:pPr>
        <w:spacing w:after="0" w:line="179"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6"/>
          <w:szCs w:val="16"/>
          <w:b w:val="1"/>
          <w:bCs w:val="1"/>
          <w:color w:val="auto"/>
        </w:rPr>
        <w:t>Revenues</w:t>
      </w:r>
    </w:p>
    <w:p>
      <w:pPr>
        <w:spacing w:after="0" w:line="222" w:lineRule="exact"/>
        <w:rPr>
          <w:sz w:val="20"/>
          <w:szCs w:val="20"/>
          <w:color w:val="auto"/>
        </w:rPr>
      </w:pPr>
    </w:p>
    <w:p>
      <w:pPr>
        <w:ind w:right="220" w:firstLine="648"/>
        <w:spacing w:after="0" w:line="260" w:lineRule="auto"/>
        <w:rPr>
          <w:sz w:val="20"/>
          <w:szCs w:val="20"/>
          <w:color w:val="auto"/>
        </w:rPr>
      </w:pPr>
      <w:r>
        <w:rPr>
          <w:rFonts w:ascii="Arial" w:cs="Arial" w:eastAsia="Arial" w:hAnsi="Arial"/>
          <w:sz w:val="20"/>
          <w:szCs w:val="20"/>
          <w:color w:val="auto"/>
        </w:rPr>
        <w:t>The following presents revenues disaggregated by product offering, which aligns with the Company’s performance obligations and the basis for calculating each amount: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6"/>
                <w:szCs w:val="16"/>
                <w:b w:val="1"/>
                <w:bCs w:val="1"/>
                <w:color w:val="auto"/>
                <w:w w:val="96"/>
              </w:rPr>
              <w:t>Three Months Ended June 30,</w:t>
            </w:r>
          </w:p>
        </w:tc>
      </w:tr>
      <w:tr>
        <w:trPr>
          <w:trHeight w:val="215"/>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Management and Advisory Fees, Net</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2020</w:t>
            </w: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Focused commingled funds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24,150</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19,853</w:t>
            </w:r>
          </w:p>
        </w:tc>
      </w:tr>
      <w:tr>
        <w:trPr>
          <w:trHeight w:val="229"/>
        </w:trPr>
        <w:tc>
          <w:tcPr>
            <w:tcW w:w="8520" w:type="dxa"/>
            <w:vAlign w:val="bottom"/>
          </w:tcPr>
          <w:p>
            <w:pPr>
              <w:ind w:left="20"/>
              <w:spacing w:after="0"/>
              <w:rPr>
                <w:sz w:val="20"/>
                <w:szCs w:val="20"/>
                <w:color w:val="auto"/>
              </w:rPr>
            </w:pPr>
            <w:r>
              <w:rPr>
                <w:rFonts w:ascii="Arial" w:cs="Arial" w:eastAsia="Arial" w:hAnsi="Arial"/>
                <w:sz w:val="18"/>
                <w:szCs w:val="18"/>
                <w:color w:val="auto"/>
              </w:rPr>
              <w:t>SMAs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40,605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30,722</w:t>
            </w:r>
          </w:p>
        </w:tc>
      </w:tr>
      <w:tr>
        <w:trPr>
          <w:trHeight w:val="229"/>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Advisory and other services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12,863</w:t>
            </w:r>
          </w:p>
        </w:tc>
      </w:tr>
      <w:tr>
        <w:trPr>
          <w:trHeight w:val="230"/>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Fund reimbursement revenues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48"/>
        </w:trPr>
        <w:tc>
          <w:tcPr>
            <w:tcW w:w="85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management and advisory fees,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78,061</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63,500</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886"/>
        </w:trPr>
        <w:tc>
          <w:tcPr>
            <w:tcW w:w="85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6"/>
                <w:szCs w:val="16"/>
                <w:b w:val="1"/>
                <w:bCs w:val="1"/>
                <w:color w:val="auto"/>
                <w:w w:val="96"/>
              </w:rPr>
              <w:t>Three Months Ended June 30,</w:t>
            </w:r>
          </w:p>
        </w:tc>
      </w:tr>
      <w:tr>
        <w:trPr>
          <w:trHeight w:val="215"/>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Incentive Fees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2020</w:t>
            </w: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SMAs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w:t>
            </w:r>
          </w:p>
        </w:tc>
      </w:tr>
      <w:tr>
        <w:trPr>
          <w:trHeight w:val="230"/>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Focused commingled funds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5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incentive fees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3,589</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886"/>
        </w:trPr>
        <w:tc>
          <w:tcPr>
            <w:tcW w:w="85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6"/>
                <w:szCs w:val="16"/>
                <w:b w:val="1"/>
                <w:bCs w:val="1"/>
                <w:color w:val="auto"/>
                <w:w w:val="96"/>
              </w:rPr>
              <w:t>Three Months Ended June 30,</w:t>
            </w:r>
          </w:p>
        </w:tc>
      </w:tr>
      <w:tr>
        <w:trPr>
          <w:trHeight w:val="216"/>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Carried Interest Allocation</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2020</w:t>
            </w: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SMAs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172,793</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(105,768)</w:t>
            </w:r>
          </w:p>
        </w:tc>
      </w:tr>
      <w:tr>
        <w:trPr>
          <w:trHeight w:val="229"/>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Focused commingled funds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53,569</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(22,734)</w:t>
            </w:r>
          </w:p>
        </w:tc>
      </w:tr>
      <w:tr>
        <w:trPr>
          <w:trHeight w:val="248"/>
        </w:trPr>
        <w:tc>
          <w:tcPr>
            <w:tcW w:w="85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carried interest allocation</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226,362</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(128,502)</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60" w:firstLine="648"/>
        <w:spacing w:after="0" w:line="250" w:lineRule="auto"/>
        <w:rPr>
          <w:sz w:val="20"/>
          <w:szCs w:val="20"/>
          <w:color w:val="auto"/>
        </w:rPr>
      </w:pPr>
      <w:r>
        <w:rPr>
          <w:rFonts w:ascii="Arial" w:cs="Arial" w:eastAsia="Arial" w:hAnsi="Arial"/>
          <w:sz w:val="20"/>
          <w:szCs w:val="20"/>
          <w:color w:val="auto"/>
        </w:rPr>
        <w:t>The increase (decrease) in carried interest allocation for the three months ended June 30, 2021 and 2020 was primarily attributable to net unrealized appreciation or depreciation in the fair value of certain underlying fund investments. See note 2 for a discussion of the Company’s accounting policy for investments on a three-month lag.</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derives revenues from clients located in both the United States and other countries. The table below presents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Company’s revenues by geographic location: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Revenues</w:t>
            </w:r>
            <w:r>
              <w:rPr>
                <w:rFonts w:ascii="Arial" w:cs="Arial" w:eastAsia="Arial" w:hAnsi="Arial"/>
                <w:sz w:val="23"/>
                <w:szCs w:val="23"/>
                <w:b w:val="1"/>
                <w:bCs w:val="1"/>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233"/>
              <w:spacing w:after="0"/>
              <w:rPr>
                <w:sz w:val="20"/>
                <w:szCs w:val="20"/>
                <w:color w:val="auto"/>
              </w:rPr>
            </w:pPr>
            <w:r>
              <w:rPr>
                <w:rFonts w:ascii="Arial" w:cs="Arial" w:eastAsia="Arial" w:hAnsi="Arial"/>
                <w:sz w:val="16"/>
                <w:szCs w:val="16"/>
                <w:b w:val="1"/>
                <w:bCs w:val="1"/>
                <w:color w:val="auto"/>
                <w:w w:val="96"/>
              </w:rPr>
              <w:t>Three Months Ended June 30,</w:t>
            </w:r>
          </w:p>
        </w:tc>
        <w:tc>
          <w:tcPr>
            <w:tcW w:w="0" w:type="dxa"/>
            <w:vAlign w:val="bottom"/>
          </w:tcPr>
          <w:p>
            <w:pPr>
              <w:spacing w:after="0"/>
              <w:rPr>
                <w:sz w:val="1"/>
                <w:szCs w:val="1"/>
                <w:color w:val="auto"/>
              </w:rPr>
            </w:pPr>
          </w:p>
        </w:tc>
      </w:tr>
      <w:tr>
        <w:trPr>
          <w:trHeight w:val="212"/>
        </w:trPr>
        <w:tc>
          <w:tcPr>
            <w:tcW w:w="852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50,655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w:t>
            </w:r>
          </w:p>
        </w:tc>
        <w:tc>
          <w:tcPr>
            <w:tcW w:w="0" w:type="dxa"/>
            <w:vAlign w:val="bottom"/>
          </w:tcPr>
          <w:p>
            <w:pPr>
              <w:spacing w:after="0"/>
              <w:rPr>
                <w:sz w:val="1"/>
                <w:szCs w:val="1"/>
                <w:color w:val="auto"/>
              </w:rPr>
            </w:pPr>
          </w:p>
        </w:tc>
      </w:tr>
      <w:tr>
        <w:trPr>
          <w:trHeight w:val="215"/>
        </w:trPr>
        <w:tc>
          <w:tcPr>
            <w:tcW w:w="8520" w:type="dxa"/>
            <w:vAlign w:val="bottom"/>
          </w:tcPr>
          <w:p>
            <w:pPr>
              <w:ind w:left="360"/>
              <w:spacing w:after="0"/>
              <w:rPr>
                <w:sz w:val="20"/>
                <w:szCs w:val="20"/>
                <w:color w:val="auto"/>
              </w:rPr>
            </w:pPr>
            <w:r>
              <w:rPr>
                <w:rFonts w:ascii="Arial" w:cs="Arial" w:eastAsia="Arial" w:hAnsi="Arial"/>
                <w:sz w:val="18"/>
                <w:szCs w:val="18"/>
                <w:color w:val="auto"/>
              </w:rPr>
              <w:t>Non-U.S. countries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257,950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(66,823)</w:t>
            </w:r>
          </w:p>
        </w:tc>
        <w:tc>
          <w:tcPr>
            <w:tcW w:w="0" w:type="dxa"/>
            <w:vAlign w:val="bottom"/>
          </w:tcPr>
          <w:p>
            <w:pPr>
              <w:spacing w:after="0"/>
              <w:rPr>
                <w:sz w:val="1"/>
                <w:szCs w:val="1"/>
                <w:color w:val="auto"/>
              </w:rPr>
            </w:pPr>
          </w:p>
        </w:tc>
      </w:tr>
      <w:tr>
        <w:trPr>
          <w:trHeight w:val="230"/>
        </w:trPr>
        <w:tc>
          <w:tcPr>
            <w:tcW w:w="8520" w:type="dxa"/>
            <w:vAlign w:val="bottom"/>
          </w:tcPr>
          <w:p>
            <w:pPr>
              <w:spacing w:after="0"/>
              <w:rPr>
                <w:sz w:val="20"/>
                <w:szCs w:val="20"/>
                <w:color w:val="auto"/>
              </w:rPr>
            </w:pPr>
            <w:r>
              <w:rPr>
                <w:rFonts w:ascii="Arial" w:cs="Arial" w:eastAsia="Arial" w:hAnsi="Arial"/>
                <w:sz w:val="18"/>
                <w:szCs w:val="18"/>
                <w:color w:val="auto"/>
              </w:rPr>
              <w:t>_______________________________</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right="460" w:hanging="652"/>
        <w:spacing w:after="0" w:line="260" w:lineRule="auto"/>
        <w:tabs>
          <w:tab w:leader="none" w:pos="654"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Revenues are attributed to countries based on client location for SMAs and advisory and other services, or location of investment vehicle for focused commingled funds.</w:t>
      </w:r>
    </w:p>
    <w:p>
      <w:pPr>
        <w:spacing w:after="0" w:line="183" w:lineRule="exact"/>
        <w:rPr>
          <w:sz w:val="20"/>
          <w:szCs w:val="20"/>
          <w:color w:val="auto"/>
        </w:rPr>
      </w:pPr>
    </w:p>
    <w:p>
      <w:pPr>
        <w:ind w:right="280" w:firstLine="648"/>
        <w:spacing w:after="0" w:line="260" w:lineRule="auto"/>
        <w:rPr>
          <w:sz w:val="20"/>
          <w:szCs w:val="20"/>
          <w:color w:val="auto"/>
        </w:rPr>
      </w:pPr>
      <w:r>
        <w:rPr>
          <w:rFonts w:ascii="Arial" w:cs="Arial" w:eastAsia="Arial" w:hAnsi="Arial"/>
          <w:sz w:val="20"/>
          <w:szCs w:val="20"/>
          <w:color w:val="auto"/>
        </w:rPr>
        <w:t>For the three months ended June 30, 2021 and 2020, no individual client represented 10% or more of the Company’s management and advisory fees.</w:t>
      </w:r>
    </w:p>
    <w:p>
      <w:pPr>
        <w:spacing w:after="0" w:line="177" w:lineRule="exact"/>
        <w:rPr>
          <w:sz w:val="20"/>
          <w:szCs w:val="20"/>
          <w:color w:val="auto"/>
        </w:rPr>
      </w:pPr>
    </w:p>
    <w:p>
      <w:pPr>
        <w:ind w:right="20" w:firstLine="648"/>
        <w:spacing w:after="0" w:line="246" w:lineRule="auto"/>
        <w:rPr>
          <w:sz w:val="20"/>
          <w:szCs w:val="20"/>
          <w:color w:val="auto"/>
        </w:rPr>
      </w:pPr>
      <w:r>
        <w:rPr>
          <w:rFonts w:ascii="Arial" w:cs="Arial" w:eastAsia="Arial" w:hAnsi="Arial"/>
          <w:sz w:val="20"/>
          <w:szCs w:val="20"/>
          <w:color w:val="auto"/>
        </w:rPr>
        <w:t>As of June 30, 2021 and March 31, 2021, the Company had $21.2 million and $13.9 million, respectively, of deferred revenues, which is included in accounts payable, accrued expenses and other liabilities in the condensed consolidated balance sheets. During the three months ended June 30, 2021, the Company had recognized $0.3 million as revenue from amounts included in the deferred revenue balance as of March 31, 2021.</w:t>
      </w:r>
    </w:p>
    <w:p>
      <w:pPr>
        <w:spacing w:after="0" w:line="185"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4.</w:t>
      </w:r>
      <w:r>
        <w:rPr>
          <w:sz w:val="20"/>
          <w:szCs w:val="20"/>
          <w:color w:val="auto"/>
        </w:rPr>
        <w:tab/>
      </w:r>
      <w:r>
        <w:rPr>
          <w:rFonts w:ascii="Arial" w:cs="Arial" w:eastAsia="Arial" w:hAnsi="Arial"/>
          <w:sz w:val="18"/>
          <w:szCs w:val="18"/>
          <w:b w:val="1"/>
          <w:bCs w:val="1"/>
          <w:color w:val="auto"/>
        </w:rPr>
        <w:t>Variable Interest Entities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Consolidated VIEs</w:t>
      </w:r>
    </w:p>
    <w:p>
      <w:pPr>
        <w:spacing w:after="0" w:line="222" w:lineRule="exact"/>
        <w:rPr>
          <w:sz w:val="20"/>
          <w:szCs w:val="20"/>
          <w:color w:val="auto"/>
        </w:rPr>
      </w:pPr>
    </w:p>
    <w:p>
      <w:pPr>
        <w:ind w:right="40" w:firstLine="648"/>
        <w:spacing w:after="0" w:line="242" w:lineRule="auto"/>
        <w:rPr>
          <w:sz w:val="20"/>
          <w:szCs w:val="20"/>
          <w:color w:val="auto"/>
        </w:rPr>
      </w:pPr>
      <w:r>
        <w:rPr>
          <w:rFonts w:ascii="Arial" w:cs="Arial" w:eastAsia="Arial" w:hAnsi="Arial"/>
          <w:sz w:val="20"/>
          <w:szCs w:val="20"/>
          <w:color w:val="auto"/>
        </w:rPr>
        <w:t>The Company consolidates certain VIEs for which it is the primary beneficiary. VIEs consist of certain operating entities not wholly-owned by the Company and include Swiss Capital, SRA and SRE. See note 2 for more information on the Company’s accounting policies related to the consolidation of VIEs. The assets of the consolidated VIEs totaled $91.0 million and $65.3 million as of June 30, 2021 and March 31, 2021, respectively. The liabilities of the consolidated VIEs totaled $51.6 million and $26.9 million as of June 30, 2021 and March 31, 2021, respectively. The assets of the consolidated VIEs may only be used to settle obligations of the same VIE. In addition, there is no recourse to the Company for the consolidated VIEs’ liabilities, except for certain entities in which there could be a clawback of previously distributed carried interest. As of June 30, 2021, no material amounts previously distributed have been accrued for clawback liabilities.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Unconsolidated VIEs</w:t>
      </w:r>
    </w:p>
    <w:p>
      <w:pPr>
        <w:spacing w:after="0" w:line="222"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The Company holds variable interests in the form of direct equity interests in certain VIEs that are not consolidated because the Company is not the primary beneficiary. The Company’s maximum exposure to loss is limited to the potential loss of assets recognized by the Company relating to these unconsolidated entities. The carrying value of the assets and liabilities recognized in the condensed consolidated balance sheets with respect to the Company’s interests in VIEs that were not consolidated is set forth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w w:val="84"/>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8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4"/>
              </w:rPr>
              <w:t>June 30, 2021</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4"/>
              </w:rPr>
              <w:t>March 31, 2021</w:t>
            </w:r>
          </w:p>
        </w:tc>
      </w:tr>
      <w:tr>
        <w:trPr>
          <w:trHeight w:val="226"/>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funds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82,894</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74,379</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Due from affiliates, net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3,907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4,218</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Amounts attributable to non-controlling interests in subsidiaries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7,441</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7,488</w:t>
            </w: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Maximum exposure to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79,360</w:t>
            </w:r>
          </w:p>
        </w:tc>
        <w:tc>
          <w:tcPr>
            <w:tcW w:w="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71,109</w:t>
            </w:r>
          </w:p>
        </w:tc>
      </w:tr>
      <w:tr>
        <w:trPr>
          <w:trHeight w:val="20"/>
        </w:trPr>
        <w:tc>
          <w:tcPr>
            <w:tcW w:w="8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5.</w:t>
      </w:r>
      <w:r>
        <w:rPr>
          <w:sz w:val="20"/>
          <w:szCs w:val="20"/>
          <w:color w:val="auto"/>
        </w:rPr>
        <w:tab/>
      </w:r>
      <w:r>
        <w:rPr>
          <w:rFonts w:ascii="Arial" w:cs="Arial" w:eastAsia="Arial" w:hAnsi="Arial"/>
          <w:sz w:val="16"/>
          <w:szCs w:val="16"/>
          <w:b w:val="1"/>
          <w:bCs w:val="1"/>
          <w:color w:val="auto"/>
        </w:rPr>
        <w:t>Investments</w:t>
      </w:r>
    </w:p>
    <w:p>
      <w:pPr>
        <w:spacing w:after="0" w:line="222" w:lineRule="exact"/>
        <w:rPr>
          <w:sz w:val="20"/>
          <w:szCs w:val="20"/>
          <w:color w:val="auto"/>
        </w:rPr>
      </w:pPr>
    </w:p>
    <w:p>
      <w:pPr>
        <w:ind w:right="80" w:firstLine="648"/>
        <w:spacing w:after="0" w:line="263" w:lineRule="auto"/>
        <w:rPr>
          <w:sz w:val="20"/>
          <w:szCs w:val="20"/>
          <w:color w:val="auto"/>
        </w:rPr>
      </w:pPr>
      <w:r>
        <w:rPr>
          <w:rFonts w:ascii="Arial" w:cs="Arial" w:eastAsia="Arial" w:hAnsi="Arial"/>
          <w:sz w:val="19"/>
          <w:szCs w:val="19"/>
          <w:color w:val="auto"/>
        </w:rPr>
        <w:t>The Company’s investments consist of equity method investments primarily related to investments in the StepStone Funds for which it serves as general partner or managing member but does not have a controlling financial interest. The Company’s equity interest typically does not exceed 1% in each fund. The Company’s share of the underlying net income or loss attributable to its equity interest in the funds is recorded in investment income in the condensed consolidated statements of income.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Company’s equity method investments consist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w w:val="84"/>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8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4"/>
              </w:rPr>
              <w:t>June 30, 2021</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4"/>
              </w:rPr>
              <w:t>March 31, 2021</w:t>
            </w:r>
          </w:p>
        </w:tc>
      </w:tr>
      <w:tr>
        <w:trPr>
          <w:trHeight w:val="226"/>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funds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82,894</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74,379</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carried interest allocations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1,072,673</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896,523</w:t>
            </w:r>
          </w:p>
        </w:tc>
      </w:tr>
      <w:tr>
        <w:trPr>
          <w:trHeight w:val="248"/>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investments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1,155,567</w:t>
            </w: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970,902</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ind w:right="200" w:firstLine="648"/>
        <w:spacing w:after="0" w:line="276" w:lineRule="auto"/>
        <w:rPr>
          <w:sz w:val="20"/>
          <w:szCs w:val="20"/>
          <w:color w:val="auto"/>
        </w:rPr>
      </w:pPr>
      <w:r>
        <w:rPr>
          <w:rFonts w:ascii="Arial" w:cs="Arial" w:eastAsia="Arial" w:hAnsi="Arial"/>
          <w:sz w:val="18"/>
          <w:szCs w:val="18"/>
          <w:color w:val="auto"/>
        </w:rPr>
        <w:t>The Company recognized equity method income (loss) of $232.8 million and $(131.7) million for the three months ended June 30, 2021 and 2020, respectively, of which $226.4 million and $(128.5) million, respectively, related to carried interest allocations. The increase in carried interest allocation for the three months ended June 30, 2021 was primarily attributable to unrealized appreciation in the fair value of the underlying investments in the Company’s private equity funds. The decrease in carried interest allocation for the three months ended June 30, 2020 was primarily attributable to unrealized depreciation in the fair value of certain underlying fund investments driven by the impact of COVID-19. See note 2 for a discussion of the Company’s accounting policy for investments on a three-month lag.</w:t>
      </w:r>
    </w:p>
    <w:p>
      <w:pPr>
        <w:spacing w:after="0" w:line="165" w:lineRule="exact"/>
        <w:rPr>
          <w:sz w:val="20"/>
          <w:szCs w:val="20"/>
          <w:color w:val="auto"/>
        </w:rPr>
      </w:pPr>
    </w:p>
    <w:p>
      <w:pPr>
        <w:ind w:right="280" w:firstLine="648"/>
        <w:spacing w:after="0" w:line="244" w:lineRule="auto"/>
        <w:rPr>
          <w:sz w:val="20"/>
          <w:szCs w:val="20"/>
          <w:color w:val="auto"/>
        </w:rPr>
      </w:pPr>
      <w:r>
        <w:rPr>
          <w:rFonts w:ascii="Arial" w:cs="Arial" w:eastAsia="Arial" w:hAnsi="Arial"/>
          <w:sz w:val="20"/>
          <w:szCs w:val="20"/>
          <w:color w:val="auto"/>
        </w:rPr>
        <w:t>As of June 30, 2021, the Company’s investments in three SMAs each individually represented 10% or more of the total accrued carried interest allocations balance, and in the aggregate represented approximately 35% of the total accrued carried interest allocations balance as of that date. As of March 31, 2021, the Company’s investments in two SMAs each individually represented 10% or more of the total accrued carried interest allocations balance, and in the aggregate represented approximately 26% of the total accrued carried interest allocations balance as of that date.</w:t>
      </w:r>
    </w:p>
    <w:p>
      <w:pPr>
        <w:spacing w:after="0" w:line="194" w:lineRule="exact"/>
        <w:rPr>
          <w:sz w:val="20"/>
          <w:szCs w:val="20"/>
          <w:color w:val="auto"/>
        </w:rPr>
      </w:pPr>
    </w:p>
    <w:p>
      <w:pPr>
        <w:ind w:right="360" w:firstLine="648"/>
        <w:spacing w:after="0" w:line="250" w:lineRule="auto"/>
        <w:rPr>
          <w:sz w:val="20"/>
          <w:szCs w:val="20"/>
          <w:color w:val="auto"/>
        </w:rPr>
      </w:pPr>
      <w:r>
        <w:rPr>
          <w:rFonts w:ascii="Arial" w:cs="Arial" w:eastAsia="Arial" w:hAnsi="Arial"/>
          <w:sz w:val="20"/>
          <w:szCs w:val="20"/>
          <w:color w:val="auto"/>
        </w:rPr>
        <w:t>Of the total accrued carried interest allocations balance as of June 30, 2021 and March 31, 2021, respectively, $562.5 million and $465.6 million were payable to affiliates and is included in accrued carried interest-related compensation in the condensed consolidated balance sheets.</w:t>
      </w:r>
    </w:p>
    <w:p>
      <w:pPr>
        <w:spacing w:after="0" w:line="186" w:lineRule="exact"/>
        <w:rPr>
          <w:sz w:val="20"/>
          <w:szCs w:val="20"/>
          <w:color w:val="auto"/>
        </w:rPr>
      </w:pPr>
    </w:p>
    <w:p>
      <w:pPr>
        <w:ind w:right="140" w:firstLine="648"/>
        <w:spacing w:after="0" w:line="246" w:lineRule="auto"/>
        <w:rPr>
          <w:sz w:val="20"/>
          <w:szCs w:val="20"/>
          <w:color w:val="auto"/>
        </w:rPr>
      </w:pPr>
      <w:r>
        <w:rPr>
          <w:rFonts w:ascii="Arial" w:cs="Arial" w:eastAsia="Arial" w:hAnsi="Arial"/>
          <w:sz w:val="20"/>
          <w:szCs w:val="20"/>
          <w:color w:val="auto"/>
        </w:rPr>
        <w:t>The Company evaluates each of its equity method investments to determine if any are considered significant as defined by the SEC. As of June 30, 2021 and March 31, 2021 and for the three months ended June 30, 2021 and 2020, no individual equity method investment held by the Company met the significance criteria. As a result, the Company is not required to provide separate financial statements for any of its equity method investments.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6.</w:t>
      </w:r>
      <w:r>
        <w:rPr>
          <w:sz w:val="20"/>
          <w:szCs w:val="20"/>
          <w:color w:val="auto"/>
        </w:rPr>
        <w:tab/>
      </w:r>
      <w:r>
        <w:rPr>
          <w:rFonts w:ascii="Arial" w:cs="Arial" w:eastAsia="Arial" w:hAnsi="Arial"/>
          <w:sz w:val="18"/>
          <w:szCs w:val="18"/>
          <w:b w:val="1"/>
          <w:bCs w:val="1"/>
          <w:color w:val="auto"/>
        </w:rPr>
        <w:t>Fair Value Measurements</w:t>
      </w:r>
    </w:p>
    <w:p>
      <w:pPr>
        <w:spacing w:after="0" w:line="222" w:lineRule="exact"/>
        <w:rPr>
          <w:sz w:val="20"/>
          <w:szCs w:val="20"/>
          <w:color w:val="auto"/>
        </w:rPr>
      </w:pPr>
    </w:p>
    <w:p>
      <w:pPr>
        <w:ind w:right="640" w:firstLine="648"/>
        <w:spacing w:after="0" w:line="260" w:lineRule="auto"/>
        <w:rPr>
          <w:sz w:val="20"/>
          <w:szCs w:val="20"/>
          <w:color w:val="auto"/>
        </w:rPr>
      </w:pPr>
      <w:r>
        <w:rPr>
          <w:rFonts w:ascii="Arial" w:cs="Arial" w:eastAsia="Arial" w:hAnsi="Arial"/>
          <w:sz w:val="20"/>
          <w:szCs w:val="20"/>
          <w:color w:val="auto"/>
        </w:rPr>
        <w:t>The Company measures certain liabilities at fair value on a recurring basis. The following tables provide details regarding the classification of these liabilities within the fair value hierarchy as of the dates presented: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5"/>
          </w:tcPr>
          <w:p>
            <w:pPr>
              <w:ind w:left="460"/>
              <w:spacing w:after="0"/>
              <w:rPr>
                <w:sz w:val="20"/>
                <w:szCs w:val="20"/>
                <w:color w:val="auto"/>
              </w:rPr>
            </w:pPr>
            <w:r>
              <w:rPr>
                <w:rFonts w:ascii="Arial" w:cs="Arial" w:eastAsia="Arial" w:hAnsi="Arial"/>
                <w:sz w:val="16"/>
                <w:szCs w:val="16"/>
                <w:b w:val="1"/>
                <w:bCs w:val="1"/>
                <w:color w:val="auto"/>
              </w:rPr>
              <w:t>As of June 30, 2021</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0"/>
        </w:trPr>
        <w:tc>
          <w:tcPr>
            <w:tcW w:w="5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I</w:t>
            </w:r>
          </w:p>
        </w:tc>
        <w:tc>
          <w:tcPr>
            <w:tcW w:w="22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II</w:t>
            </w:r>
          </w:p>
        </w:tc>
        <w:tc>
          <w:tcPr>
            <w:tcW w:w="20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III</w:t>
            </w:r>
          </w:p>
        </w:tc>
        <w:tc>
          <w:tcPr>
            <w:tcW w:w="260" w:type="dxa"/>
            <w:vAlign w:val="bottom"/>
          </w:tcPr>
          <w:p>
            <w:pPr>
              <w:spacing w:after="0"/>
              <w:rPr>
                <w:sz w:val="18"/>
                <w:szCs w:val="18"/>
                <w:color w:val="auto"/>
              </w:rPr>
            </w:pPr>
          </w:p>
        </w:tc>
        <w:tc>
          <w:tcPr>
            <w:tcW w:w="940" w:type="dxa"/>
            <w:vAlign w:val="bottom"/>
          </w:tcPr>
          <w:p>
            <w:pPr>
              <w:jc w:val="right"/>
              <w:ind w:right="333"/>
              <w:spacing w:after="0"/>
              <w:rPr>
                <w:sz w:val="20"/>
                <w:szCs w:val="20"/>
                <w:color w:val="auto"/>
              </w:rPr>
            </w:pPr>
            <w:r>
              <w:rPr>
                <w:rFonts w:ascii="Arial" w:cs="Arial" w:eastAsia="Arial" w:hAnsi="Arial"/>
                <w:sz w:val="16"/>
                <w:szCs w:val="16"/>
                <w:b w:val="1"/>
                <w:bCs w:val="1"/>
                <w:color w:val="auto"/>
              </w:rPr>
              <w:t>Total</w:t>
            </w:r>
          </w:p>
        </w:tc>
      </w:tr>
      <w:tr>
        <w:trPr>
          <w:trHeight w:val="212"/>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30"/>
        </w:trPr>
        <w:tc>
          <w:tcPr>
            <w:tcW w:w="5720" w:type="dxa"/>
            <w:vAlign w:val="bottom"/>
          </w:tcPr>
          <w:p>
            <w:pPr>
              <w:ind w:left="400"/>
              <w:spacing w:after="0"/>
              <w:rPr>
                <w:sz w:val="20"/>
                <w:szCs w:val="20"/>
                <w:color w:val="auto"/>
              </w:rPr>
            </w:pPr>
            <w:r>
              <w:rPr>
                <w:rFonts w:ascii="Arial" w:cs="Arial" w:eastAsia="Arial" w:hAnsi="Arial"/>
                <w:sz w:val="18"/>
                <w:szCs w:val="18"/>
                <w:color w:val="auto"/>
              </w:rPr>
              <w:t>Contingent consideration obligation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1,306</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1,306</w:t>
            </w:r>
          </w:p>
        </w:tc>
      </w:tr>
      <w:tr>
        <w:trPr>
          <w:trHeight w:val="248"/>
        </w:trPr>
        <w:tc>
          <w:tcPr>
            <w:tcW w:w="5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5"/>
          </w:tcPr>
          <w:p>
            <w:pPr>
              <w:ind w:left="380"/>
              <w:spacing w:after="0"/>
              <w:rPr>
                <w:sz w:val="20"/>
                <w:szCs w:val="20"/>
                <w:color w:val="auto"/>
              </w:rPr>
            </w:pPr>
            <w:r>
              <w:rPr>
                <w:rFonts w:ascii="Arial" w:cs="Arial" w:eastAsia="Arial" w:hAnsi="Arial"/>
                <w:sz w:val="16"/>
                <w:szCs w:val="16"/>
                <w:b w:val="1"/>
                <w:bCs w:val="1"/>
                <w:color w:val="auto"/>
              </w:rPr>
              <w:t>As of March 31, 2021</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0"/>
        </w:trPr>
        <w:tc>
          <w:tcPr>
            <w:tcW w:w="5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I</w:t>
            </w:r>
          </w:p>
        </w:tc>
        <w:tc>
          <w:tcPr>
            <w:tcW w:w="22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II</w:t>
            </w:r>
          </w:p>
        </w:tc>
        <w:tc>
          <w:tcPr>
            <w:tcW w:w="20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III</w:t>
            </w:r>
          </w:p>
        </w:tc>
        <w:tc>
          <w:tcPr>
            <w:tcW w:w="260" w:type="dxa"/>
            <w:vAlign w:val="bottom"/>
          </w:tcPr>
          <w:p>
            <w:pPr>
              <w:spacing w:after="0"/>
              <w:rPr>
                <w:sz w:val="18"/>
                <w:szCs w:val="18"/>
                <w:color w:val="auto"/>
              </w:rPr>
            </w:pPr>
          </w:p>
        </w:tc>
        <w:tc>
          <w:tcPr>
            <w:tcW w:w="940" w:type="dxa"/>
            <w:vAlign w:val="bottom"/>
          </w:tcPr>
          <w:p>
            <w:pPr>
              <w:jc w:val="right"/>
              <w:ind w:right="333"/>
              <w:spacing w:after="0"/>
              <w:rPr>
                <w:sz w:val="20"/>
                <w:szCs w:val="20"/>
                <w:color w:val="auto"/>
              </w:rPr>
            </w:pPr>
            <w:r>
              <w:rPr>
                <w:rFonts w:ascii="Arial" w:cs="Arial" w:eastAsia="Arial" w:hAnsi="Arial"/>
                <w:sz w:val="16"/>
                <w:szCs w:val="16"/>
                <w:b w:val="1"/>
                <w:bCs w:val="1"/>
                <w:color w:val="auto"/>
              </w:rPr>
              <w:t>Total</w:t>
            </w:r>
          </w:p>
        </w:tc>
      </w:tr>
      <w:tr>
        <w:trPr>
          <w:trHeight w:val="212"/>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30"/>
        </w:trPr>
        <w:tc>
          <w:tcPr>
            <w:tcW w:w="5720" w:type="dxa"/>
            <w:vAlign w:val="bottom"/>
          </w:tcPr>
          <w:p>
            <w:pPr>
              <w:ind w:left="400"/>
              <w:spacing w:after="0"/>
              <w:rPr>
                <w:sz w:val="20"/>
                <w:szCs w:val="20"/>
                <w:color w:val="auto"/>
              </w:rPr>
            </w:pPr>
            <w:r>
              <w:rPr>
                <w:rFonts w:ascii="Arial" w:cs="Arial" w:eastAsia="Arial" w:hAnsi="Arial"/>
                <w:sz w:val="18"/>
                <w:szCs w:val="18"/>
                <w:color w:val="auto"/>
              </w:rPr>
              <w:t>Contingent consideration obligation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1,541</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1,541</w:t>
            </w:r>
          </w:p>
        </w:tc>
      </w:tr>
      <w:tr>
        <w:trPr>
          <w:trHeight w:val="248"/>
        </w:trPr>
        <w:tc>
          <w:tcPr>
            <w:tcW w:w="5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260" w:firstLine="648"/>
        <w:spacing w:after="0" w:line="260" w:lineRule="auto"/>
        <w:rPr>
          <w:sz w:val="20"/>
          <w:szCs w:val="20"/>
          <w:color w:val="auto"/>
        </w:rPr>
      </w:pPr>
      <w:r>
        <w:rPr>
          <w:rFonts w:ascii="Arial" w:cs="Arial" w:eastAsia="Arial" w:hAnsi="Arial"/>
          <w:sz w:val="20"/>
          <w:szCs w:val="20"/>
          <w:color w:val="auto"/>
        </w:rPr>
        <w:t>For the liabilities presented in the tables above, there were no changes in fair value hierarchy levels during the three months ended June 30, 2021 and 2020.</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changes in the fair value of Level III financial instruments are set forth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231"/>
              <w:spacing w:after="0"/>
              <w:rPr>
                <w:sz w:val="20"/>
                <w:szCs w:val="20"/>
                <w:color w:val="auto"/>
              </w:rPr>
            </w:pPr>
            <w:r>
              <w:rPr>
                <w:rFonts w:ascii="Arial" w:cs="Arial" w:eastAsia="Arial" w:hAnsi="Arial"/>
                <w:sz w:val="16"/>
                <w:szCs w:val="16"/>
                <w:b w:val="1"/>
                <w:bCs w:val="1"/>
                <w:color w:val="auto"/>
                <w:w w:val="96"/>
              </w:rPr>
              <w:t>Three Months Ended June 30,</w:t>
            </w:r>
          </w:p>
        </w:tc>
      </w:tr>
      <w:tr>
        <w:trPr>
          <w:trHeight w:val="210"/>
        </w:trPr>
        <w:tc>
          <w:tcPr>
            <w:tcW w:w="85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2020</w:t>
            </w:r>
          </w:p>
        </w:tc>
      </w:tr>
      <w:tr>
        <w:trPr>
          <w:trHeight w:val="212"/>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Contingent Consideration Liability</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852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1,541</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1,035</w:t>
            </w:r>
          </w:p>
        </w:tc>
      </w:tr>
      <w:tr>
        <w:trPr>
          <w:trHeight w:val="230"/>
        </w:trPr>
        <w:tc>
          <w:tcPr>
            <w:tcW w:w="8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Additions</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20" w:type="dxa"/>
            <w:vAlign w:val="bottom"/>
          </w:tcPr>
          <w:p>
            <w:pPr>
              <w:ind w:left="400"/>
              <w:spacing w:after="0"/>
              <w:rPr>
                <w:sz w:val="20"/>
                <w:szCs w:val="20"/>
                <w:color w:val="auto"/>
              </w:rPr>
            </w:pPr>
            <w:r>
              <w:rPr>
                <w:rFonts w:ascii="Arial" w:cs="Arial" w:eastAsia="Arial" w:hAnsi="Arial"/>
                <w:sz w:val="18"/>
                <w:szCs w:val="18"/>
                <w:color w:val="auto"/>
              </w:rPr>
              <w:t>(Gain) loss on change in fair value</w:t>
            </w:r>
          </w:p>
        </w:tc>
        <w:tc>
          <w:tcPr>
            <w:tcW w:w="20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Settlements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23"/>
        </w:trPr>
        <w:tc>
          <w:tcPr>
            <w:tcW w:w="852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8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8520" w:type="dxa"/>
            <w:vAlign w:val="bottom"/>
          </w:tcPr>
          <w:p>
            <w:pPr>
              <w:ind w:left="20"/>
              <w:spacing w:after="0"/>
              <w:rPr>
                <w:sz w:val="20"/>
                <w:szCs w:val="20"/>
                <w:color w:val="auto"/>
              </w:rPr>
            </w:pPr>
            <w:r>
              <w:rPr>
                <w:rFonts w:ascii="Arial" w:cs="Arial" w:eastAsia="Arial" w:hAnsi="Arial"/>
                <w:sz w:val="18"/>
                <w:szCs w:val="18"/>
                <w:color w:val="auto"/>
                <w:w w:val="92"/>
              </w:rPr>
              <w:t>Changes in unrealized (gains) losses included in earnings related to financial liabilities still held at the reporting date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200" w:firstLine="648"/>
        <w:spacing w:after="0" w:line="274" w:lineRule="auto"/>
        <w:rPr>
          <w:sz w:val="20"/>
          <w:szCs w:val="20"/>
          <w:color w:val="auto"/>
        </w:rPr>
      </w:pPr>
      <w:r>
        <w:rPr>
          <w:rFonts w:ascii="Arial" w:cs="Arial" w:eastAsia="Arial" w:hAnsi="Arial"/>
          <w:sz w:val="18"/>
          <w:szCs w:val="18"/>
          <w:color w:val="auto"/>
        </w:rPr>
        <w:t>The fair value of the contingent consideration liability is based on a discounted cash flow analysis using a probability-weighted average estimate of certain performance targets, including revenue levels. The assumptions used in the analysis are inherently subjective; therefore, the ultimate amount of the contingent consideration liability may differ materially from the current estimate. The significant unobservable inputs required to value the contingent consideration liability primarily relate to the discount rates applied to the expected future payments of obligations, which ranged from 8.0% to 10.4% as of June 30, 2021. The contingent consideration liability is included in accounts payable, accrued expenses and other liabilities in the condensed consolidated balance sheets. Changes in the fair value of the liability are included in general, administrative and other expenses in the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7.</w:t>
      </w:r>
      <w:r>
        <w:rPr>
          <w:sz w:val="20"/>
          <w:szCs w:val="20"/>
          <w:color w:val="auto"/>
        </w:rPr>
        <w:tab/>
      </w:r>
      <w:r>
        <w:rPr>
          <w:rFonts w:ascii="Arial" w:cs="Arial" w:eastAsia="Arial" w:hAnsi="Arial"/>
          <w:sz w:val="16"/>
          <w:szCs w:val="16"/>
          <w:b w:val="1"/>
          <w:bCs w:val="1"/>
          <w:color w:val="auto"/>
        </w:rPr>
        <w:t>Intangibles and Goodwill</w:t>
      </w:r>
    </w:p>
    <w:p>
      <w:pPr>
        <w:spacing w:after="0" w:line="222" w:lineRule="exact"/>
        <w:rPr>
          <w:sz w:val="20"/>
          <w:szCs w:val="20"/>
          <w:color w:val="auto"/>
        </w:rPr>
      </w:pPr>
    </w:p>
    <w:p>
      <w:pPr>
        <w:ind w:right="160" w:firstLine="648"/>
        <w:spacing w:after="0" w:line="260" w:lineRule="auto"/>
        <w:rPr>
          <w:sz w:val="20"/>
          <w:szCs w:val="20"/>
          <w:color w:val="auto"/>
        </w:rPr>
      </w:pPr>
      <w:r>
        <w:rPr>
          <w:rFonts w:ascii="Arial" w:cs="Arial" w:eastAsia="Arial" w:hAnsi="Arial"/>
          <w:sz w:val="20"/>
          <w:szCs w:val="20"/>
          <w:color w:val="auto"/>
        </w:rPr>
        <w:t>Intangible assets primarily consist of certain management contracts providing economic rights to management and advisory fees, as obtained through the Company’s acquisitions of other businesses.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Intangible assets, net consists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8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2021</w:t>
            </w:r>
          </w:p>
        </w:tc>
        <w:tc>
          <w:tcPr>
            <w:tcW w:w="160" w:type="dxa"/>
            <w:vAlign w:val="bottom"/>
          </w:tcPr>
          <w:p>
            <w:pPr>
              <w:spacing w:after="0"/>
              <w:rPr>
                <w:sz w:val="18"/>
                <w:szCs w:val="18"/>
                <w:color w:val="auto"/>
              </w:rPr>
            </w:pPr>
          </w:p>
        </w:tc>
        <w:tc>
          <w:tcPr>
            <w:tcW w:w="1280" w:type="dxa"/>
            <w:vAlign w:val="bottom"/>
          </w:tcPr>
          <w:p>
            <w:pPr>
              <w:jc w:val="right"/>
              <w:ind w:right="92"/>
              <w:spacing w:after="0"/>
              <w:rPr>
                <w:sz w:val="20"/>
                <w:szCs w:val="20"/>
                <w:color w:val="auto"/>
              </w:rPr>
            </w:pPr>
            <w:r>
              <w:rPr>
                <w:rFonts w:ascii="Arial" w:cs="Arial" w:eastAsia="Arial" w:hAnsi="Arial"/>
                <w:sz w:val="16"/>
                <w:szCs w:val="16"/>
                <w:b w:val="1"/>
                <w:bCs w:val="1"/>
                <w:color w:val="auto"/>
                <w:w w:val="94"/>
              </w:rPr>
              <w:t>March 31, 2021</w:t>
            </w:r>
          </w:p>
        </w:tc>
      </w:tr>
      <w:tr>
        <w:trPr>
          <w:trHeight w:val="226"/>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Management contracts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41,058</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41,058</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(36,188)</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(35,567)</w:t>
            </w:r>
          </w:p>
        </w:tc>
      </w:tr>
      <w:tr>
        <w:trPr>
          <w:trHeight w:val="248"/>
        </w:trPr>
        <w:tc>
          <w:tcPr>
            <w:tcW w:w="81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Intangible assets,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5,491</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right="320" w:firstLine="648"/>
        <w:spacing w:after="0" w:line="250" w:lineRule="auto"/>
        <w:rPr>
          <w:sz w:val="20"/>
          <w:szCs w:val="20"/>
          <w:color w:val="auto"/>
        </w:rPr>
      </w:pPr>
      <w:r>
        <w:rPr>
          <w:rFonts w:ascii="Arial" w:cs="Arial" w:eastAsia="Arial" w:hAnsi="Arial"/>
          <w:sz w:val="20"/>
          <w:szCs w:val="20"/>
          <w:color w:val="auto"/>
        </w:rPr>
        <w:t>Amortization expense related to intangible assets was $0.6 million and $0.8 million for the three months ended June 30, 2021 and 2020, respectively. These amounts are included in general, administrative and other expenses in the condensed consolidated statements of income.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At June 30, 2021, the expected future amortization of finite-lived intangible assets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FY2022</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FY2023</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1,768</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FY2024</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FY2025</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FY2026</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48"/>
        </w:trPr>
        <w:tc>
          <w:tcPr>
            <w:tcW w:w="98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4,870</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300" w:firstLine="648"/>
        <w:spacing w:after="0" w:line="260" w:lineRule="auto"/>
        <w:rPr>
          <w:sz w:val="20"/>
          <w:szCs w:val="20"/>
          <w:color w:val="auto"/>
        </w:rPr>
      </w:pPr>
      <w:r>
        <w:rPr>
          <w:rFonts w:ascii="Arial" w:cs="Arial" w:eastAsia="Arial" w:hAnsi="Arial"/>
          <w:sz w:val="20"/>
          <w:szCs w:val="20"/>
          <w:color w:val="auto"/>
        </w:rPr>
        <w:t>The carrying value of goodwill was $6.8 million as of June 30, 2021 and March 31, 2021. The Company determined there was no indication of goodwill impairment as of June 30, 2021 and March 31, 2021.</w:t>
      </w:r>
    </w:p>
    <w:p>
      <w:pPr>
        <w:spacing w:after="0" w:line="171"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8.</w:t>
      </w:r>
      <w:r>
        <w:rPr>
          <w:sz w:val="20"/>
          <w:szCs w:val="20"/>
          <w:color w:val="auto"/>
        </w:rPr>
        <w:tab/>
      </w:r>
      <w:r>
        <w:rPr>
          <w:rFonts w:ascii="Arial" w:cs="Arial" w:eastAsia="Arial" w:hAnsi="Arial"/>
          <w:sz w:val="16"/>
          <w:szCs w:val="16"/>
          <w:b w:val="1"/>
          <w:bCs w:val="1"/>
          <w:color w:val="auto"/>
        </w:rPr>
        <w:t>Equity-Based Compensation</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change in unvested RSUs is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2220" w:type="dxa"/>
            <w:vAlign w:val="bottom"/>
            <w:gridSpan w:val="2"/>
            <w:vMerge w:val="restart"/>
          </w:tcPr>
          <w:p>
            <w:pPr>
              <w:ind w:left="460"/>
              <w:spacing w:after="0"/>
              <w:rPr>
                <w:sz w:val="20"/>
                <w:szCs w:val="20"/>
                <w:color w:val="auto"/>
              </w:rPr>
            </w:pPr>
            <w:r>
              <w:rPr>
                <w:rFonts w:ascii="Arial" w:cs="Arial" w:eastAsia="Arial" w:hAnsi="Arial"/>
                <w:sz w:val="16"/>
                <w:szCs w:val="16"/>
                <w:b w:val="1"/>
                <w:bCs w:val="1"/>
                <w:color w:val="auto"/>
              </w:rPr>
              <w:t>Number of RSUs</w:t>
            </w:r>
          </w:p>
        </w:tc>
        <w:tc>
          <w:tcPr>
            <w:tcW w:w="140" w:type="dxa"/>
            <w:vAlign w:val="bottom"/>
          </w:tcPr>
          <w:p>
            <w:pPr>
              <w:spacing w:after="0"/>
              <w:rPr>
                <w:sz w:val="16"/>
                <w:szCs w:val="16"/>
                <w:color w:val="auto"/>
              </w:rPr>
            </w:pPr>
          </w:p>
        </w:tc>
        <w:tc>
          <w:tcPr>
            <w:tcW w:w="1960" w:type="dxa"/>
            <w:vAlign w:val="bottom"/>
          </w:tcPr>
          <w:p>
            <w:pPr>
              <w:jc w:val="right"/>
              <w:ind w:right="73"/>
              <w:spacing w:after="0"/>
              <w:rPr>
                <w:sz w:val="20"/>
                <w:szCs w:val="20"/>
                <w:color w:val="auto"/>
              </w:rPr>
            </w:pPr>
            <w:r>
              <w:rPr>
                <w:rFonts w:ascii="Arial" w:cs="Arial" w:eastAsia="Arial" w:hAnsi="Arial"/>
                <w:sz w:val="16"/>
                <w:szCs w:val="16"/>
                <w:b w:val="1"/>
                <w:bCs w:val="1"/>
                <w:color w:val="auto"/>
                <w:w w:val="92"/>
              </w:rPr>
              <w:t>Weighted-Average Grant-</w:t>
            </w:r>
          </w:p>
        </w:tc>
        <w:tc>
          <w:tcPr>
            <w:tcW w:w="0" w:type="dxa"/>
            <w:vAlign w:val="bottom"/>
          </w:tcPr>
          <w:p>
            <w:pPr>
              <w:spacing w:after="0"/>
              <w:rPr>
                <w:sz w:val="1"/>
                <w:szCs w:val="1"/>
                <w:color w:val="auto"/>
              </w:rPr>
            </w:pPr>
          </w:p>
        </w:tc>
      </w:tr>
      <w:tr>
        <w:trPr>
          <w:trHeight w:val="213"/>
        </w:trPr>
        <w:tc>
          <w:tcPr>
            <w:tcW w:w="6920" w:type="dxa"/>
            <w:vAlign w:val="bottom"/>
          </w:tcPr>
          <w:p>
            <w:pPr>
              <w:spacing w:after="0"/>
              <w:rPr>
                <w:sz w:val="18"/>
                <w:szCs w:val="18"/>
                <w:color w:val="auto"/>
              </w:rPr>
            </w:pPr>
          </w:p>
        </w:tc>
        <w:tc>
          <w:tcPr>
            <w:tcW w:w="2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jc w:val="right"/>
              <w:ind w:right="93"/>
              <w:spacing w:after="0"/>
              <w:rPr>
                <w:sz w:val="20"/>
                <w:szCs w:val="20"/>
                <w:color w:val="auto"/>
              </w:rPr>
            </w:pPr>
            <w:r>
              <w:rPr>
                <w:rFonts w:ascii="Arial" w:cs="Arial" w:eastAsia="Arial" w:hAnsi="Arial"/>
                <w:sz w:val="16"/>
                <w:szCs w:val="16"/>
                <w:b w:val="1"/>
                <w:bCs w:val="1"/>
                <w:color w:val="auto"/>
                <w:w w:val="95"/>
              </w:rPr>
              <w:t>Date Fair Value Per RSU</w:t>
            </w:r>
          </w:p>
        </w:tc>
        <w:tc>
          <w:tcPr>
            <w:tcW w:w="0" w:type="dxa"/>
            <w:vAlign w:val="bottom"/>
          </w:tcPr>
          <w:p>
            <w:pPr>
              <w:spacing w:after="0"/>
              <w:rPr>
                <w:sz w:val="1"/>
                <w:szCs w:val="1"/>
                <w:color w:val="auto"/>
              </w:rPr>
            </w:pPr>
          </w:p>
        </w:tc>
      </w:tr>
      <w:tr>
        <w:trPr>
          <w:trHeight w:val="226"/>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2021</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2,549,861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29"/>
        </w:trPr>
        <w:tc>
          <w:tcPr>
            <w:tcW w:w="6920" w:type="dxa"/>
            <w:vAlign w:val="bottom"/>
          </w:tcPr>
          <w:p>
            <w:pPr>
              <w:ind w:left="360"/>
              <w:spacing w:after="0"/>
              <w:rPr>
                <w:sz w:val="20"/>
                <w:szCs w:val="20"/>
                <w:color w:val="auto"/>
              </w:rPr>
            </w:pPr>
            <w:r>
              <w:rPr>
                <w:rFonts w:ascii="Arial" w:cs="Arial" w:eastAsia="Arial" w:hAnsi="Arial"/>
                <w:sz w:val="18"/>
                <w:szCs w:val="18"/>
                <w:color w:val="auto"/>
              </w:rPr>
              <w:t>Granted</w:t>
            </w:r>
          </w:p>
        </w:tc>
        <w:tc>
          <w:tcPr>
            <w:tcW w:w="2100" w:type="dxa"/>
            <w:vAlign w:val="bottom"/>
          </w:tcPr>
          <w:p>
            <w:pPr>
              <w:jc w:val="right"/>
              <w:spacing w:after="0"/>
              <w:rPr>
                <w:sz w:val="20"/>
                <w:szCs w:val="20"/>
                <w:color w:val="auto"/>
              </w:rPr>
            </w:pPr>
            <w:r>
              <w:rPr>
                <w:rFonts w:ascii="Arial" w:cs="Arial" w:eastAsia="Arial" w:hAnsi="Arial"/>
                <w:sz w:val="18"/>
                <w:szCs w:val="18"/>
                <w:color w:val="auto"/>
              </w:rPr>
              <w:t>1,746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35.78</w:t>
            </w: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2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48"/>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2021</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2,538,912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Unvested Partnership Units</w:t>
      </w:r>
    </w:p>
    <w:p>
      <w:pPr>
        <w:spacing w:after="0" w:line="222" w:lineRule="exact"/>
        <w:rPr>
          <w:sz w:val="20"/>
          <w:szCs w:val="20"/>
          <w:color w:val="auto"/>
        </w:rPr>
      </w:pPr>
    </w:p>
    <w:p>
      <w:pPr>
        <w:jc w:val="both"/>
        <w:ind w:right="200" w:firstLine="648"/>
        <w:spacing w:after="0" w:line="269" w:lineRule="auto"/>
        <w:rPr>
          <w:sz w:val="20"/>
          <w:szCs w:val="20"/>
          <w:color w:val="auto"/>
        </w:rPr>
      </w:pPr>
      <w:r>
        <w:rPr>
          <w:rFonts w:ascii="Arial" w:cs="Arial" w:eastAsia="Arial" w:hAnsi="Arial"/>
          <w:sz w:val="19"/>
          <w:szCs w:val="19"/>
          <w:color w:val="auto"/>
        </w:rPr>
        <w:t>All of the Class B2 units will automatically convert into Class B units upon final vesting in 2024 and unitholders will be entitled to purchase from the Company one share of Class B common stock for each Class B unit at its par value. Prior to vesting, holders of Class B2 units do not have the right to receive any distributions from the Partnership, other than tax-related distributions.</w:t>
      </w:r>
    </w:p>
    <w:p>
      <w:pPr>
        <w:sectPr>
          <w:pgSz w:w="11900" w:h="16838" w:orient="portrait"/>
          <w:cols w:equalWidth="0" w:num="1">
            <w:col w:w="11240"/>
          </w:cols>
          <w:pgMar w:left="320" w:top="4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type w:val="continuous"/>
        </w:sectPr>
      </w:pPr>
    </w:p>
    <w:bookmarkStart w:id="27" w:name="page28"/>
    <w:bookmarkEnd w:id="27"/>
    <w:p>
      <w:pPr>
        <w:jc w:val="center"/>
        <w:ind w:right="-3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right="80" w:firstLine="648"/>
        <w:spacing w:after="0" w:line="316" w:lineRule="auto"/>
        <w:rPr>
          <w:sz w:val="20"/>
          <w:szCs w:val="20"/>
          <w:color w:val="auto"/>
        </w:rPr>
      </w:pPr>
      <w:r>
        <w:rPr>
          <w:rFonts w:ascii="Arial" w:cs="Arial" w:eastAsia="Arial" w:hAnsi="Arial"/>
          <w:sz w:val="18"/>
          <w:szCs w:val="18"/>
          <w:color w:val="auto"/>
        </w:rPr>
        <w:t>As of June 30, 2021, there were 2,566,566 unvested Class B2 units outstanding. During the three months ended June 30, 2021, none of the outstanding Class B2 units were forfeited. As of June 30, 2021, none of the outstanding Class B2 units were vested.</w:t>
      </w:r>
    </w:p>
    <w:p>
      <w:pPr>
        <w:spacing w:after="0" w:line="13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As of June 30, 2021, $43.5 million of unrecognized non-cash compensation expense in respect of RSUs and Class B2 units remained to be recognized over a weighted-average period of approximately 3.4 years.</w:t>
      </w:r>
    </w:p>
    <w:p>
      <w:pPr>
        <w:spacing w:after="0" w:line="171"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9.</w:t>
      </w:r>
      <w:r>
        <w:rPr>
          <w:sz w:val="20"/>
          <w:szCs w:val="20"/>
          <w:color w:val="auto"/>
        </w:rPr>
        <w:tab/>
      </w:r>
      <w:r>
        <w:rPr>
          <w:rFonts w:ascii="Arial" w:cs="Arial" w:eastAsia="Arial" w:hAnsi="Arial"/>
          <w:sz w:val="16"/>
          <w:szCs w:val="16"/>
          <w:b w:val="1"/>
          <w:bCs w:val="1"/>
          <w:color w:val="auto"/>
        </w:rPr>
        <w:t>Income Taxes</w:t>
      </w:r>
    </w:p>
    <w:p>
      <w:pPr>
        <w:spacing w:after="0" w:line="222" w:lineRule="exact"/>
        <w:rPr>
          <w:sz w:val="20"/>
          <w:szCs w:val="20"/>
          <w:color w:val="auto"/>
        </w:rPr>
      </w:pPr>
    </w:p>
    <w:p>
      <w:pPr>
        <w:ind w:right="100" w:firstLine="648"/>
        <w:spacing w:after="0" w:line="250" w:lineRule="auto"/>
        <w:rPr>
          <w:sz w:val="20"/>
          <w:szCs w:val="20"/>
          <w:color w:val="auto"/>
        </w:rPr>
      </w:pPr>
      <w:r>
        <w:rPr>
          <w:rFonts w:ascii="Arial" w:cs="Arial" w:eastAsia="Arial" w:hAnsi="Arial"/>
          <w:sz w:val="20"/>
          <w:szCs w:val="20"/>
          <w:color w:val="auto"/>
        </w:rPr>
        <w:t>Prior to the Reorganization and IPO, the Company operated as a partnership for U.S. federal income tax purposes and therefore was not subject to U.S. federal and state income taxes. Subsequent to the Reorganization and IPO, all income attributable to SSG is subject to U.S. corporate income taxes.</w:t>
      </w:r>
    </w:p>
    <w:p>
      <w:pPr>
        <w:spacing w:after="0" w:line="186" w:lineRule="exact"/>
        <w:rPr>
          <w:sz w:val="20"/>
          <w:szCs w:val="20"/>
          <w:color w:val="auto"/>
        </w:rPr>
      </w:pPr>
    </w:p>
    <w:p>
      <w:pPr>
        <w:ind w:right="220" w:firstLine="648"/>
        <w:spacing w:after="0" w:line="278" w:lineRule="auto"/>
        <w:rPr>
          <w:sz w:val="20"/>
          <w:szCs w:val="20"/>
          <w:color w:val="auto"/>
        </w:rPr>
      </w:pPr>
      <w:r>
        <w:rPr>
          <w:rFonts w:ascii="Arial" w:cs="Arial" w:eastAsia="Arial" w:hAnsi="Arial"/>
          <w:sz w:val="18"/>
          <w:szCs w:val="18"/>
          <w:color w:val="auto"/>
        </w:rPr>
        <w:t>In connection with the exchanges of Class B units of the Partnership for Class A common stock by certain limited partners of the Partnership in June 2021, the Company’s ownership in the Partnership increased, which resulted in an increase to deferred tax assets in the amount of $16.9 million and a net decrease in the valuation allowance of $0.6 million. Additionally, in connection with the exchange transactions the Company recorded a corresponding Tax Receivable Agreements liability of $14.2 million, representing 85% of the incremental net cash tax savings for the Company due to the exchanging limited partners. See note 12 for more information.</w:t>
      </w:r>
    </w:p>
    <w:p>
      <w:pPr>
        <w:spacing w:after="0" w:line="165" w:lineRule="exact"/>
        <w:rPr>
          <w:sz w:val="20"/>
          <w:szCs w:val="20"/>
          <w:color w:val="auto"/>
        </w:rPr>
      </w:pPr>
    </w:p>
    <w:p>
      <w:pPr>
        <w:ind w:right="60" w:firstLine="648"/>
        <w:spacing w:after="0" w:line="276" w:lineRule="auto"/>
        <w:rPr>
          <w:sz w:val="20"/>
          <w:szCs w:val="20"/>
          <w:color w:val="auto"/>
        </w:rPr>
      </w:pPr>
      <w:r>
        <w:rPr>
          <w:rFonts w:ascii="Arial" w:cs="Arial" w:eastAsia="Arial" w:hAnsi="Arial"/>
          <w:sz w:val="18"/>
          <w:szCs w:val="18"/>
          <w:color w:val="auto"/>
        </w:rPr>
        <w:t>The Company’s effective tax rate was 10.2% and (2.3)% for the three months ended June 30, 2021 and 2020, respectively. The Company’s effective tax rate is dependent on many factors, including the jurisdictional mix of income subject to tax. Consequently, the effective tax rate can vary from period to period. The Company’s overall effective tax rate in each of the periods described above is less than the statutory rate primarily because a portion of income is allocated to non-controlling interests, as the tax liability on such income is borne by the holders of such non-controlling interests. Additionally, for the period prior to the Reorganization and IPO, we operated as a partnership for U.S. federal income tax purposes and were not subject to U.S. federal and state income taxes.</w:t>
      </w:r>
    </w:p>
    <w:p>
      <w:pPr>
        <w:spacing w:after="0" w:line="165" w:lineRule="exact"/>
        <w:rPr>
          <w:sz w:val="20"/>
          <w:szCs w:val="20"/>
          <w:color w:val="auto"/>
        </w:rPr>
      </w:pPr>
    </w:p>
    <w:p>
      <w:pPr>
        <w:ind w:right="120" w:firstLine="648"/>
        <w:spacing w:after="0" w:line="260" w:lineRule="auto"/>
        <w:rPr>
          <w:sz w:val="20"/>
          <w:szCs w:val="20"/>
          <w:color w:val="auto"/>
        </w:rPr>
      </w:pPr>
      <w:r>
        <w:rPr>
          <w:rFonts w:ascii="Arial" w:cs="Arial" w:eastAsia="Arial" w:hAnsi="Arial"/>
          <w:sz w:val="20"/>
          <w:szCs w:val="20"/>
          <w:color w:val="auto"/>
        </w:rPr>
        <w:t>The Company evaluates the realizability of its deferred tax assets on a quarterly basis and adjusts the valuation allowance when it is more-likely-than-not that all or a portion of the deferred tax assets may not be realized.</w:t>
      </w:r>
    </w:p>
    <w:p>
      <w:pPr>
        <w:spacing w:after="0" w:line="177" w:lineRule="exact"/>
        <w:rPr>
          <w:sz w:val="20"/>
          <w:szCs w:val="20"/>
          <w:color w:val="auto"/>
        </w:rPr>
      </w:pPr>
    </w:p>
    <w:p>
      <w:pPr>
        <w:ind w:right="480" w:firstLine="648"/>
        <w:spacing w:after="0" w:line="260" w:lineRule="auto"/>
        <w:rPr>
          <w:sz w:val="20"/>
          <w:szCs w:val="20"/>
          <w:color w:val="auto"/>
        </w:rPr>
      </w:pPr>
      <w:r>
        <w:rPr>
          <w:rFonts w:ascii="Arial" w:cs="Arial" w:eastAsia="Arial" w:hAnsi="Arial"/>
          <w:sz w:val="20"/>
          <w:szCs w:val="20"/>
          <w:color w:val="auto"/>
        </w:rPr>
        <w:t>As of June 30, 2021, the Company has not recorded any unrecognized tax benefits and does not expect there to be any material changes to uncertain tax positions within the next 12 months.</w:t>
      </w:r>
    </w:p>
    <w:p>
      <w:pPr>
        <w:spacing w:after="0" w:line="177"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The Company files income tax returns as required by the tax laws of the jurisdictions in which it operates. In the normal course of business, the Company may be subject to examination by U.S. federal and certain state and local tax authorities. Although the outcome of tax audits is always uncertain, the Company does not believe the outcome of any future audit will have a material adverse effect on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4" w:right="379" w:bottom="1440" w:gutter="0" w:footer="0" w:header="0"/>
        </w:sectPr>
      </w:pPr>
    </w:p>
    <w:bookmarkStart w:id="28" w:name="page29"/>
    <w:bookmarkEnd w:id="28"/>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10.</w:t>
      </w:r>
      <w:r>
        <w:rPr>
          <w:sz w:val="20"/>
          <w:szCs w:val="20"/>
          <w:color w:val="auto"/>
        </w:rPr>
        <w:tab/>
      </w:r>
      <w:r>
        <w:rPr>
          <w:rFonts w:ascii="Arial" w:cs="Arial" w:eastAsia="Arial" w:hAnsi="Arial"/>
          <w:sz w:val="16"/>
          <w:szCs w:val="16"/>
          <w:b w:val="1"/>
          <w:bCs w:val="1"/>
          <w:color w:val="auto"/>
        </w:rPr>
        <w:t>Earnings Per Share</w:t>
      </w:r>
    </w:p>
    <w:p>
      <w:pPr>
        <w:spacing w:after="0" w:line="222"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Basic and diluted earnings per share of Class A common stock is presented for the three months ended June 30, 2021. There were no shares of Class A common stock outstanding prior to September 16, 2020, therefore no earnings per share information has been presented for any period prior to that date.</w:t>
      </w:r>
    </w:p>
    <w:p>
      <w:pPr>
        <w:spacing w:after="0" w:line="186" w:lineRule="exact"/>
        <w:rPr>
          <w:sz w:val="20"/>
          <w:szCs w:val="20"/>
          <w:color w:val="auto"/>
        </w:rPr>
      </w:pPr>
    </w:p>
    <w:p>
      <w:pPr>
        <w:ind w:right="360" w:firstLine="648"/>
        <w:spacing w:after="0" w:line="260" w:lineRule="auto"/>
        <w:rPr>
          <w:sz w:val="20"/>
          <w:szCs w:val="20"/>
          <w:color w:val="auto"/>
        </w:rPr>
      </w:pPr>
      <w:r>
        <w:rPr>
          <w:rFonts w:ascii="Arial" w:cs="Arial" w:eastAsia="Arial" w:hAnsi="Arial"/>
          <w:sz w:val="20"/>
          <w:szCs w:val="20"/>
          <w:color w:val="auto"/>
        </w:rPr>
        <w:t>The following table sets forth reconciliations of the numerators and denominators used to compute basic and diluted earnings per share of Class A common stock:</w:t>
      </w:r>
    </w:p>
    <w:p>
      <w:pPr>
        <w:sectPr>
          <w:pgSz w:w="11900" w:h="16838" w:orient="portrait"/>
          <w:cols w:equalWidth="0" w:num="1">
            <w:col w:w="11240"/>
          </w:cols>
          <w:pgMar w:left="320" w:top="4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income attributable to StepStone Group Inc. – Basic</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Incremental income from assumed vesting of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40" w:right="2280" w:firstLine="216"/>
        <w:spacing w:after="0" w:line="323" w:lineRule="auto"/>
        <w:rPr>
          <w:sz w:val="20"/>
          <w:szCs w:val="20"/>
          <w:color w:val="auto"/>
        </w:rPr>
      </w:pPr>
      <w:r>
        <w:rPr>
          <w:rFonts w:ascii="Arial" w:cs="Arial" w:eastAsia="Arial" w:hAnsi="Arial"/>
          <w:sz w:val="18"/>
          <w:szCs w:val="18"/>
          <w:color w:val="auto"/>
        </w:rPr>
        <w:t>Incremental income from assumed vesting and exchange of Class B2 units Net income attributable to StepStone Group Inc.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6" w:lineRule="exact"/>
        <w:rPr>
          <w:sz w:val="20"/>
          <w:szCs w:val="20"/>
          <w:color w:val="auto"/>
        </w:rPr>
      </w:pPr>
    </w:p>
    <w:p>
      <w:pPr>
        <w:ind w:left="460" w:right="2700" w:hanging="215"/>
        <w:spacing w:after="0" w:line="274" w:lineRule="auto"/>
        <w:rPr>
          <w:sz w:val="20"/>
          <w:szCs w:val="20"/>
          <w:color w:val="auto"/>
        </w:rPr>
      </w:pPr>
      <w:r>
        <w:rPr>
          <w:rFonts w:ascii="Arial" w:cs="Arial" w:eastAsia="Arial" w:hAnsi="Arial"/>
          <w:sz w:val="18"/>
          <w:szCs w:val="18"/>
          <w:color w:val="auto"/>
        </w:rPr>
        <w:t>Weighted-average shares of Class A common stock outstanding – Basic Assumed vesting of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40" w:right="2560" w:firstLine="216"/>
        <w:spacing w:after="0" w:line="323" w:lineRule="auto"/>
        <w:rPr>
          <w:sz w:val="20"/>
          <w:szCs w:val="20"/>
          <w:color w:val="auto"/>
        </w:rPr>
      </w:pPr>
      <w:r>
        <w:rPr>
          <w:rFonts w:ascii="Arial" w:cs="Arial" w:eastAsia="Arial" w:hAnsi="Arial"/>
          <w:sz w:val="18"/>
          <w:szCs w:val="18"/>
          <w:color w:val="auto"/>
        </w:rPr>
        <w:t>Assumed vesting and exchange of Class B2 units Weighted-average shares of Class A common stock outstanding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Earnings per share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Basic</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Three Months Ended June 30,</w:t>
      </w:r>
    </w:p>
    <w:p>
      <w:pPr>
        <w:jc w:val="center"/>
        <w:spacing w:after="0"/>
        <w:rPr>
          <w:sz w:val="20"/>
          <w:szCs w:val="20"/>
          <w:color w:val="auto"/>
        </w:rPr>
      </w:pPr>
      <w:r>
        <w:rPr>
          <w:rFonts w:ascii="Arial" w:cs="Arial" w:eastAsia="Arial" w:hAnsi="Arial"/>
          <w:sz w:val="18"/>
          <w:szCs w:val="18"/>
          <w:b w:val="1"/>
          <w:bCs w:val="1"/>
          <w:color w:val="auto"/>
        </w:rPr>
        <w:t>2021</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41,650</w:t>
            </w:r>
          </w:p>
        </w:tc>
      </w:tr>
      <w:tr>
        <w:trPr>
          <w:trHeight w:val="230"/>
        </w:trPr>
        <w:tc>
          <w:tcPr>
            <w:tcW w:w="8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1,378</w:t>
            </w:r>
          </w:p>
        </w:tc>
      </w:tr>
      <w:tr>
        <w:trPr>
          <w:trHeight w:val="230"/>
        </w:trPr>
        <w:tc>
          <w:tcPr>
            <w:tcW w:w="8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2,509</w:t>
            </w:r>
          </w:p>
        </w:tc>
      </w:tr>
      <w:tr>
        <w:trPr>
          <w:trHeight w:val="223"/>
        </w:trPr>
        <w:tc>
          <w:tcPr>
            <w:tcW w:w="8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45,537</w:t>
            </w: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722"/>
        </w:trPr>
        <w:tc>
          <w:tcPr>
            <w:tcW w:w="8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39,042,497</w:t>
            </w:r>
          </w:p>
        </w:tc>
      </w:tr>
      <w:tr>
        <w:trPr>
          <w:trHeight w:val="230"/>
        </w:trPr>
        <w:tc>
          <w:tcPr>
            <w:tcW w:w="8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1,353,755</w:t>
            </w:r>
          </w:p>
        </w:tc>
      </w:tr>
      <w:tr>
        <w:trPr>
          <w:trHeight w:val="230"/>
        </w:trPr>
        <w:tc>
          <w:tcPr>
            <w:tcW w:w="8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2,488,979</w:t>
            </w:r>
          </w:p>
        </w:tc>
      </w:tr>
      <w:tr>
        <w:trPr>
          <w:trHeight w:val="223"/>
        </w:trPr>
        <w:tc>
          <w:tcPr>
            <w:tcW w:w="8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42,885,231</w:t>
            </w: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695"/>
        </w:trPr>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1.06</w:t>
            </w:r>
          </w:p>
        </w:tc>
      </w:tr>
    </w:tbl>
    <w:p>
      <w:pPr>
        <w:spacing w:after="0" w:line="199" w:lineRule="exact"/>
        <w:rPr>
          <w:sz w:val="20"/>
          <w:szCs w:val="20"/>
          <w:color w:val="auto"/>
        </w:rPr>
      </w:pPr>
    </w:p>
    <w:p>
      <w:pPr>
        <w:sectPr>
          <w:pgSz w:w="11900" w:h="16838" w:orient="portrait"/>
          <w:cols w:equalWidth="0" w:num="2">
            <w:col w:w="8100" w:space="720"/>
            <w:col w:w="2420"/>
          </w:cols>
          <w:pgMar w:left="320" w:top="454" w:right="339" w:bottom="1440" w:gutter="0" w:footer="0" w:header="0"/>
          <w:type w:val="continuous"/>
        </w:sectPr>
      </w:pPr>
    </w:p>
    <w:p>
      <w:pPr>
        <w:ind w:right="360" w:firstLine="648"/>
        <w:spacing w:after="0" w:line="291" w:lineRule="auto"/>
        <w:rPr>
          <w:sz w:val="20"/>
          <w:szCs w:val="20"/>
          <w:color w:val="auto"/>
        </w:rPr>
      </w:pPr>
      <w:r>
        <w:rPr>
          <w:rFonts w:ascii="Arial" w:cs="Arial" w:eastAsia="Arial" w:hAnsi="Arial"/>
          <w:sz w:val="18"/>
          <w:szCs w:val="18"/>
          <w:color w:val="auto"/>
        </w:rPr>
        <w:t>Diluted earnings per share of Class A common stock is computed by dividing net income (loss) attributable to SSG, giving consideration to the reallocation of net income between holders of Class A common stock and non-controlling interests, by the weighted-average number of shares of Class A common stock outstanding adjusted to give effect to potentially dilutive securities, if any.</w:t>
      </w:r>
    </w:p>
    <w:p>
      <w:pPr>
        <w:spacing w:after="0" w:line="152" w:lineRule="exact"/>
        <w:rPr>
          <w:sz w:val="20"/>
          <w:szCs w:val="20"/>
          <w:color w:val="auto"/>
        </w:rPr>
      </w:pPr>
    </w:p>
    <w:p>
      <w:pPr>
        <w:ind w:right="220" w:firstLine="648"/>
        <w:spacing w:after="0" w:line="250" w:lineRule="auto"/>
        <w:rPr>
          <w:sz w:val="20"/>
          <w:szCs w:val="20"/>
          <w:color w:val="auto"/>
        </w:rPr>
      </w:pPr>
      <w:r>
        <w:rPr>
          <w:rFonts w:ascii="Arial" w:cs="Arial" w:eastAsia="Arial" w:hAnsi="Arial"/>
          <w:sz w:val="20"/>
          <w:szCs w:val="20"/>
          <w:color w:val="auto"/>
        </w:rPr>
        <w:t>Shares of the Company’s Class B common stock do not share in the earnings or losses attributable to SSG and therefore are not participating securities. As a result, a separate presentation of basic and diluted earnings per share of Class B common stock under the two-class method has not been included.</w:t>
      </w:r>
    </w:p>
    <w:p>
      <w:pPr>
        <w:spacing w:after="0" w:line="186" w:lineRule="exact"/>
        <w:rPr>
          <w:sz w:val="20"/>
          <w:szCs w:val="20"/>
          <w:color w:val="auto"/>
        </w:rPr>
      </w:pPr>
    </w:p>
    <w:p>
      <w:pPr>
        <w:ind w:right="60" w:firstLine="648"/>
        <w:spacing w:after="0" w:line="287" w:lineRule="auto"/>
        <w:rPr>
          <w:sz w:val="20"/>
          <w:szCs w:val="20"/>
          <w:color w:val="auto"/>
        </w:rPr>
      </w:pPr>
      <w:r>
        <w:rPr>
          <w:rFonts w:ascii="Arial" w:cs="Arial" w:eastAsia="Arial" w:hAnsi="Arial"/>
          <w:sz w:val="19"/>
          <w:szCs w:val="19"/>
          <w:color w:val="auto"/>
        </w:rPr>
        <w:t>The calculation of diluted earnings per share excludes 54,480,393 shares of Class B units of the Partnership, which are exchangeable into Class A common stock under the if-converted method, as the inclusion of such shares would be anti-dilutive.</w:t>
      </w:r>
    </w:p>
    <w:p>
      <w:pPr>
        <w:spacing w:after="0" w:line="146"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6"/>
          <w:szCs w:val="16"/>
          <w:b w:val="1"/>
          <w:bCs w:val="1"/>
          <w:color w:val="auto"/>
        </w:rPr>
        <w:t>Related Party Transactions</w:t>
      </w:r>
    </w:p>
    <w:p>
      <w:pPr>
        <w:spacing w:after="0" w:line="222" w:lineRule="exact"/>
        <w:rPr>
          <w:sz w:val="20"/>
          <w:szCs w:val="20"/>
          <w:color w:val="auto"/>
        </w:rPr>
      </w:pPr>
    </w:p>
    <w:p>
      <w:pPr>
        <w:ind w:right="100" w:firstLine="648"/>
        <w:spacing w:after="0" w:line="278" w:lineRule="auto"/>
        <w:rPr>
          <w:sz w:val="20"/>
          <w:szCs w:val="20"/>
          <w:color w:val="auto"/>
        </w:rPr>
      </w:pPr>
      <w:r>
        <w:rPr>
          <w:rFonts w:ascii="Arial" w:cs="Arial" w:eastAsia="Arial" w:hAnsi="Arial"/>
          <w:sz w:val="18"/>
          <w:szCs w:val="18"/>
          <w:color w:val="auto"/>
        </w:rPr>
        <w:t>The Company considers its senior executives, employees and equity method investments to be related parties. A substantial portion of the Company’s management and advisory fees and carried interest allocations is earned from various StepStone Funds that are considered equity method investments. The Company earned net management and advisory fees from the StepStone Funds of $45.9 million and $37.3 million for the three months ended June 30, 2021 and 2020, respectively. Carried interest allocation revenues earned from the StepStone Funds totaled $226.4 million and $(128.5) million for the three months ended June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right="100" w:firstLine="648"/>
        <w:spacing w:after="0" w:line="269" w:lineRule="auto"/>
        <w:rPr>
          <w:sz w:val="20"/>
          <w:szCs w:val="20"/>
          <w:color w:val="auto"/>
        </w:rPr>
      </w:pPr>
      <w:r>
        <w:rPr>
          <w:rFonts w:ascii="Arial" w:cs="Arial" w:eastAsia="Arial" w:hAnsi="Arial"/>
          <w:sz w:val="19"/>
          <w:szCs w:val="19"/>
          <w:color w:val="auto"/>
        </w:rPr>
        <w:t>Due from affiliates in the condensed consolidated balance sheets consists primarily of fees and accounts receivable from the StepStone Funds, advances made on behalf of the StepStone Funds for the payment of certain organization and operating costs and expenses for which the Company is subsequently reimbursed, and amounts due from employees, as set forth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w w:val="84"/>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8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4"/>
              </w:rPr>
              <w:t>June 30, 2021</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4"/>
              </w:rPr>
              <w:t>March 31, 2021</w:t>
            </w:r>
          </w:p>
        </w:tc>
      </w:tr>
      <w:tr>
        <w:trPr>
          <w:trHeight w:val="226"/>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receivable from StepStone Funds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6,165</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6,958</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Amounts receivable from employees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r>
      <w:tr>
        <w:trPr>
          <w:trHeight w:val="248"/>
        </w:trPr>
        <w:tc>
          <w:tcPr>
            <w:tcW w:w="81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due from affiliates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6,819</w:t>
            </w: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7,474</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80" w:firstLine="648"/>
        <w:spacing w:after="0" w:line="250" w:lineRule="auto"/>
        <w:rPr>
          <w:sz w:val="20"/>
          <w:szCs w:val="20"/>
          <w:color w:val="auto"/>
        </w:rPr>
      </w:pPr>
      <w:r>
        <w:rPr>
          <w:rFonts w:ascii="Arial" w:cs="Arial" w:eastAsia="Arial" w:hAnsi="Arial"/>
          <w:sz w:val="20"/>
          <w:szCs w:val="20"/>
          <w:color w:val="auto"/>
        </w:rPr>
        <w:t>Due to affiliates in the condensed consolidated balance sheets consists primarily of amounts payable to certain non-controlling interest holders in connection with the Tax Receivable Agreements, amounts payable to StepStone Funds and distributions payable to certain employee equity holders of consolidated subsidiaries, as set forth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w w:val="84"/>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8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4"/>
              </w:rPr>
              <w:t>June 30, 2021</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4"/>
              </w:rPr>
              <w:t>March 31, 2021</w:t>
            </w:r>
          </w:p>
        </w:tc>
      </w:tr>
      <w:tr>
        <w:trPr>
          <w:trHeight w:val="226"/>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payable to non-controlling interest holders in connection with Tax Receivable Agreements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120,770</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107,216</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Amounts payable to StepStone Funds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2,258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2,740</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payable to certain employee equity holders of consolidated subsidiaries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3,566</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3,566</w:t>
            </w:r>
          </w:p>
        </w:tc>
      </w:tr>
      <w:tr>
        <w:trPr>
          <w:trHeight w:val="223"/>
        </w:trPr>
        <w:tc>
          <w:tcPr>
            <w:tcW w:w="8140" w:type="dxa"/>
            <w:vAlign w:val="bottom"/>
          </w:tcPr>
          <w:p>
            <w:pPr>
              <w:ind w:left="400"/>
              <w:spacing w:after="0"/>
              <w:rPr>
                <w:sz w:val="20"/>
                <w:szCs w:val="20"/>
                <w:color w:val="auto"/>
              </w:rPr>
            </w:pPr>
            <w:r>
              <w:rPr>
                <w:rFonts w:ascii="Arial" w:cs="Arial" w:eastAsia="Arial" w:hAnsi="Arial"/>
                <w:sz w:val="18"/>
                <w:szCs w:val="18"/>
                <w:color w:val="auto"/>
              </w:rPr>
              <w:t>Total due to affiliates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126,594</w:t>
            </w:r>
          </w:p>
        </w:tc>
        <w:tc>
          <w:tcPr>
            <w:tcW w:w="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113,522</w:t>
            </w:r>
          </w:p>
        </w:tc>
      </w:tr>
      <w:tr>
        <w:trPr>
          <w:trHeight w:val="21"/>
        </w:trPr>
        <w:tc>
          <w:tcPr>
            <w:tcW w:w="8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made payments under the Tax Receivable Agreements of $0.6 million during the three months ended June 30, 2021.</w:t>
      </w:r>
    </w:p>
    <w:p>
      <w:pPr>
        <w:spacing w:after="0" w:line="23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6"/>
          <w:szCs w:val="16"/>
          <w:b w:val="1"/>
          <w:bCs w:val="1"/>
          <w:color w:val="auto"/>
        </w:rPr>
        <w:t>Stockholders’ Equity</w:t>
      </w:r>
    </w:p>
    <w:p>
      <w:pPr>
        <w:spacing w:after="0" w:line="222"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The Company has two classes of common stock outstanding, Class A common stock and Class B common stock. Holders of Class A common stock and Class B common stock generally vote together as a single class on all matters presented to the Company’s stockholders for their vote or approval. Holders of Class A common stock are entitled to receive dividends when and if declared by the board of directors. Holders of the Class B common stock are not entitled to dividends in respect of their shares of Class B common stock.</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shows a rollforward of the Company’s shares of common stock outstanding since March 31, 2021:</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2540" w:type="dxa"/>
            <w:vAlign w:val="bottom"/>
            <w:gridSpan w:val="2"/>
          </w:tcPr>
          <w:p>
            <w:pPr>
              <w:ind w:left="300"/>
              <w:spacing w:after="0"/>
              <w:rPr>
                <w:sz w:val="20"/>
                <w:szCs w:val="20"/>
                <w:color w:val="auto"/>
              </w:rPr>
            </w:pPr>
            <w:r>
              <w:rPr>
                <w:rFonts w:ascii="Arial" w:cs="Arial" w:eastAsia="Arial" w:hAnsi="Arial"/>
                <w:sz w:val="18"/>
                <w:szCs w:val="18"/>
                <w:b w:val="1"/>
                <w:bCs w:val="1"/>
                <w:color w:val="auto"/>
              </w:rPr>
              <w:t>Class A Common Stock</w:t>
            </w:r>
          </w:p>
        </w:tc>
        <w:tc>
          <w:tcPr>
            <w:tcW w:w="2420" w:type="dxa"/>
            <w:vAlign w:val="bottom"/>
          </w:tcPr>
          <w:p>
            <w:pPr>
              <w:ind w:left="300"/>
              <w:spacing w:after="0"/>
              <w:rPr>
                <w:sz w:val="20"/>
                <w:szCs w:val="20"/>
                <w:color w:val="auto"/>
              </w:rPr>
            </w:pPr>
            <w:r>
              <w:rPr>
                <w:rFonts w:ascii="Arial" w:cs="Arial" w:eastAsia="Arial" w:hAnsi="Arial"/>
                <w:sz w:val="18"/>
                <w:szCs w:val="18"/>
                <w:b w:val="1"/>
                <w:bCs w:val="1"/>
                <w:color w:val="auto"/>
              </w:rPr>
              <w:t>Class B Common Stock</w:t>
            </w: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31, 2021</w:t>
            </w:r>
          </w:p>
        </w:tc>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38,437,500</w:t>
            </w:r>
          </w:p>
        </w:tc>
        <w:tc>
          <w:tcPr>
            <w:tcW w:w="14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ind w:left="1540"/>
              <w:spacing w:after="0"/>
              <w:rPr>
                <w:sz w:val="20"/>
                <w:szCs w:val="20"/>
                <w:color w:val="auto"/>
              </w:rPr>
            </w:pPr>
            <w:r>
              <w:rPr>
                <w:rFonts w:ascii="Arial" w:cs="Arial" w:eastAsia="Arial" w:hAnsi="Arial"/>
                <w:sz w:val="18"/>
                <w:szCs w:val="18"/>
                <w:color w:val="auto"/>
                <w:w w:val="95"/>
              </w:rPr>
              <w:t>56,378,831</w:t>
            </w:r>
          </w:p>
        </w:tc>
      </w:tr>
      <w:tr>
        <w:trPr>
          <w:trHeight w:val="230"/>
        </w:trPr>
        <w:tc>
          <w:tcPr>
            <w:tcW w:w="6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Class A common stock issued in exchange for Class B partnership units</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1,898,438</w:t>
            </w:r>
          </w:p>
        </w:tc>
        <w:tc>
          <w:tcPr>
            <w:tcW w:w="140" w:type="dxa"/>
            <w:vAlign w:val="bottom"/>
            <w:tcBorders>
              <w:bottom w:val="single" w:sz="8" w:color="CCEEFF"/>
            </w:tcBorders>
          </w:tcPr>
          <w:p>
            <w:pPr>
              <w:spacing w:after="0"/>
              <w:rPr>
                <w:sz w:val="19"/>
                <w:szCs w:val="19"/>
                <w:color w:val="auto"/>
              </w:rPr>
            </w:pPr>
          </w:p>
        </w:tc>
        <w:tc>
          <w:tcPr>
            <w:tcW w:w="242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w w:val="91"/>
              </w:rPr>
              <w:t>(1,898,438)</w:t>
            </w: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2021</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40,335,938</w:t>
            </w:r>
          </w:p>
        </w:tc>
        <w:tc>
          <w:tcPr>
            <w:tcW w:w="14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auto"/>
            </w:tcBorders>
            <w:shd w:val="clear" w:color="auto" w:fill="CCEEFF"/>
          </w:tcPr>
          <w:p>
            <w:pPr>
              <w:ind w:left="1540"/>
              <w:spacing w:after="0"/>
              <w:rPr>
                <w:sz w:val="20"/>
                <w:szCs w:val="20"/>
                <w:color w:val="auto"/>
              </w:rPr>
            </w:pPr>
            <w:r>
              <w:rPr>
                <w:rFonts w:ascii="Arial" w:cs="Arial" w:eastAsia="Arial" w:hAnsi="Arial"/>
                <w:sz w:val="18"/>
                <w:szCs w:val="18"/>
                <w:color w:val="auto"/>
                <w:w w:val="95"/>
              </w:rPr>
              <w:t>54,480,393</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100" w:firstLine="648"/>
        <w:spacing w:after="0" w:line="260" w:lineRule="auto"/>
        <w:rPr>
          <w:sz w:val="20"/>
          <w:szCs w:val="20"/>
          <w:color w:val="auto"/>
        </w:rPr>
      </w:pPr>
      <w:r>
        <w:rPr>
          <w:rFonts w:ascii="Arial" w:cs="Arial" w:eastAsia="Arial" w:hAnsi="Arial"/>
          <w:sz w:val="20"/>
          <w:szCs w:val="20"/>
          <w:color w:val="auto"/>
        </w:rPr>
        <w:t>The Company has 25,000,000 authorized shares of preferred stock, par value of $0.001 per share, and as of June 30, 2021, no shares of preferred stock were issued and outstanding.</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jc w:val="both"/>
        <w:ind w:right="120" w:firstLine="648"/>
        <w:spacing w:after="0" w:line="269" w:lineRule="auto"/>
        <w:rPr>
          <w:sz w:val="20"/>
          <w:szCs w:val="20"/>
          <w:color w:val="auto"/>
        </w:rPr>
      </w:pPr>
      <w:r>
        <w:rPr>
          <w:rFonts w:ascii="Arial" w:cs="Arial" w:eastAsia="Arial" w:hAnsi="Arial"/>
          <w:sz w:val="19"/>
          <w:szCs w:val="19"/>
          <w:color w:val="auto"/>
        </w:rPr>
        <w:t>In connection with the consummation of the IPO, the Partnership issued new partnership interests to certain StepStone professionals in SRA in exchange for their partnership interests in SRA, which increased the interest of the Partnership in SRA to approximately 49% and decreased the interest of the StepStone professionals in SRA to approximately 51%.</w:t>
      </w:r>
    </w:p>
    <w:p>
      <w:pPr>
        <w:spacing w:after="0" w:line="170" w:lineRule="exact"/>
        <w:rPr>
          <w:sz w:val="20"/>
          <w:szCs w:val="20"/>
          <w:color w:val="auto"/>
        </w:rPr>
      </w:pPr>
    </w:p>
    <w:p>
      <w:pPr>
        <w:jc w:val="center"/>
        <w:spacing w:after="0" w:line="291" w:lineRule="auto"/>
        <w:rPr>
          <w:sz w:val="20"/>
          <w:szCs w:val="20"/>
          <w:color w:val="auto"/>
        </w:rPr>
      </w:pPr>
      <w:r>
        <w:rPr>
          <w:rFonts w:ascii="Arial" w:cs="Arial" w:eastAsia="Arial" w:hAnsi="Arial"/>
          <w:sz w:val="18"/>
          <w:szCs w:val="18"/>
          <w:color w:val="auto"/>
        </w:rPr>
        <w:t>In June 2021, the Company issued 1,898,438 shares of Class A common stock to certain limited partners of the Partnership in exchange for 1,898,438 Class B units. A corresponding number of shares of Class B common stock were automatically redeemed at par value and canceled in connection with such exchange and a corresponding number of Class A units of the Partnership were issued to the Company.</w:t>
      </w:r>
    </w:p>
    <w:p>
      <w:pPr>
        <w:spacing w:after="0" w:line="15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9"/>
          <w:szCs w:val="19"/>
          <w:color w:val="auto"/>
        </w:rPr>
        <w:t>In March 2021, the Company conducted an underwritten public offering of 9,200,000 shares of Class A common stock, including 1,200,000 shares pursuant to the full exercise of the underwriters’ option to purchase additional shares, (the “March 2021 Offering”) sold by selling stockholders at a public offering price of $29.50 per share. In connection with the offering, the Company issued 9,200,000 shares of Class A common stock to the selling stockholders in exchange for 9,200,000 Class B units. A corresponding number of shares of Class B common stock were automatically redeemed at par value and canceled in connection with such exchange. The Company did not receive any proceeds from the sale of shares by the selling stockholders.</w:t>
      </w:r>
    </w:p>
    <w:p>
      <w:pPr>
        <w:spacing w:after="0" w:line="178" w:lineRule="exact"/>
        <w:rPr>
          <w:sz w:val="20"/>
          <w:szCs w:val="20"/>
          <w:color w:val="auto"/>
        </w:rPr>
      </w:pPr>
    </w:p>
    <w:p>
      <w:pPr>
        <w:jc w:val="both"/>
        <w:ind w:right="500" w:firstLine="648"/>
        <w:spacing w:after="0" w:line="269" w:lineRule="auto"/>
        <w:rPr>
          <w:sz w:val="20"/>
          <w:szCs w:val="20"/>
          <w:color w:val="auto"/>
        </w:rPr>
      </w:pPr>
      <w:r>
        <w:rPr>
          <w:rFonts w:ascii="Arial" w:cs="Arial" w:eastAsia="Arial" w:hAnsi="Arial"/>
          <w:sz w:val="19"/>
          <w:szCs w:val="19"/>
          <w:color w:val="auto"/>
        </w:rPr>
        <w:t>The reallocation adjustment between SSG stockholders’ equity, non-controlling interests in the Partnership and non-controlling interests in subsidiaries relates to the impact of changes in economic ownership percentages during the period and adjusting previously recorded equity transactions to the economic ownership percentage as of the end of each reporting period.</w:t>
      </w:r>
    </w:p>
    <w:p>
      <w:pPr>
        <w:spacing w:after="0" w:line="170" w:lineRule="exact"/>
        <w:rPr>
          <w:sz w:val="20"/>
          <w:szCs w:val="20"/>
          <w:color w:val="auto"/>
        </w:rPr>
      </w:pPr>
    </w:p>
    <w:p>
      <w:pPr>
        <w:ind w:right="320" w:firstLine="648"/>
        <w:spacing w:after="0" w:line="250" w:lineRule="auto"/>
        <w:rPr>
          <w:sz w:val="20"/>
          <w:szCs w:val="20"/>
          <w:color w:val="auto"/>
        </w:rPr>
      </w:pPr>
      <w:r>
        <w:rPr>
          <w:rFonts w:ascii="Arial" w:cs="Arial" w:eastAsia="Arial" w:hAnsi="Arial"/>
          <w:sz w:val="20"/>
          <w:szCs w:val="20"/>
          <w:color w:val="auto"/>
        </w:rPr>
        <w:t>In June 2020, SRA completed a transaction to repurchase partnership interests in SRA from a former partner for approximately $3.3 million, and subsequently sold an equal number of partnership interests to certain employees of SRA for approximately $3.3 million, resulting in no net proceeds to SRA.</w:t>
      </w:r>
    </w:p>
    <w:p>
      <w:pPr>
        <w:spacing w:after="0" w:line="186" w:lineRule="exact"/>
        <w:rPr>
          <w:sz w:val="20"/>
          <w:szCs w:val="20"/>
          <w:color w:val="auto"/>
        </w:rPr>
      </w:pPr>
    </w:p>
    <w:p>
      <w:pPr>
        <w:ind w:right="40" w:firstLine="648"/>
        <w:spacing w:after="0" w:line="250" w:lineRule="auto"/>
        <w:rPr>
          <w:sz w:val="20"/>
          <w:szCs w:val="20"/>
          <w:color w:val="auto"/>
        </w:rPr>
      </w:pPr>
      <w:r>
        <w:rPr>
          <w:rFonts w:ascii="Arial" w:cs="Arial" w:eastAsia="Arial" w:hAnsi="Arial"/>
          <w:sz w:val="20"/>
          <w:szCs w:val="20"/>
          <w:color w:val="auto"/>
        </w:rPr>
        <w:t>Dividends and distributions are reflected in the condensed consolidated statements of stockholders’ equity when declared by the board of directors. Dividends are made to Class A common stockholders and distributions are made to limited partners of the Partnership and holders of non-controlling interests in subsidiaries.</w:t>
      </w:r>
    </w:p>
    <w:p>
      <w:pPr>
        <w:spacing w:after="0" w:line="186" w:lineRule="exact"/>
        <w:rPr>
          <w:sz w:val="20"/>
          <w:szCs w:val="20"/>
          <w:color w:val="auto"/>
        </w:rPr>
      </w:pPr>
    </w:p>
    <w:p>
      <w:pPr>
        <w:ind w:right="420" w:firstLine="648"/>
        <w:spacing w:after="0" w:line="260" w:lineRule="auto"/>
        <w:rPr>
          <w:sz w:val="20"/>
          <w:szCs w:val="20"/>
          <w:color w:val="auto"/>
        </w:rPr>
      </w:pPr>
      <w:r>
        <w:rPr>
          <w:rFonts w:ascii="Arial" w:cs="Arial" w:eastAsia="Arial" w:hAnsi="Arial"/>
          <w:sz w:val="20"/>
          <w:szCs w:val="20"/>
          <w:color w:val="auto"/>
        </w:rPr>
        <w:t>On June 15, 2021, the Company announced a dividend of $0.07 per share of Class A common stock, which was paid on July 15, 2021 to holders of record at the close of business on June 30, 2021.</w:t>
      </w:r>
    </w:p>
    <w:p>
      <w:pPr>
        <w:spacing w:after="0" w:line="171" w:lineRule="exact"/>
        <w:rPr>
          <w:sz w:val="20"/>
          <w:szCs w:val="20"/>
          <w:color w:val="auto"/>
        </w:rPr>
      </w:pPr>
    </w:p>
    <w:p>
      <w:pPr>
        <w:ind w:left="660" w:right="7980" w:hanging="652"/>
        <w:spacing w:after="0" w:line="468" w:lineRule="auto"/>
        <w:tabs>
          <w:tab w:leader="none" w:pos="457"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Commitments and Contingencies Litigation</w:t>
      </w:r>
    </w:p>
    <w:p>
      <w:pPr>
        <w:ind w:right="20" w:firstLine="648"/>
        <w:spacing w:after="0" w:line="243" w:lineRule="auto"/>
        <w:rPr>
          <w:sz w:val="20"/>
          <w:szCs w:val="20"/>
          <w:color w:val="auto"/>
        </w:rPr>
      </w:pPr>
      <w:r>
        <w:rPr>
          <w:rFonts w:ascii="Arial" w:cs="Arial" w:eastAsia="Arial" w:hAnsi="Arial"/>
          <w:sz w:val="20"/>
          <w:szCs w:val="20"/>
          <w:color w:val="auto"/>
        </w:rPr>
        <w:t>In the ordinary course of business, and from time to time, the Company may be subject to various legal, regulatory and/or administrative proceedings. The Company accrues a liability for legal proceedings only when those matters present loss contingencies that are both probable and reasonably estimable. In such cases, there may be an exposure to loss in excess of any amounts accrued. Although there can be no assurance of the outcome of such proceedings, based on information known by management, the Company does not expect a potential liability related to any current legal proceedings or claims that would individually or in the aggregate materially affect its condensed consolidated financial statements as of June 30, 2021.</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Lease Commitments</w:t>
      </w:r>
    </w:p>
    <w:p>
      <w:pPr>
        <w:spacing w:after="0" w:line="222" w:lineRule="exact"/>
        <w:rPr>
          <w:sz w:val="20"/>
          <w:szCs w:val="20"/>
          <w:color w:val="auto"/>
        </w:rPr>
      </w:pPr>
    </w:p>
    <w:p>
      <w:pPr>
        <w:ind w:right="80" w:firstLine="648"/>
        <w:spacing w:after="0" w:line="250" w:lineRule="auto"/>
        <w:rPr>
          <w:sz w:val="20"/>
          <w:szCs w:val="20"/>
          <w:color w:val="auto"/>
        </w:rPr>
      </w:pPr>
      <w:r>
        <w:rPr>
          <w:rFonts w:ascii="Arial" w:cs="Arial" w:eastAsia="Arial" w:hAnsi="Arial"/>
          <w:sz w:val="20"/>
          <w:szCs w:val="20"/>
          <w:color w:val="auto"/>
        </w:rPr>
        <w:t>The Company leases offices in 19 cities in the United States, Canada, South America, Europe, Asia and Australia, and certain equipment subject to operating lease agreements expiring through 2031, some of which may include options to extend or terminate the lease. As of June 30, 2021, there were no finance leases outstanding.</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right="200" w:firstLine="648"/>
        <w:spacing w:after="0" w:line="263" w:lineRule="auto"/>
        <w:rPr>
          <w:sz w:val="20"/>
          <w:szCs w:val="20"/>
          <w:color w:val="auto"/>
        </w:rPr>
      </w:pPr>
      <w:r>
        <w:rPr>
          <w:rFonts w:ascii="Arial" w:cs="Arial" w:eastAsia="Arial" w:hAnsi="Arial"/>
          <w:sz w:val="19"/>
          <w:szCs w:val="19"/>
          <w:color w:val="auto"/>
        </w:rPr>
        <w:t>In June 2021, the Company executed an agreement to lease additional office space for its La Jolla office. The lessor is currently undergoing the build out for the additional office space and the Company expects to gain access to the additional space in January 2022. At that time, the Company will establish a ROU asset and lease liability for the new lease. Upon lease commencement, total future lease payments are expected to be approximately $3.5 million over approximately 9 years.</w:t>
      </w:r>
    </w:p>
    <w:p>
      <w:pPr>
        <w:spacing w:after="0" w:line="176"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The components of lease expense included in general, administrative and other expenses in the condensed consolidated statements of income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0" w:type="dxa"/>
            <w:vAlign w:val="bottom"/>
          </w:tcPr>
          <w:p>
            <w:pPr>
              <w:spacing w:after="0"/>
              <w:rPr>
                <w:sz w:val="17"/>
                <w:szCs w:val="17"/>
                <w:color w:val="auto"/>
              </w:rPr>
            </w:pPr>
          </w:p>
        </w:tc>
        <w:tc>
          <w:tcPr>
            <w:tcW w:w="22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4"/>
              </w:rPr>
              <w:t>Three Months Ended June</w:t>
            </w:r>
          </w:p>
        </w:tc>
        <w:tc>
          <w:tcPr>
            <w:tcW w:w="0" w:type="dxa"/>
            <w:vAlign w:val="bottom"/>
          </w:tcPr>
          <w:p>
            <w:pPr>
              <w:spacing w:after="0"/>
              <w:rPr>
                <w:sz w:val="1"/>
                <w:szCs w:val="1"/>
                <w:color w:val="auto"/>
              </w:rPr>
            </w:pPr>
          </w:p>
        </w:tc>
      </w:tr>
      <w:tr>
        <w:trPr>
          <w:trHeight w:val="230"/>
        </w:trPr>
        <w:tc>
          <w:tcPr>
            <w:tcW w:w="90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30, 2021</w:t>
            </w:r>
          </w:p>
        </w:tc>
        <w:tc>
          <w:tcPr>
            <w:tcW w:w="0" w:type="dxa"/>
            <w:vAlign w:val="bottom"/>
          </w:tcPr>
          <w:p>
            <w:pPr>
              <w:spacing w:after="0"/>
              <w:rPr>
                <w:sz w:val="1"/>
                <w:szCs w:val="1"/>
                <w:color w:val="auto"/>
              </w:rPr>
            </w:pPr>
          </w:p>
        </w:tc>
      </w:tr>
      <w:tr>
        <w:trPr>
          <w:trHeight w:val="223"/>
        </w:trPr>
        <w:tc>
          <w:tcPr>
            <w:tcW w:w="90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3"/>
                <w:szCs w:val="23"/>
                <w:color w:val="auto"/>
                <w:vertAlign w:val="superscript"/>
              </w:rPr>
              <w:t>(1)</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0" w:type="dxa"/>
            <w:vAlign w:val="bottom"/>
          </w:tcPr>
          <w:p>
            <w:pPr>
              <w:spacing w:after="0"/>
              <w:rPr>
                <w:sz w:val="1"/>
                <w:szCs w:val="1"/>
                <w:color w:val="auto"/>
              </w:rPr>
            </w:pPr>
          </w:p>
        </w:tc>
      </w:tr>
      <w:tr>
        <w:trPr>
          <w:trHeight w:val="229"/>
        </w:trPr>
        <w:tc>
          <w:tcPr>
            <w:tcW w:w="900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4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Sublease income</w:t>
            </w:r>
          </w:p>
        </w:tc>
        <w:tc>
          <w:tcPr>
            <w:tcW w:w="4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23"/>
        </w:trPr>
        <w:tc>
          <w:tcPr>
            <w:tcW w:w="9000" w:type="dxa"/>
            <w:vAlign w:val="bottom"/>
          </w:tcPr>
          <w:p>
            <w:pPr>
              <w:ind w:left="240"/>
              <w:spacing w:after="0"/>
              <w:rPr>
                <w:sz w:val="20"/>
                <w:szCs w:val="20"/>
                <w:color w:val="auto"/>
              </w:rPr>
            </w:pPr>
            <w:r>
              <w:rPr>
                <w:rFonts w:ascii="Arial" w:cs="Arial" w:eastAsia="Arial" w:hAnsi="Arial"/>
                <w:sz w:val="18"/>
                <w:szCs w:val="18"/>
                <w:color w:val="auto"/>
              </w:rPr>
              <w:t>Total lease cost</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1"/>
        </w:trPr>
        <w:tc>
          <w:tcPr>
            <w:tcW w:w="900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_______________________________</w:t>
            </w:r>
          </w:p>
        </w:tc>
        <w:tc>
          <w:tcPr>
            <w:tcW w:w="4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900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40" w:hanging="63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lease cost includes an immaterial amount of short-term leases.</w:t>
      </w:r>
    </w:p>
    <w:p>
      <w:pPr>
        <w:spacing w:after="0" w:line="208" w:lineRule="exact"/>
        <w:rPr>
          <w:rFonts w:ascii="Arial" w:cs="Arial" w:eastAsia="Arial" w:hAnsi="Arial"/>
          <w:sz w:val="18"/>
          <w:szCs w:val="18"/>
          <w:color w:val="auto"/>
        </w:rPr>
      </w:pPr>
    </w:p>
    <w:p>
      <w:pPr>
        <w:ind w:left="660" w:right="800"/>
        <w:spacing w:after="0" w:line="485" w:lineRule="auto"/>
        <w:rPr>
          <w:rFonts w:ascii="Arial" w:cs="Arial" w:eastAsia="Arial" w:hAnsi="Arial"/>
          <w:sz w:val="18"/>
          <w:szCs w:val="18"/>
          <w:color w:val="auto"/>
        </w:rPr>
      </w:pPr>
      <w:r>
        <w:rPr>
          <w:rFonts w:ascii="Arial" w:cs="Arial" w:eastAsia="Arial" w:hAnsi="Arial"/>
          <w:sz w:val="20"/>
          <w:szCs w:val="20"/>
          <w:color w:val="auto"/>
        </w:rPr>
        <w:t>Occupancy expense related to office facility operating leases totaled $2.3 million for the three months ended June 30, 2020. Supplemental cash flow information related to leases was as follows:</w:t>
      </w:r>
    </w:p>
    <w:tbl>
      <w:tblPr>
        <w:tblLayout w:type="fixed"/>
        <w:tblInd w:w="0" w:type="dxa"/>
        <w:tblCellMar>
          <w:top w:w="0" w:type="dxa"/>
          <w:left w:w="0" w:type="dxa"/>
          <w:bottom w:w="0" w:type="dxa"/>
          <w:right w:w="0" w:type="dxa"/>
        </w:tblCellMar>
      </w:tblPr>
      <w:tr>
        <w:trPr>
          <w:trHeight w:val="181"/>
        </w:trPr>
        <w:tc>
          <w:tcPr>
            <w:tcW w:w="8860" w:type="dxa"/>
            <w:vAlign w:val="bottom"/>
          </w:tcPr>
          <w:p>
            <w:pPr>
              <w:spacing w:after="0"/>
              <w:rPr>
                <w:sz w:val="15"/>
                <w:szCs w:val="15"/>
                <w:color w:val="auto"/>
              </w:rPr>
            </w:pPr>
          </w:p>
        </w:tc>
        <w:tc>
          <w:tcPr>
            <w:tcW w:w="2380" w:type="dxa"/>
            <w:vAlign w:val="bottom"/>
            <w:gridSpan w:val="2"/>
          </w:tcPr>
          <w:p>
            <w:pPr>
              <w:ind w:left="40"/>
              <w:spacing w:after="0" w:line="181" w:lineRule="exact"/>
              <w:rPr>
                <w:sz w:val="20"/>
                <w:szCs w:val="20"/>
                <w:color w:val="auto"/>
              </w:rPr>
            </w:pPr>
            <w:r>
              <w:rPr>
                <w:rFonts w:ascii="Arial" w:cs="Arial" w:eastAsia="Arial" w:hAnsi="Arial"/>
                <w:sz w:val="18"/>
                <w:szCs w:val="18"/>
                <w:b w:val="1"/>
                <w:bCs w:val="1"/>
                <w:color w:val="auto"/>
                <w:w w:val="90"/>
              </w:rPr>
              <w:t>Three Months Ended June 30,</w:t>
            </w:r>
          </w:p>
        </w:tc>
      </w:tr>
      <w:tr>
        <w:trPr>
          <w:trHeight w:val="230"/>
        </w:trPr>
        <w:tc>
          <w:tcPr>
            <w:tcW w:w="88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2021</w:t>
            </w:r>
          </w:p>
        </w:tc>
      </w:tr>
      <w:tr>
        <w:trPr>
          <w:trHeight w:val="209"/>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5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30"/>
        </w:trPr>
        <w:tc>
          <w:tcPr>
            <w:tcW w:w="8860" w:type="dxa"/>
            <w:vAlign w:val="bottom"/>
          </w:tcPr>
          <w:p>
            <w:pPr>
              <w:ind w:left="240"/>
              <w:spacing w:after="0"/>
              <w:rPr>
                <w:sz w:val="20"/>
                <w:szCs w:val="20"/>
                <w:color w:val="auto"/>
              </w:rPr>
            </w:pPr>
            <w:r>
              <w:rPr>
                <w:rFonts w:ascii="Arial" w:cs="Arial" w:eastAsia="Arial" w:hAnsi="Arial"/>
                <w:sz w:val="18"/>
                <w:szCs w:val="18"/>
                <w:color w:val="auto"/>
              </w:rPr>
              <w:t>Operating cash flows used for operating leases</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1,874</w:t>
            </w:r>
          </w:p>
        </w:tc>
      </w:tr>
      <w:tr>
        <w:trPr>
          <w:trHeight w:val="230"/>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for operating leases (in years)</w:t>
            </w:r>
          </w:p>
        </w:tc>
        <w:tc>
          <w:tcPr>
            <w:tcW w:w="56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r>
      <w:tr>
        <w:trPr>
          <w:trHeight w:val="230"/>
        </w:trPr>
        <w:tc>
          <w:tcPr>
            <w:tcW w:w="8860" w:type="dxa"/>
            <w:vAlign w:val="bottom"/>
          </w:tcPr>
          <w:p>
            <w:pPr>
              <w:ind w:left="20"/>
              <w:spacing w:after="0"/>
              <w:rPr>
                <w:sz w:val="20"/>
                <w:szCs w:val="20"/>
                <w:color w:val="auto"/>
              </w:rPr>
            </w:pPr>
            <w:r>
              <w:rPr>
                <w:rFonts w:ascii="Arial" w:cs="Arial" w:eastAsia="Arial" w:hAnsi="Arial"/>
                <w:sz w:val="18"/>
                <w:szCs w:val="18"/>
                <w:color w:val="auto"/>
              </w:rPr>
              <w:t>Weighted-average discount rate for operating leases</w:t>
            </w:r>
          </w:p>
        </w:tc>
        <w:tc>
          <w:tcPr>
            <w:tcW w:w="56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2.7 %</w:t>
            </w: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As of June 30, 2021, maturities of operating lease liabilities were as follows: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FY2022</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8,015</w:t>
            </w:r>
          </w:p>
        </w:tc>
      </w:tr>
      <w:tr>
        <w:trPr>
          <w:trHeight w:val="230"/>
        </w:trPr>
        <w:tc>
          <w:tcPr>
            <w:tcW w:w="9840" w:type="dxa"/>
            <w:vAlign w:val="bottom"/>
          </w:tcPr>
          <w:p>
            <w:pPr>
              <w:ind w:left="20"/>
              <w:spacing w:after="0"/>
              <w:rPr>
                <w:sz w:val="20"/>
                <w:szCs w:val="20"/>
                <w:color w:val="auto"/>
              </w:rPr>
            </w:pPr>
            <w:r>
              <w:rPr>
                <w:rFonts w:ascii="Arial" w:cs="Arial" w:eastAsia="Arial" w:hAnsi="Arial"/>
                <w:sz w:val="18"/>
                <w:szCs w:val="18"/>
                <w:color w:val="auto"/>
              </w:rPr>
              <w:t>FY2023</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9,722</w:t>
            </w:r>
          </w:p>
        </w:tc>
      </w:tr>
      <w:tr>
        <w:trPr>
          <w:trHeight w:val="230"/>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FY2024</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10,251</w:t>
            </w:r>
          </w:p>
        </w:tc>
      </w:tr>
      <w:tr>
        <w:trPr>
          <w:trHeight w:val="229"/>
        </w:trPr>
        <w:tc>
          <w:tcPr>
            <w:tcW w:w="9840" w:type="dxa"/>
            <w:vAlign w:val="bottom"/>
          </w:tcPr>
          <w:p>
            <w:pPr>
              <w:ind w:left="20"/>
              <w:spacing w:after="0"/>
              <w:rPr>
                <w:sz w:val="20"/>
                <w:szCs w:val="20"/>
                <w:color w:val="auto"/>
              </w:rPr>
            </w:pPr>
            <w:r>
              <w:rPr>
                <w:rFonts w:ascii="Arial" w:cs="Arial" w:eastAsia="Arial" w:hAnsi="Arial"/>
                <w:sz w:val="18"/>
                <w:szCs w:val="18"/>
                <w:color w:val="auto"/>
              </w:rPr>
              <w:t>FY2025</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9,926</w:t>
            </w:r>
          </w:p>
        </w:tc>
      </w:tr>
      <w:tr>
        <w:trPr>
          <w:trHeight w:val="230"/>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FY2026</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9,938</w:t>
            </w:r>
          </w:p>
        </w:tc>
      </w:tr>
      <w:tr>
        <w:trPr>
          <w:trHeight w:val="230"/>
        </w:trPr>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36,862</w:t>
            </w:r>
          </w:p>
        </w:tc>
      </w:tr>
      <w:tr>
        <w:trPr>
          <w:trHeight w:val="223"/>
        </w:trPr>
        <w:tc>
          <w:tcPr>
            <w:tcW w:w="9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lease liabilities</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84,714</w:t>
            </w:r>
          </w:p>
        </w:tc>
      </w:tr>
      <w:tr>
        <w:trPr>
          <w:trHeight w:val="230"/>
        </w:trPr>
        <w:tc>
          <w:tcPr>
            <w:tcW w:w="98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Less: Imputed interest</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(9,202)</w:t>
            </w:r>
          </w:p>
        </w:tc>
      </w:tr>
      <w:tr>
        <w:trPr>
          <w:trHeight w:val="248"/>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75,512</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Unfunded Capital Commitments</w:t>
      </w:r>
    </w:p>
    <w:p>
      <w:pPr>
        <w:spacing w:after="0" w:line="249" w:lineRule="exact"/>
        <w:rPr>
          <w:sz w:val="20"/>
          <w:szCs w:val="20"/>
          <w:color w:val="auto"/>
        </w:rPr>
      </w:pPr>
    </w:p>
    <w:p>
      <w:pPr>
        <w:ind w:right="520" w:firstLine="648"/>
        <w:spacing w:after="0" w:line="303" w:lineRule="auto"/>
        <w:rPr>
          <w:sz w:val="20"/>
          <w:szCs w:val="20"/>
          <w:color w:val="auto"/>
        </w:rPr>
      </w:pPr>
      <w:r>
        <w:rPr>
          <w:rFonts w:ascii="Arial" w:cs="Arial" w:eastAsia="Arial" w:hAnsi="Arial"/>
          <w:sz w:val="20"/>
          <w:szCs w:val="20"/>
          <w:color w:val="auto"/>
        </w:rPr>
        <w:t>As of June 30, 2021 and March 31, 2021, the Company, generally in its capacity as general partner or managing member of the StepStone Funds, had unfunded commitments totaling $54.0 million and $60.5 million, respectively.</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Carried Interest Allocations</w:t>
      </w:r>
    </w:p>
    <w:p>
      <w:pPr>
        <w:spacing w:after="0" w:line="22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Carried interest allocations are subject to reversal in the event of future losses, to the extent of the cumulative revenues recognized by the Company in income to date. Additionally, if the Company has received net profits over the life of the fund in excess of its allocable share under the applicable partnership agreement, the Company may be obligated to repay previously distributed carried interest that exceeds the amounts to which the Company is ultimately entitled. In these situations, a liability is accrued for the potential clawback obligation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June 30, 2021 and March 31, 2021, no material amounts for potential clawback obligations had been accrued. This contingent obligation is normally reduced by income taxes that the Company has paid related to the carried interest allocations. As of</w:t>
      </w:r>
    </w:p>
    <w:p>
      <w:pPr>
        <w:spacing w:after="0" w:line="6" w:lineRule="exact"/>
        <w:rPr>
          <w:sz w:val="20"/>
          <w:szCs w:val="20"/>
          <w:color w:val="auto"/>
        </w:rPr>
      </w:pPr>
    </w:p>
    <w:p>
      <w:pPr>
        <w:ind w:right="240"/>
        <w:spacing w:after="0" w:line="244" w:lineRule="auto"/>
        <w:rPr>
          <w:sz w:val="20"/>
          <w:szCs w:val="20"/>
          <w:color w:val="auto"/>
        </w:rPr>
      </w:pPr>
      <w:r>
        <w:rPr>
          <w:rFonts w:ascii="Arial" w:cs="Arial" w:eastAsia="Arial" w:hAnsi="Arial"/>
          <w:sz w:val="20"/>
          <w:szCs w:val="20"/>
          <w:color w:val="auto"/>
        </w:rPr>
        <w:t>June 30, 2021, the maximum amount of carried interest allocation subject to contingent repayment was an estimated $129.9 million, net of tax, assuming the fair value of all investments was zero, a possibility that the Company views as remote.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Indemnification Arrangements</w:t>
      </w:r>
    </w:p>
    <w:p>
      <w:pPr>
        <w:spacing w:after="0" w:line="222"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In the normal course of business and consistent with standard business practices, the Company has provided general indemnifications to its limited partners, officers and directors when they act in good faith in the performance of their duties for the Company. The terms of these indemnities vary from contract to contract. The Company’s maximum exposure under these arrangements cannot be determined as these indemnities relate to future claims that may be made against the Company or related parties, but which have not yet occurred. No liability related to these indemnities has been recorded in the condensed consolidated balance sheets as of June 30, 2021 and March 31, 2021. Based on past experience, management believes that the risk of loss related to these indemnities is remote.</w:t>
      </w:r>
    </w:p>
    <w:p>
      <w:pPr>
        <w:spacing w:after="0" w:line="15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16"/>
          <w:szCs w:val="16"/>
          <w:b w:val="1"/>
          <w:bCs w:val="1"/>
          <w:color w:val="auto"/>
        </w:rPr>
        <w:t>Subsequent Events</w:t>
      </w:r>
    </w:p>
    <w:p>
      <w:pPr>
        <w:spacing w:after="0" w:line="222" w:lineRule="exact"/>
        <w:rPr>
          <w:sz w:val="20"/>
          <w:szCs w:val="20"/>
          <w:color w:val="auto"/>
        </w:rPr>
      </w:pPr>
    </w:p>
    <w:p>
      <w:pPr>
        <w:ind w:firstLine="648"/>
        <w:spacing w:after="0" w:line="243" w:lineRule="auto"/>
        <w:rPr>
          <w:sz w:val="20"/>
          <w:szCs w:val="20"/>
          <w:color w:val="auto"/>
        </w:rPr>
      </w:pPr>
      <w:r>
        <w:rPr>
          <w:rFonts w:ascii="Arial" w:cs="Arial" w:eastAsia="Arial" w:hAnsi="Arial"/>
          <w:sz w:val="20"/>
          <w:szCs w:val="20"/>
          <w:color w:val="auto"/>
        </w:rPr>
        <w:t>In July 2021, the Company entered into a transaction agreement to acquire 100% of Greenspring Associates, Inc. and certain of its affiliates (collectively, “Greenspring”), for consideration of approximately $185 million in cash, 12,643,556 shares of Class A common stock and 3,114,723 newly issued Class C units of the Partnership. The transaction agreement also provides for the payment of up to $75 million of additional cash consideration as an earnout payment to the sellers, which would be payable in 2025 subject to achievement by Greenspring of certain management fee revenue targets for calendar year 2024. Greenspring is a leading venture capital and growth equity platform, and the acquisition of Greenspring is expected to expand the Company’s continued growth of its private markets capabilities across asset classes and geographies.</w:t>
      </w:r>
    </w:p>
    <w:p>
      <w:pPr>
        <w:spacing w:after="0" w:line="193" w:lineRule="exact"/>
        <w:rPr>
          <w:sz w:val="20"/>
          <w:szCs w:val="20"/>
          <w:color w:val="auto"/>
        </w:rPr>
      </w:pPr>
    </w:p>
    <w:p>
      <w:pPr>
        <w:ind w:right="360" w:firstLine="648"/>
        <w:spacing w:after="0" w:line="260" w:lineRule="auto"/>
        <w:rPr>
          <w:sz w:val="20"/>
          <w:szCs w:val="20"/>
          <w:color w:val="auto"/>
        </w:rPr>
      </w:pPr>
      <w:r>
        <w:rPr>
          <w:rFonts w:ascii="Arial" w:cs="Arial" w:eastAsia="Arial" w:hAnsi="Arial"/>
          <w:sz w:val="20"/>
          <w:szCs w:val="20"/>
          <w:color w:val="auto"/>
        </w:rPr>
        <w:t>On August 10 2021, the Company announced a quarterly cash dividend of $0.07 per share of Class A common stock, payable on September 15, 2021 to holders of record as of the close of business on August 31, 2021.</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33" w:name="page34"/>
    <w:bookmarkEnd w:id="33"/>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22"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i w:val="1"/>
          <w:iCs w:val="1"/>
          <w:color w:val="auto"/>
        </w:rPr>
        <w:t>The following discussion and analysis should be read in conjunction with the unaudited condensed consolidated financial statements and the related notes included within this quarterly report on Form 10-Q and our audited financial statements, the related notes, and Management’s Discussion and Analysis of Financial Condition and Results of Operations included in our annual report on Form 10-K for the fiscal year ended March 31, 2021 filed with the SEC. This quarterly report reflects the historical results of operations and financial position of StepStone Group LP, our predecessor for accounting purposes, prior to the Reorganization and IPO. In this quarterly report, references to “we,” “us,” “our,” “StepStone” and similar terms refer to SSG and its consolidated subsidiaries, including the Partnership, following the Reorganization and IPO and to the Partnership and its consolidated subsidiaries prior to the Reorganization and IPO.</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Business Overview</w:t>
      </w:r>
    </w:p>
    <w:p>
      <w:pPr>
        <w:spacing w:after="0" w:line="222" w:lineRule="exact"/>
        <w:rPr>
          <w:sz w:val="20"/>
          <w:szCs w:val="20"/>
          <w:color w:val="auto"/>
        </w:rPr>
      </w:pPr>
    </w:p>
    <w:p>
      <w:pPr>
        <w:ind w:right="140" w:firstLine="648"/>
        <w:spacing w:after="0" w:line="256" w:lineRule="auto"/>
        <w:rPr>
          <w:sz w:val="20"/>
          <w:szCs w:val="20"/>
          <w:color w:val="auto"/>
        </w:rPr>
      </w:pPr>
      <w:r>
        <w:rPr>
          <w:rFonts w:ascii="Arial" w:cs="Arial" w:eastAsia="Arial" w:hAnsi="Arial"/>
          <w:sz w:val="19"/>
          <w:szCs w:val="19"/>
          <w:color w:val="auto"/>
        </w:rPr>
        <w:t>We are a global private markets investment firm focused on providing customized investment solutions and advisory and data services to our clients. Our clients include some of the world’s largest public and private defined benefit and defined contribution pension funds, sovereign wealth funds and insurance companies, as well as prominent endowments, foundations, family offices and private wealth clients, which include high-net-worth and mass affluent individuals. We partner with our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 As of June 30, 2021, we oversaw approximately $465 billion of private markets allocations, including $90 billion of AUM and $375 billion of AUA.</w:t>
      </w:r>
    </w:p>
    <w:p>
      <w:pPr>
        <w:spacing w:after="0" w:line="184"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We are a global firm and believe that local knowledge, business relationships and presence are all critical to securing a competitive edge in the private markets. We deploy a local staffing model, operating from 19 offices across 13 countries across five continents. Our offices are staffed by investment professionals who bring valuable regional insights and language proficiency to enhance existing client relationships and build new client relationships. Since our inception in 2007, we have invested heavily in our platforms to drive growth and expand our investment solutions capabilities and service offerings, including through opportunistic transactions that have helped accelerate the growth of our team and capabilities. As of June 30, 2021, we had 586 total employees, including approximately 210 investment professionals and more than 370 employees across our operating team and implementation teams dedicated to sourcing, executing, analyzing and monitoring private markets opportunities.</w:t>
      </w:r>
    </w:p>
    <w:p>
      <w:pPr>
        <w:spacing w:after="0" w:line="180" w:lineRule="exact"/>
        <w:rPr>
          <w:sz w:val="20"/>
          <w:szCs w:val="20"/>
          <w:color w:val="auto"/>
        </w:rPr>
      </w:pPr>
    </w:p>
    <w:p>
      <w:pPr>
        <w:ind w:right="60" w:firstLine="648"/>
        <w:spacing w:after="0" w:line="260" w:lineRule="auto"/>
        <w:rPr>
          <w:sz w:val="20"/>
          <w:szCs w:val="20"/>
          <w:color w:val="auto"/>
        </w:rPr>
      </w:pPr>
      <w:r>
        <w:rPr>
          <w:rFonts w:ascii="Arial" w:cs="Arial" w:eastAsia="Arial" w:hAnsi="Arial"/>
          <w:sz w:val="20"/>
          <w:szCs w:val="20"/>
          <w:color w:val="auto"/>
        </w:rPr>
        <w:t>We have a flexible business model whereby many of our clients engage us for solutions across multiple asset classes and investment strategies. Our solutions are typically offered in the following commercial structures:</w:t>
      </w:r>
    </w:p>
    <w:p>
      <w:pPr>
        <w:spacing w:after="0" w:line="177" w:lineRule="exact"/>
        <w:rPr>
          <w:sz w:val="20"/>
          <w:szCs w:val="20"/>
          <w:color w:val="auto"/>
        </w:rPr>
      </w:pPr>
    </w:p>
    <w:p>
      <w:pPr>
        <w:ind w:left="660" w:right="40" w:hanging="328"/>
        <w:spacing w:after="0" w:line="246" w:lineRule="auto"/>
        <w:tabs>
          <w:tab w:leader="none" w:pos="648" w:val="left"/>
        </w:tabs>
        <w:numPr>
          <w:ilvl w:val="0"/>
          <w:numId w:val="13"/>
        </w:numPr>
        <w:rPr>
          <w:rFonts w:ascii="Arial" w:cs="Arial" w:eastAsia="Arial" w:hAnsi="Arial"/>
          <w:sz w:val="20"/>
          <w:szCs w:val="20"/>
          <w:color w:val="auto"/>
        </w:rPr>
      </w:pPr>
      <w:r>
        <w:rPr>
          <w:rFonts w:ascii="Arial" w:cs="Arial" w:eastAsia="Arial" w:hAnsi="Arial"/>
          <w:sz w:val="20"/>
          <w:szCs w:val="20"/>
          <w:i w:val="1"/>
          <w:iCs w:val="1"/>
          <w:color w:val="231F20"/>
        </w:rPr>
        <w:t>Separately managed accounts (“SMAs”)</w:t>
      </w:r>
      <w:r>
        <w:rPr>
          <w:rFonts w:ascii="Arial" w:cs="Arial" w:eastAsia="Arial" w:hAnsi="Arial"/>
          <w:sz w:val="20"/>
          <w:szCs w:val="20"/>
          <w:color w:val="000000"/>
        </w:rPr>
        <w:t>. Owned by one client and managed according to their specific preferences, SMAs integrate</w:t>
      </w:r>
      <w:r>
        <w:rPr>
          <w:rFonts w:ascii="Arial" w:cs="Arial" w:eastAsia="Arial" w:hAnsi="Arial"/>
          <w:sz w:val="20"/>
          <w:szCs w:val="20"/>
          <w:i w:val="1"/>
          <w:iCs w:val="1"/>
          <w:color w:val="231F20"/>
        </w:rPr>
        <w:t xml:space="preserve"> </w:t>
      </w:r>
      <w:r>
        <w:rPr>
          <w:rFonts w:ascii="Arial" w:cs="Arial" w:eastAsia="Arial" w:hAnsi="Arial"/>
          <w:sz w:val="20"/>
          <w:szCs w:val="20"/>
          <w:color w:val="000000"/>
        </w:rPr>
        <w:t>a combination of primaries, secondaries and co-investments across one or more asset classes. SMAs are meant to address clients’ specific portfolio objectives with respect to return, risk tolerance, diversification and liquidity. SMAs, including directly managed assets, comprised $67 billion of our AUM as of June 30, 2021</w:t>
      </w:r>
      <w:r>
        <w:rPr>
          <w:rFonts w:ascii="Arial" w:cs="Arial" w:eastAsia="Arial" w:hAnsi="Arial"/>
          <w:sz w:val="20"/>
          <w:szCs w:val="20"/>
          <w:color w:val="231F20"/>
        </w:rPr>
        <w:t>.</w:t>
      </w:r>
    </w:p>
    <w:p>
      <w:pPr>
        <w:spacing w:after="0" w:line="191" w:lineRule="exact"/>
        <w:rPr>
          <w:rFonts w:ascii="Arial" w:cs="Arial" w:eastAsia="Arial" w:hAnsi="Arial"/>
          <w:sz w:val="20"/>
          <w:szCs w:val="20"/>
          <w:color w:val="auto"/>
        </w:rPr>
      </w:pPr>
    </w:p>
    <w:p>
      <w:pPr>
        <w:ind w:left="660" w:right="160" w:hanging="328"/>
        <w:spacing w:after="0" w:line="316" w:lineRule="auto"/>
        <w:tabs>
          <w:tab w:leader="none" w:pos="648"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231F20"/>
        </w:rPr>
        <w:t xml:space="preserve">Focused commingled funds. </w:t>
      </w:r>
      <w:r>
        <w:rPr>
          <w:rFonts w:ascii="Arial" w:cs="Arial" w:eastAsia="Arial" w:hAnsi="Arial"/>
          <w:sz w:val="18"/>
          <w:szCs w:val="18"/>
          <w:color w:val="231F20"/>
        </w:rPr>
        <w:t>Owned by multiple clients, our focused commingled funds deploy capital in specific asset classes with</w:t>
      </w:r>
      <w:r>
        <w:rPr>
          <w:rFonts w:ascii="Arial" w:cs="Arial" w:eastAsia="Arial" w:hAnsi="Arial"/>
          <w:sz w:val="18"/>
          <w:szCs w:val="18"/>
          <w:i w:val="1"/>
          <w:iCs w:val="1"/>
          <w:color w:val="231F20"/>
        </w:rPr>
        <w:t xml:space="preserve"> </w:t>
      </w:r>
      <w:r>
        <w:rPr>
          <w:rFonts w:ascii="Arial" w:cs="Arial" w:eastAsia="Arial" w:hAnsi="Arial"/>
          <w:sz w:val="18"/>
          <w:szCs w:val="18"/>
          <w:color w:val="231F20"/>
        </w:rPr>
        <w:t xml:space="preserve">defined investment strategies. Focused commingled funds comprised $15 billion of our AUM as of </w:t>
      </w:r>
      <w:r>
        <w:rPr>
          <w:rFonts w:ascii="Arial" w:cs="Arial" w:eastAsia="Arial" w:hAnsi="Arial"/>
          <w:sz w:val="18"/>
          <w:szCs w:val="18"/>
          <w:color w:val="000000"/>
        </w:rPr>
        <w:t>June 30, 2021</w:t>
      </w:r>
      <w:r>
        <w:rPr>
          <w:rFonts w:ascii="Arial" w:cs="Arial" w:eastAsia="Arial" w:hAnsi="Arial"/>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4" w:name="page35"/>
    <w:bookmarkEnd w:id="34"/>
    <w:p>
      <w:pPr>
        <w:spacing w:after="0" w:line="141" w:lineRule="exact"/>
        <w:rPr>
          <w:sz w:val="20"/>
          <w:szCs w:val="20"/>
          <w:color w:val="auto"/>
        </w:rPr>
      </w:pPr>
    </w:p>
    <w:p>
      <w:pPr>
        <w:ind w:left="660" w:right="40" w:hanging="328"/>
        <w:spacing w:after="0" w:line="276" w:lineRule="auto"/>
        <w:tabs>
          <w:tab w:leader="none" w:pos="648"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231F20"/>
        </w:rPr>
        <w:t xml:space="preserve">Advisory and data services. </w:t>
      </w:r>
      <w:r>
        <w:rPr>
          <w:rFonts w:ascii="Arial" w:cs="Arial" w:eastAsia="Arial" w:hAnsi="Arial"/>
          <w:sz w:val="18"/>
          <w:szCs w:val="18"/>
          <w:color w:val="231F20"/>
        </w:rPr>
        <w:t>These services include one or more of the following for our clients: (i) recurring support of portfolio</w:t>
      </w:r>
      <w:r>
        <w:rPr>
          <w:rFonts w:ascii="Arial" w:cs="Arial" w:eastAsia="Arial" w:hAnsi="Arial"/>
          <w:sz w:val="18"/>
          <w:szCs w:val="18"/>
          <w:i w:val="1"/>
          <w:iCs w:val="1"/>
          <w:color w:val="231F20"/>
        </w:rPr>
        <w:t xml:space="preserve"> </w:t>
      </w:r>
      <w:r>
        <w:rPr>
          <w:rFonts w:ascii="Arial" w:cs="Arial" w:eastAsia="Arial" w:hAnsi="Arial"/>
          <w:sz w:val="18"/>
          <w:szCs w:val="18"/>
          <w:color w:val="231F20"/>
        </w:rPr>
        <w:t xml:space="preserve">construction and design; (ii) discrete or project-based due diligence, advice and investment recommendations; (iii) detailed review of existing private markets investments, including portfolio-level repositioning recommendations where appropriate; (iv) consulting on investment pacing, policies, strategic plans, and asset allocation to investment boards and committees; and (v) licensed access to our proprietary data and technology platforms, including StepStone Private Markets Intelligence (“SPI”) and our other proprietary tool. Advisory relationships comprised </w:t>
      </w:r>
      <w:r>
        <w:rPr>
          <w:rFonts w:ascii="Arial" w:cs="Arial" w:eastAsia="Arial" w:hAnsi="Arial"/>
          <w:sz w:val="18"/>
          <w:szCs w:val="18"/>
          <w:color w:val="000000"/>
        </w:rPr>
        <w:t>$375 billion</w:t>
      </w:r>
      <w:r>
        <w:rPr>
          <w:rFonts w:ascii="Arial" w:cs="Arial" w:eastAsia="Arial" w:hAnsi="Arial"/>
          <w:sz w:val="18"/>
          <w:szCs w:val="18"/>
          <w:color w:val="231F20"/>
        </w:rPr>
        <w:t xml:space="preserve"> of our AUA and $7 billion of our AUM as of </w:t>
      </w:r>
      <w:r>
        <w:rPr>
          <w:rFonts w:ascii="Arial" w:cs="Arial" w:eastAsia="Arial" w:hAnsi="Arial"/>
          <w:sz w:val="18"/>
          <w:szCs w:val="18"/>
          <w:color w:val="000000"/>
        </w:rPr>
        <w:t>June 30, 2021</w:t>
      </w:r>
      <w:r>
        <w:rPr>
          <w:rFonts w:ascii="Arial" w:cs="Arial" w:eastAsia="Arial" w:hAnsi="Arial"/>
          <w:sz w:val="18"/>
          <w:szCs w:val="18"/>
          <w:color w:val="231F20"/>
        </w:rPr>
        <w:t>.</w:t>
      </w:r>
    </w:p>
    <w:p>
      <w:pPr>
        <w:spacing w:after="0" w:line="164" w:lineRule="exact"/>
        <w:rPr>
          <w:rFonts w:ascii="Arial" w:cs="Arial" w:eastAsia="Arial" w:hAnsi="Arial"/>
          <w:sz w:val="18"/>
          <w:szCs w:val="18"/>
          <w:color w:val="auto"/>
        </w:rPr>
      </w:pPr>
    </w:p>
    <w:p>
      <w:pPr>
        <w:ind w:left="660" w:right="400" w:hanging="328"/>
        <w:spacing w:after="0" w:line="260" w:lineRule="auto"/>
        <w:tabs>
          <w:tab w:leader="none" w:pos="648" w:val="left"/>
        </w:tabs>
        <w:numPr>
          <w:ilvl w:val="0"/>
          <w:numId w:val="14"/>
        </w:numPr>
        <w:rPr>
          <w:rFonts w:ascii="Arial" w:cs="Arial" w:eastAsia="Arial" w:hAnsi="Arial"/>
          <w:sz w:val="19"/>
          <w:szCs w:val="19"/>
          <w:color w:val="auto"/>
        </w:rPr>
      </w:pPr>
      <w:r>
        <w:rPr>
          <w:rFonts w:ascii="Arial" w:cs="Arial" w:eastAsia="Arial" w:hAnsi="Arial"/>
          <w:sz w:val="19"/>
          <w:szCs w:val="19"/>
          <w:i w:val="1"/>
          <w:iCs w:val="1"/>
          <w:color w:val="231F20"/>
        </w:rPr>
        <w:t xml:space="preserve">Portfolio analytics and reporting. </w:t>
      </w:r>
      <w:r>
        <w:rPr>
          <w:rFonts w:ascii="Arial" w:cs="Arial" w:eastAsia="Arial" w:hAnsi="Arial"/>
          <w:sz w:val="19"/>
          <w:szCs w:val="19"/>
          <w:color w:val="231F20"/>
        </w:rPr>
        <w:t>We provide clients with tailored reporting packages, including customized performance</w:t>
      </w:r>
      <w:r>
        <w:rPr>
          <w:rFonts w:ascii="Arial" w:cs="Arial" w:eastAsia="Arial" w:hAnsi="Arial"/>
          <w:sz w:val="19"/>
          <w:szCs w:val="19"/>
          <w:i w:val="1"/>
          <w:iCs w:val="1"/>
          <w:color w:val="231F20"/>
        </w:rPr>
        <w:t xml:space="preserve"> </w:t>
      </w:r>
      <w:r>
        <w:rPr>
          <w:rFonts w:ascii="Arial" w:cs="Arial" w:eastAsia="Arial" w:hAnsi="Arial"/>
          <w:sz w:val="19"/>
          <w:szCs w:val="19"/>
          <w:color w:val="231F20"/>
        </w:rPr>
        <w:t xml:space="preserve">benchmarks as well as associated compliance, administrative and tax capabilities. Mandates for portfolio analytics and reporting services typically include licensed access to our proprietary performance monitoring software, Omni. Omni tracked detailed information on over $700 billion of client commitments as of </w:t>
      </w:r>
      <w:r>
        <w:rPr>
          <w:rFonts w:ascii="Arial" w:cs="Arial" w:eastAsia="Arial" w:hAnsi="Arial"/>
          <w:sz w:val="19"/>
          <w:szCs w:val="19"/>
          <w:color w:val="000000"/>
        </w:rPr>
        <w:t>June 30, 2021</w:t>
      </w:r>
      <w:r>
        <w:rPr>
          <w:rFonts w:ascii="Arial" w:cs="Arial" w:eastAsia="Arial" w:hAnsi="Arial"/>
          <w:sz w:val="19"/>
          <w:szCs w:val="19"/>
          <w:color w:val="231F20"/>
        </w:rPr>
        <w:t>, inclusive of our combined AUM/AUA, previously exited investments and investments of former clients.</w:t>
      </w:r>
    </w:p>
    <w:p>
      <w:pPr>
        <w:spacing w:after="0" w:line="180"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We generate revenues from management and advisory fees and performance fees earned pursuant to contractual arrangements with our funds and our clients. We also invest our own capital in the StepStone Funds we manage to align our interests with those of our clients. Through these investments, we earn a pro-rata share of the results of such funds and may also be entitled to an allocation of performance-based fees from the limited partners in the StepStone Funds, commonly referred to as carried interest.</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Trends Affecting Our Business</w:t>
      </w:r>
    </w:p>
    <w:p>
      <w:pPr>
        <w:spacing w:after="0" w:line="222" w:lineRule="exact"/>
        <w:rPr>
          <w:sz w:val="20"/>
          <w:szCs w:val="20"/>
          <w:color w:val="auto"/>
        </w:rPr>
      </w:pPr>
    </w:p>
    <w:p>
      <w:pPr>
        <w:ind w:right="140" w:firstLine="648"/>
        <w:spacing w:after="0" w:line="244" w:lineRule="auto"/>
        <w:rPr>
          <w:sz w:val="20"/>
          <w:szCs w:val="20"/>
          <w:color w:val="auto"/>
        </w:rPr>
      </w:pPr>
      <w:r>
        <w:rPr>
          <w:rFonts w:ascii="Arial" w:cs="Arial" w:eastAsia="Arial" w:hAnsi="Arial"/>
          <w:sz w:val="20"/>
          <w:szCs w:val="20"/>
          <w:color w:val="231F20"/>
        </w:rPr>
        <w:t>Our business is affected by a variety of factors, including conditions in the financial markets and economic and political conditions. Changes in global economic conditions and regulatory or other governmental policies or actions can materially affect the values of the StepStone Funds’ holdings and the ability to source attractive investments and completely utilize the capital that we have raised. However, we believe our disciplined investment philosophy across our diversified investment strategies has historically contributed to the stability of our performance throughout market cycles.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In addition to these macroeconomic trends and market factors, we believe our future performance will be influenced by the following</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231F20"/>
        </w:rPr>
        <w:t>factors:</w:t>
      </w:r>
    </w:p>
    <w:p>
      <w:pPr>
        <w:spacing w:after="0" w:line="200" w:lineRule="exact"/>
        <w:rPr>
          <w:sz w:val="20"/>
          <w:szCs w:val="20"/>
          <w:color w:val="auto"/>
        </w:rPr>
      </w:pPr>
    </w:p>
    <w:p>
      <w:pPr>
        <w:ind w:left="660" w:right="140" w:hanging="328"/>
        <w:spacing w:after="0" w:line="243"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20"/>
          <w:szCs w:val="20"/>
          <w:i w:val="1"/>
          <w:iCs w:val="1"/>
          <w:color w:val="231F20"/>
        </w:rPr>
        <w:t xml:space="preserve">The extent to which clients favor private markets investments. </w:t>
      </w:r>
      <w:r>
        <w:rPr>
          <w:rFonts w:ascii="Arial" w:cs="Arial" w:eastAsia="Arial" w:hAnsi="Arial"/>
          <w:sz w:val="20"/>
          <w:szCs w:val="20"/>
          <w:color w:val="231F20"/>
        </w:rPr>
        <w:t>Our ability to attract new capital is partially dependent on clients’</w:t>
      </w:r>
      <w:r>
        <w:rPr>
          <w:rFonts w:ascii="Arial" w:cs="Arial" w:eastAsia="Arial" w:hAnsi="Arial"/>
          <w:sz w:val="20"/>
          <w:szCs w:val="20"/>
          <w:i w:val="1"/>
          <w:iCs w:val="1"/>
          <w:color w:val="231F20"/>
        </w:rPr>
        <w:t xml:space="preserve"> </w:t>
      </w:r>
      <w:r>
        <w:rPr>
          <w:rFonts w:ascii="Arial" w:cs="Arial" w:eastAsia="Arial" w:hAnsi="Arial"/>
          <w:sz w:val="20"/>
          <w:szCs w:val="20"/>
          <w:color w:val="231F20"/>
        </w:rPr>
        <w:t>views of private markets relative to traditional asset classes. We believe our fundraising efforts will continue to be subject to certain fundamental asset management trends, including (1) the increasing importance and market share of private markets investment strategies to clients of all types as clients focus on lower-correlated and absolute levels of return, (2) the increasing demand for private markets from private wealth clients, (3) shifting asset allocation policies of institutional clients and (4) increasing barriers to entry and growth for potential competitors.</w:t>
      </w:r>
    </w:p>
    <w:p>
      <w:pPr>
        <w:spacing w:after="0" w:line="195" w:lineRule="exact"/>
        <w:rPr>
          <w:rFonts w:ascii="Arial" w:cs="Arial" w:eastAsia="Arial" w:hAnsi="Arial"/>
          <w:sz w:val="20"/>
          <w:szCs w:val="20"/>
          <w:color w:val="auto"/>
        </w:rPr>
      </w:pPr>
    </w:p>
    <w:p>
      <w:pPr>
        <w:ind w:left="660" w:hanging="328"/>
        <w:spacing w:after="0" w:line="278" w:lineRule="auto"/>
        <w:tabs>
          <w:tab w:leader="none" w:pos="648"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231F20"/>
        </w:rPr>
        <w:t xml:space="preserve">Our ability to generate strong, stable returns. </w:t>
      </w:r>
      <w:r>
        <w:rPr>
          <w:rFonts w:ascii="Arial" w:cs="Arial" w:eastAsia="Arial" w:hAnsi="Arial"/>
          <w:sz w:val="18"/>
          <w:szCs w:val="18"/>
          <w:color w:val="231F20"/>
        </w:rPr>
        <w:t>Our ability to raise and retain capital is partially dependent on the investment returns</w:t>
      </w:r>
      <w:r>
        <w:rPr>
          <w:rFonts w:ascii="Arial" w:cs="Arial" w:eastAsia="Arial" w:hAnsi="Arial"/>
          <w:sz w:val="18"/>
          <w:szCs w:val="18"/>
          <w:i w:val="1"/>
          <w:iCs w:val="1"/>
          <w:color w:val="231F20"/>
        </w:rPr>
        <w:t xml:space="preserve"> </w:t>
      </w:r>
      <w:r>
        <w:rPr>
          <w:rFonts w:ascii="Arial" w:cs="Arial" w:eastAsia="Arial" w:hAnsi="Arial"/>
          <w:sz w:val="18"/>
          <w:szCs w:val="18"/>
          <w:color w:val="231F20"/>
        </w:rPr>
        <w:t>we are able to generate for our clients and drives growth in our fee-earning AUM (“FEAUM”) and management fees. Although our FEAUM and management fees have grown significantly since our inception, adverse market conditions or an outflow of capital in the private markets management industry in general could affect our future growth rate. In addition, market dislocations, contractions or volatility could put pressure on our returns in the future which could in turn affect our fundraising abilities.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141" w:lineRule="exact"/>
        <w:rPr>
          <w:sz w:val="20"/>
          <w:szCs w:val="20"/>
          <w:color w:val="auto"/>
        </w:rPr>
      </w:pPr>
    </w:p>
    <w:p>
      <w:pPr>
        <w:ind w:left="660" w:right="80" w:hanging="328"/>
        <w:spacing w:after="0" w:line="278" w:lineRule="auto"/>
        <w:tabs>
          <w:tab w:leader="none" w:pos="648"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231F20"/>
        </w:rPr>
        <w:t xml:space="preserve">Our ability to maintain our data advantage relative to competitors. </w:t>
      </w:r>
      <w:r>
        <w:rPr>
          <w:rFonts w:ascii="Arial" w:cs="Arial" w:eastAsia="Arial" w:hAnsi="Arial"/>
          <w:sz w:val="18"/>
          <w:szCs w:val="18"/>
          <w:color w:val="231F20"/>
        </w:rPr>
        <w:t>Our proprietary data and technology platforms, analytical tools</w:t>
      </w:r>
      <w:r>
        <w:rPr>
          <w:rFonts w:ascii="Arial" w:cs="Arial" w:eastAsia="Arial" w:hAnsi="Arial"/>
          <w:sz w:val="18"/>
          <w:szCs w:val="18"/>
          <w:i w:val="1"/>
          <w:iCs w:val="1"/>
          <w:color w:val="231F20"/>
        </w:rPr>
        <w:t xml:space="preserve"> </w:t>
      </w:r>
      <w:r>
        <w:rPr>
          <w:rFonts w:ascii="Arial" w:cs="Arial" w:eastAsia="Arial" w:hAnsi="Arial"/>
          <w:sz w:val="18"/>
          <w:szCs w:val="18"/>
          <w:color w:val="231F20"/>
        </w:rPr>
        <w:t>and deep industry knowledge allow us to provide our clients with customized investment solutions, including asset management services and tailored reporting packages, such as customized performance benchmarks as well as compliance, administration and tax capabilities. Our ability to maintain our data advantage is dependent on a number of factors, including our continued access to a broad set of private market information and our ability to grow our relationships with fund managers and clients of all types.</w:t>
      </w:r>
    </w:p>
    <w:p>
      <w:pPr>
        <w:spacing w:after="0" w:line="164" w:lineRule="exact"/>
        <w:rPr>
          <w:rFonts w:ascii="Arial" w:cs="Arial" w:eastAsia="Arial" w:hAnsi="Arial"/>
          <w:sz w:val="18"/>
          <w:szCs w:val="18"/>
          <w:color w:val="auto"/>
        </w:rPr>
      </w:pPr>
    </w:p>
    <w:p>
      <w:pPr>
        <w:ind w:left="660" w:right="80" w:hanging="328"/>
        <w:spacing w:after="0" w:line="243"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20"/>
          <w:szCs w:val="20"/>
          <w:i w:val="1"/>
          <w:iCs w:val="1"/>
          <w:color w:val="231F20"/>
        </w:rPr>
        <w:t xml:space="preserve">Our ability to source investments with attractive risk-adjusted returns. </w:t>
      </w:r>
      <w:r>
        <w:rPr>
          <w:rFonts w:ascii="Arial" w:cs="Arial" w:eastAsia="Arial" w:hAnsi="Arial"/>
          <w:sz w:val="20"/>
          <w:szCs w:val="20"/>
          <w:color w:val="231F20"/>
        </w:rPr>
        <w:t>The continued growth in our revenues is dependent on our</w:t>
      </w:r>
      <w:r>
        <w:rPr>
          <w:rFonts w:ascii="Arial" w:cs="Arial" w:eastAsia="Arial" w:hAnsi="Arial"/>
          <w:sz w:val="20"/>
          <w:szCs w:val="20"/>
          <w:i w:val="1"/>
          <w:iCs w:val="1"/>
          <w:color w:val="231F20"/>
        </w:rPr>
        <w:t xml:space="preserve"> </w:t>
      </w:r>
      <w:r>
        <w:rPr>
          <w:rFonts w:ascii="Arial" w:cs="Arial" w:eastAsia="Arial" w:hAnsi="Arial"/>
          <w:sz w:val="20"/>
          <w:szCs w:val="20"/>
          <w:color w:val="231F20"/>
        </w:rPr>
        <w:t>ability to identify attractive investments and deploy the capital that we have raised. However, the capital deployed in any one quarter may vary significantly from period to period due to the availability of attractive opportunities and the long-term nature of our investment strategies. Our ability to identify attractive investments is dependent on a number of factors, including the general macroeconomic environment, valuation, transaction size, and the liquidity of such investment opportunity. A significant decrease in the quality or quantity of potential opportunities could adversely affect our ability to source investments with attractive risk-adjusted returns.</w:t>
      </w:r>
    </w:p>
    <w:p>
      <w:pPr>
        <w:spacing w:after="0" w:line="192" w:lineRule="exact"/>
        <w:rPr>
          <w:rFonts w:ascii="Arial" w:cs="Arial" w:eastAsia="Arial" w:hAnsi="Arial"/>
          <w:sz w:val="20"/>
          <w:szCs w:val="20"/>
          <w:color w:val="auto"/>
        </w:rPr>
      </w:pPr>
    </w:p>
    <w:p>
      <w:pPr>
        <w:ind w:left="660" w:right="60" w:hanging="328"/>
        <w:spacing w:after="0" w:line="244"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20"/>
          <w:szCs w:val="20"/>
          <w:i w:val="1"/>
          <w:iCs w:val="1"/>
          <w:color w:val="231F20"/>
        </w:rPr>
        <w:t xml:space="preserve">Increased competition and clients’ desire to work with fewer managers. </w:t>
      </w:r>
      <w:r>
        <w:rPr>
          <w:rFonts w:ascii="Arial" w:cs="Arial" w:eastAsia="Arial" w:hAnsi="Arial"/>
          <w:sz w:val="20"/>
          <w:szCs w:val="20"/>
          <w:color w:val="231F20"/>
        </w:rPr>
        <w:t>There has been an increasing desire on the part of larger</w:t>
      </w:r>
      <w:r>
        <w:rPr>
          <w:rFonts w:ascii="Arial" w:cs="Arial" w:eastAsia="Arial" w:hAnsi="Arial"/>
          <w:sz w:val="20"/>
          <w:szCs w:val="20"/>
          <w:i w:val="1"/>
          <w:iCs w:val="1"/>
          <w:color w:val="231F20"/>
        </w:rPr>
        <w:t xml:space="preserve"> </w:t>
      </w:r>
      <w:r>
        <w:rPr>
          <w:rFonts w:ascii="Arial" w:cs="Arial" w:eastAsia="Arial" w:hAnsi="Arial"/>
          <w:sz w:val="20"/>
          <w:szCs w:val="20"/>
          <w:color w:val="231F20"/>
        </w:rPr>
        <w:t>institutional investors to build deeper relationships with fewer private markets managers. At times, this has led to certain funds being oversubscribed due to the increasing flow of capital. Our ability to invest and maintain our relationships with high-performing fund managers across private markets asset classes is critical to our clients’ success and our ability to maintain our competitive position and grow our revenue.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Impact of COVID-19</w:t>
      </w:r>
    </w:p>
    <w:p>
      <w:pPr>
        <w:spacing w:after="0" w:line="222" w:lineRule="exact"/>
        <w:rPr>
          <w:sz w:val="20"/>
          <w:szCs w:val="20"/>
          <w:color w:val="auto"/>
        </w:rPr>
      </w:pPr>
    </w:p>
    <w:p>
      <w:pPr>
        <w:ind w:firstLine="648"/>
        <w:spacing w:after="0" w:line="242" w:lineRule="auto"/>
        <w:rPr>
          <w:sz w:val="20"/>
          <w:szCs w:val="20"/>
          <w:color w:val="auto"/>
        </w:rPr>
      </w:pPr>
      <w:r>
        <w:rPr>
          <w:rFonts w:ascii="Arial" w:cs="Arial" w:eastAsia="Arial" w:hAnsi="Arial"/>
          <w:sz w:val="20"/>
          <w:szCs w:val="20"/>
          <w:color w:val="231F20"/>
        </w:rPr>
        <w:t>In March 2020, the World Health Organization declared the outbreak of the novel coronavirus (“COVID-19”) a global pandemic. The spread of COVID-19 throughout the world has led many countries to institute a variety of measures in an effort to contain viral spread, which has led to significant disruption and uncertainty in the global financial markets. While some of the initial restrictions have been relaxed or lifted in an effort to generate more economic activity following progress on vaccine distribution, the risk of future COVID-19 outbreaks or worsening conditions remains, particularly with the introduction of the Delta variant, and restrictions have been and may continue to be reimposed to mitigate risks to public health in jurisdictions where additional outbreaks have been detected. Moreover, even where restrictions are and remain lifted, and as vaccinations have become available and more accessible, certain groups of people may continue to self-isolate and not participate in the economy at pre-pandemic levels for a prolonged period of time, potentially further delaying global economic recovery.</w:t>
      </w:r>
    </w:p>
    <w:p>
      <w:pPr>
        <w:spacing w:after="0" w:line="194" w:lineRule="exact"/>
        <w:rPr>
          <w:sz w:val="20"/>
          <w:szCs w:val="20"/>
          <w:color w:val="auto"/>
        </w:rPr>
      </w:pPr>
    </w:p>
    <w:p>
      <w:pPr>
        <w:ind w:right="140" w:firstLine="648"/>
        <w:spacing w:after="0" w:line="271" w:lineRule="auto"/>
        <w:rPr>
          <w:sz w:val="20"/>
          <w:szCs w:val="20"/>
          <w:color w:val="auto"/>
        </w:rPr>
      </w:pPr>
      <w:r>
        <w:rPr>
          <w:rFonts w:ascii="Arial" w:cs="Arial" w:eastAsia="Arial" w:hAnsi="Arial"/>
          <w:sz w:val="18"/>
          <w:szCs w:val="18"/>
          <w:color w:val="231F20"/>
        </w:rPr>
        <w:t xml:space="preserve">We are closely monitoring developments related to COVID-19 and assessing any negative impacts to our business. The COVID-19 pandemic has affected, and may further affect, our business in various ways. In particular, it is possible that our future results may be adversely affected by slowdowns in fundraising activity and the pace of capital deployment, which could result in delayed or decreased management fees. Further, if fund managers are unable or less able to profitably exit existing investments, such conditions could result in delayed or decreased performance fee revenues. The underlying investments in the StepStone Funds reflect valuations on a three-month lag, or as of March 31, 2021, adjusted for capital contributions and distributions during the three-month lag period ended </w:t>
      </w:r>
      <w:r>
        <w:rPr>
          <w:rFonts w:ascii="Arial" w:cs="Arial" w:eastAsia="Arial" w:hAnsi="Arial"/>
          <w:sz w:val="18"/>
          <w:szCs w:val="18"/>
          <w:color w:val="000000"/>
        </w:rPr>
        <w:t>June 30, 2021</w:t>
      </w:r>
      <w:r>
        <w:rPr>
          <w:rFonts w:ascii="Arial" w:cs="Arial" w:eastAsia="Arial" w:hAnsi="Arial"/>
          <w:sz w:val="18"/>
          <w:szCs w:val="18"/>
          <w:color w:val="231F20"/>
        </w:rPr>
        <w:t xml:space="preserve">. During the three months ended June 30, 2020, our </w:t>
      </w:r>
      <w:r>
        <w:rPr>
          <w:rFonts w:ascii="Arial" w:cs="Arial" w:eastAsia="Arial" w:hAnsi="Arial"/>
          <w:sz w:val="18"/>
          <w:szCs w:val="18"/>
          <w:color w:val="000000"/>
        </w:rPr>
        <w:t>investments in StepStone Funds and accrued carried interest allocations initially experienced</w:t>
      </w:r>
      <w:r>
        <w:rPr>
          <w:rFonts w:ascii="Arial" w:cs="Arial" w:eastAsia="Arial" w:hAnsi="Arial"/>
          <w:sz w:val="18"/>
          <w:szCs w:val="18"/>
          <w:color w:val="231F20"/>
        </w:rPr>
        <w:t xml:space="preserve"> </w:t>
      </w:r>
      <w:r>
        <w:rPr>
          <w:rFonts w:ascii="Arial" w:cs="Arial" w:eastAsia="Arial" w:hAnsi="Arial"/>
          <w:sz w:val="18"/>
          <w:szCs w:val="18"/>
          <w:color w:val="000000"/>
        </w:rPr>
        <w:t xml:space="preserve">significant declines, primarily reflecting the unrealized depreciation in the fair value of certain underlying fund investments driven by the impact of COVID-19, and has subsequently seen </w:t>
      </w:r>
      <w:r>
        <w:rPr>
          <w:rFonts w:ascii="Arial" w:cs="Arial" w:eastAsia="Arial" w:hAnsi="Arial"/>
          <w:sz w:val="18"/>
          <w:szCs w:val="18"/>
          <w:color w:val="231F20"/>
        </w:rPr>
        <w:t>significant increases, primarily reflecting the unrealized appreciation in the fair value of</w:t>
      </w:r>
      <w:r>
        <w:rPr>
          <w:rFonts w:ascii="Arial" w:cs="Arial" w:eastAsia="Arial" w:hAnsi="Arial"/>
          <w:sz w:val="18"/>
          <w:szCs w:val="18"/>
          <w:color w:val="000000"/>
        </w:rPr>
        <w:t xml:space="preserve"> </w:t>
      </w:r>
      <w:r>
        <w:rPr>
          <w:rFonts w:ascii="Arial" w:cs="Arial" w:eastAsia="Arial" w:hAnsi="Arial"/>
          <w:sz w:val="18"/>
          <w:szCs w:val="18"/>
          <w:color w:val="231F20"/>
        </w:rPr>
        <w:t>certain underlying fund investments driven by the general recovery in the financial markets.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Recent Transactions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Reorganization and Initial Public Offering</w:t>
      </w:r>
    </w:p>
    <w:p>
      <w:pPr>
        <w:spacing w:after="0" w:line="222" w:lineRule="exact"/>
        <w:rPr>
          <w:sz w:val="20"/>
          <w:szCs w:val="20"/>
          <w:color w:val="auto"/>
        </w:rPr>
      </w:pPr>
    </w:p>
    <w:p>
      <w:pPr>
        <w:ind w:right="40" w:firstLine="648"/>
        <w:spacing w:after="0" w:line="278" w:lineRule="auto"/>
        <w:rPr>
          <w:sz w:val="20"/>
          <w:szCs w:val="20"/>
          <w:color w:val="auto"/>
        </w:rPr>
      </w:pPr>
      <w:r>
        <w:rPr>
          <w:rFonts w:ascii="Arial" w:cs="Arial" w:eastAsia="Arial" w:hAnsi="Arial"/>
          <w:sz w:val="18"/>
          <w:szCs w:val="18"/>
          <w:color w:val="auto"/>
        </w:rPr>
        <w:t>On September 18, 2020, we completed an IPO pursuant to which we issued 20,125,000 shares of Class A common stock at a price of $18.00 per share. We received net proceeds from the offering of $337.8 million, net of underwriting discounts of $24.5 million and before offering costs of $9.7 million that were incurred by the Partnership. We used approximately $209.8 million of the net proceeds from the offering to acquire 12,500,000 newly issued Class A units of the Partnership and approximately $128.0 million to purchase 7,625,000 Class B units from certain of the Partnership’s existing unitholders, including certain members of senior management.</w:t>
      </w:r>
    </w:p>
    <w:p>
      <w:pPr>
        <w:spacing w:after="0" w:line="165" w:lineRule="exact"/>
        <w:rPr>
          <w:sz w:val="20"/>
          <w:szCs w:val="20"/>
          <w:color w:val="auto"/>
        </w:rPr>
      </w:pPr>
    </w:p>
    <w:p>
      <w:pPr>
        <w:ind w:right="40" w:firstLine="648"/>
        <w:spacing w:after="0" w:line="276" w:lineRule="auto"/>
        <w:rPr>
          <w:sz w:val="20"/>
          <w:szCs w:val="20"/>
          <w:color w:val="auto"/>
        </w:rPr>
      </w:pPr>
      <w:r>
        <w:rPr>
          <w:rFonts w:ascii="Arial" w:cs="Arial" w:eastAsia="Arial" w:hAnsi="Arial"/>
          <w:sz w:val="18"/>
          <w:szCs w:val="18"/>
          <w:color w:val="auto"/>
        </w:rPr>
        <w:t>In connection with the IPO, we completed certain transactions as part of the Reorganization to, among other things, provide for Class A common stock and Class B common stock; appoint SSG as the sole managing member of StepStone Group Holdings LLC, the General Partner; complete a series of merger transactions such that certain blocker entities in which certain pre-IPO institutional investors held their interests in the Partnership merged with and into SSG, with SSG surviving, resulting in the pre-IPO institutional investors acquiring 9,112,500 shares of newly issued Class A common stock of SSG; and classify the Partnership’s interests acquired by SSG as Class A units and reclassify the Partnership’s interests held by the continuing partners as Class B units.</w:t>
      </w:r>
    </w:p>
    <w:p>
      <w:pPr>
        <w:spacing w:after="0" w:line="165" w:lineRule="exact"/>
        <w:rPr>
          <w:sz w:val="20"/>
          <w:szCs w:val="20"/>
          <w:color w:val="auto"/>
        </w:rPr>
      </w:pPr>
    </w:p>
    <w:p>
      <w:pPr>
        <w:ind w:right="80" w:firstLine="648"/>
        <w:spacing w:after="0" w:line="260" w:lineRule="auto"/>
        <w:rPr>
          <w:sz w:val="20"/>
          <w:szCs w:val="20"/>
          <w:color w:val="auto"/>
        </w:rPr>
      </w:pPr>
      <w:r>
        <w:rPr>
          <w:rFonts w:ascii="Arial" w:cs="Arial" w:eastAsia="Arial" w:hAnsi="Arial"/>
          <w:sz w:val="20"/>
          <w:szCs w:val="20"/>
          <w:color w:val="231F20"/>
        </w:rPr>
        <w:t>See note 1 to our condensed consolidated financial statements included elsewhere in this quarterly report for more information about the Reorganization and IPO.</w:t>
      </w:r>
    </w:p>
    <w:p>
      <w:pPr>
        <w:spacing w:after="0" w:line="177" w:lineRule="exact"/>
        <w:rPr>
          <w:sz w:val="20"/>
          <w:szCs w:val="20"/>
          <w:color w:val="auto"/>
        </w:rPr>
      </w:pPr>
    </w:p>
    <w:p>
      <w:pPr>
        <w:ind w:right="20" w:firstLine="648"/>
        <w:spacing w:after="0" w:line="243" w:lineRule="auto"/>
        <w:rPr>
          <w:sz w:val="20"/>
          <w:szCs w:val="20"/>
          <w:color w:val="auto"/>
        </w:rPr>
      </w:pPr>
      <w:r>
        <w:rPr>
          <w:rFonts w:ascii="Arial" w:cs="Arial" w:eastAsia="Arial" w:hAnsi="Arial"/>
          <w:sz w:val="20"/>
          <w:szCs w:val="20"/>
          <w:color w:val="auto"/>
        </w:rPr>
        <w:t>In July 2021, we entered into a transaction agreement to acquire 100% of Greenspring Associates, Inc. and certain of its affiliates (collectively, “Greenspring”), for consideration of approximately $185 million in cash, 12,643,556 shares of Class A common stock and 3,114,723 newly issued Class C units of the Partnership. The transaction agreement also provides for the payment of up to $75 million of additional cash consideration as an earnout payment to the sellers, which would be payable in 2025 subject to achievement by Greenspring of certain management fee revenue targets for calendar year 2024. Greenspring is a leading venture capital and growth equity platform, and the acquisition of Greenspring is expected to expand the continued growth of our private markets capabilities across asset classes and geographies.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Equity Transactions</w:t>
      </w:r>
    </w:p>
    <w:p>
      <w:pPr>
        <w:spacing w:after="0" w:line="222"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auto"/>
        </w:rPr>
        <w:t>In March 2021, we conducted an underwritten public offering of 9,200,000 shares of Class A common stock, including 1,200,000 shares pursuant to the full exercise of the underwriters’ option to purchase additional shares, sold by selling stockholders at a public offering price of $29.50 per share. In connection with the offering, we issued 9,200,000 shares of Class A common stock to the selling stockholders in exchange for 9,200,000 Class B units. A corresponding number of shares of Class B common stock were automatically redeemed at par value and canceled in connection with such exchange. We did not receive any proceeds from the sale of shares by the selling stockholders.</w:t>
      </w:r>
    </w:p>
    <w:p>
      <w:pPr>
        <w:spacing w:after="0" w:line="165" w:lineRule="exact"/>
        <w:rPr>
          <w:sz w:val="20"/>
          <w:szCs w:val="20"/>
          <w:color w:val="auto"/>
        </w:rPr>
      </w:pPr>
    </w:p>
    <w:p>
      <w:pPr>
        <w:ind w:firstLine="648"/>
        <w:spacing w:after="0" w:line="291" w:lineRule="auto"/>
        <w:rPr>
          <w:sz w:val="20"/>
          <w:szCs w:val="20"/>
          <w:color w:val="auto"/>
        </w:rPr>
      </w:pPr>
      <w:r>
        <w:rPr>
          <w:rFonts w:ascii="Arial" w:cs="Arial" w:eastAsia="Arial" w:hAnsi="Arial"/>
          <w:sz w:val="18"/>
          <w:szCs w:val="18"/>
          <w:color w:val="auto"/>
        </w:rPr>
        <w:t>In June 2021, we issued 1,898,438 shares of Class A common stock to certain limited partners of the Partnership in exchange for 1,898,438 Class B units. A corresponding number of shares of Class B common stock were automatically redeemed at par value and canceled in connection with such exchange and a corresponding number of Class A units of the Partnership were issued to the Company.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Key Financial Measures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Our key financial measures are discussed below. Additional information regarding our significant accounting policies can be found in note 2 to our condensed consolidated financial statements included elsewhere in this quarterly report.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Revenues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generate revenues primarily from management and advisory fees, incentive fees and allocations of carried interest.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Management and Advisory Fees, Net</w:t>
      </w:r>
    </w:p>
    <w:p>
      <w:pPr>
        <w:spacing w:after="0" w:line="216" w:lineRule="exact"/>
        <w:rPr>
          <w:sz w:val="20"/>
          <w:szCs w:val="20"/>
          <w:color w:val="auto"/>
        </w:rPr>
      </w:pPr>
    </w:p>
    <w:p>
      <w:pPr>
        <w:ind w:right="360" w:firstLine="648"/>
        <w:spacing w:after="0" w:line="260" w:lineRule="auto"/>
        <w:rPr>
          <w:sz w:val="20"/>
          <w:szCs w:val="20"/>
          <w:color w:val="auto"/>
        </w:rPr>
      </w:pPr>
      <w:r>
        <w:rPr>
          <w:rFonts w:ascii="Arial" w:cs="Arial" w:eastAsia="Arial" w:hAnsi="Arial"/>
          <w:sz w:val="20"/>
          <w:szCs w:val="20"/>
          <w:color w:val="231F20"/>
        </w:rPr>
        <w:t>Management and advisory fees, net, consist of fees received from managing SMAs and focused commingled funds, advisory and data services, and portfolio analytics and reporting.</w:t>
      </w:r>
    </w:p>
    <w:p>
      <w:pPr>
        <w:spacing w:after="0" w:line="177" w:lineRule="exact"/>
        <w:rPr>
          <w:sz w:val="20"/>
          <w:szCs w:val="20"/>
          <w:color w:val="auto"/>
        </w:rPr>
      </w:pPr>
    </w:p>
    <w:p>
      <w:pPr>
        <w:ind w:left="660" w:right="300" w:hanging="328"/>
        <w:spacing w:after="0" w:line="244"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20"/>
          <w:szCs w:val="20"/>
          <w:color w:val="231F20"/>
        </w:rPr>
        <w:t>Management fees from SMAs are generally based on a contractual rate applied to committed capital or net invested capital under management. These fees will vary over the life of the contract due to changes in the fee basis or contractual rate changes or thresholds, built-in declines in applicable contractual rates, and/or changes in net invested capital balances. The weighted-average management fee rate from SMAs was approximately 0.39% and 0.40% of average FEAUM for the twelve months ended June 30, 2020 and 2021, respectively.</w:t>
      </w:r>
    </w:p>
    <w:p>
      <w:pPr>
        <w:spacing w:after="0" w:line="194" w:lineRule="exact"/>
        <w:rPr>
          <w:rFonts w:ascii="Arial" w:cs="Arial" w:eastAsia="Arial" w:hAnsi="Arial"/>
          <w:sz w:val="20"/>
          <w:szCs w:val="20"/>
          <w:color w:val="auto"/>
        </w:rPr>
      </w:pPr>
    </w:p>
    <w:p>
      <w:pPr>
        <w:ind w:left="660" w:hanging="328"/>
        <w:spacing w:after="0" w:line="243"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20"/>
          <w:szCs w:val="20"/>
          <w:color w:val="231F20"/>
        </w:rPr>
        <w:t>Management fees from focused commingled funds are generally based on a specified fee rate applied against client capital commitments during a defined investment or commitment period. Thereafter, management fees are typically calculated based on a contractual rate applied against net invested capital, or a stepped-down fee rate applied against the initial commitment. The weighted-average management fee rate from focused commingled funds was approximately 0.90% and 0.92% of average FEAUM for the twelve months ended June 30, 2020 and 2021, respectively, and primarily reflected the timing of new funds and shifts in asset class mix.</w:t>
      </w:r>
    </w:p>
    <w:p>
      <w:pPr>
        <w:spacing w:after="0" w:line="195" w:lineRule="exact"/>
        <w:rPr>
          <w:rFonts w:ascii="Arial" w:cs="Arial" w:eastAsia="Arial" w:hAnsi="Arial"/>
          <w:sz w:val="20"/>
          <w:szCs w:val="20"/>
          <w:color w:val="auto"/>
        </w:rPr>
      </w:pPr>
    </w:p>
    <w:p>
      <w:pPr>
        <w:ind w:left="660" w:right="520" w:hanging="328"/>
        <w:spacing w:after="0" w:line="260"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20"/>
          <w:szCs w:val="20"/>
          <w:color w:val="231F20"/>
        </w:rPr>
        <w:t>The weighted-average management fee rate across SMAs and focused commingled funds was approximately 0.52% of average FEAUM for the twelve months ended June 30, 2020 and 2021.</w:t>
      </w:r>
    </w:p>
    <w:p>
      <w:pPr>
        <w:spacing w:after="0" w:line="176" w:lineRule="exact"/>
        <w:rPr>
          <w:rFonts w:ascii="Arial" w:cs="Arial" w:eastAsia="Arial" w:hAnsi="Arial"/>
          <w:sz w:val="20"/>
          <w:szCs w:val="20"/>
          <w:color w:val="auto"/>
        </w:rPr>
      </w:pPr>
    </w:p>
    <w:p>
      <w:pPr>
        <w:ind w:left="660" w:hanging="328"/>
        <w:spacing w:after="0" w:line="278" w:lineRule="auto"/>
        <w:tabs>
          <w:tab w:leader="none" w:pos="648"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Fee revenues from advisory, StepStone Portfolio Analytics &amp; Reporting (“SPAR”) or SPI services are generally annual fixed fees, which vary based on the scope of services we provide. We also provide certain project-based or event-driven advisory services. The fees for these services are negotiated and typically paid upon successful delivery of services or on the execution of the event-driven service. Because advisory fees are negotiated and typically paid upon successful delivery of services or on the execution of the event-driven service, advisory fees do not necessarily correlate with the total size of our AUA.</w:t>
      </w:r>
    </w:p>
    <w:p>
      <w:pPr>
        <w:spacing w:after="0" w:line="164" w:lineRule="exact"/>
        <w:rPr>
          <w:rFonts w:ascii="Arial" w:cs="Arial" w:eastAsia="Arial" w:hAnsi="Arial"/>
          <w:sz w:val="18"/>
          <w:szCs w:val="18"/>
          <w:color w:val="231F20"/>
        </w:rPr>
      </w:pPr>
    </w:p>
    <w:p>
      <w:pPr>
        <w:jc w:val="both"/>
        <w:ind w:left="660" w:hanging="328"/>
        <w:spacing w:after="0" w:line="246"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20"/>
          <w:szCs w:val="20"/>
          <w:color w:val="231F20"/>
        </w:rPr>
        <w:t>Management fees are reflected net of (i) certain professional and administrative services that we arrange to be performed by third parties on behalf of investment funds and (ii) certain distribution and servicing fees paid to third-party financial institutions. In both situations, we are acting as an agent because we do not control the services provided by the third parties before they are transferred to the customer.</w:t>
      </w:r>
    </w:p>
    <w:p>
      <w:pPr>
        <w:spacing w:after="0" w:line="191"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i w:val="1"/>
          <w:iCs w:val="1"/>
          <w:color w:val="auto"/>
        </w:rPr>
        <w:t>Performance Fees</w:t>
      </w:r>
    </w:p>
    <w:p>
      <w:pPr>
        <w:spacing w:after="0" w:line="216" w:lineRule="exact"/>
        <w:rPr>
          <w:sz w:val="20"/>
          <w:szCs w:val="20"/>
          <w:color w:val="auto"/>
        </w:rPr>
      </w:pPr>
    </w:p>
    <w:p>
      <w:pPr>
        <w:ind w:right="160" w:firstLine="648"/>
        <w:spacing w:after="0" w:line="260" w:lineRule="auto"/>
        <w:rPr>
          <w:sz w:val="20"/>
          <w:szCs w:val="20"/>
          <w:color w:val="auto"/>
        </w:rPr>
      </w:pPr>
      <w:r>
        <w:rPr>
          <w:rFonts w:ascii="Arial" w:cs="Arial" w:eastAsia="Arial" w:hAnsi="Arial"/>
          <w:sz w:val="19"/>
          <w:szCs w:val="19"/>
          <w:color w:val="auto"/>
        </w:rPr>
        <w:t>We earn two types of performance fee revenues: incentive fees and carried interest allocations, as described below. Incentive fees comprise fees earned from certain client investment mandates for which we do not have a general partnership interest in a StepStone Fund. Carried interest allocations include the allocation of performance-based fees, commonly referred to as carried interest, from limited partners in the StepStone Funds to us. As of June 30, 2021, we had over $43 billion of performance fee-eligible capital across approximately 130 programs, of which approximately 90 were in accrued carried interest positions.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4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9"/>
          <w:szCs w:val="19"/>
          <w:i w:val="1"/>
          <w:iCs w:val="1"/>
          <w:color w:val="231F20"/>
        </w:rPr>
        <w:t xml:space="preserve">Incentive fees </w:t>
      </w:r>
      <w:r>
        <w:rPr>
          <w:rFonts w:ascii="Arial" w:cs="Arial" w:eastAsia="Arial" w:hAnsi="Arial"/>
          <w:sz w:val="19"/>
          <w:szCs w:val="19"/>
          <w:color w:val="231F20"/>
        </w:rPr>
        <w:t>are generally calculated as a percentage of the profits (up to 10%) earned in respect of certain accounts for which we</w:t>
      </w:r>
      <w:r>
        <w:rPr>
          <w:rFonts w:ascii="Arial" w:cs="Arial" w:eastAsia="Arial" w:hAnsi="Arial"/>
          <w:sz w:val="19"/>
          <w:szCs w:val="19"/>
          <w:i w:val="1"/>
          <w:iCs w:val="1"/>
          <w:color w:val="231F20"/>
        </w:rPr>
        <w:t xml:space="preserve"> </w:t>
      </w:r>
      <w:r>
        <w:rPr>
          <w:rFonts w:ascii="Arial" w:cs="Arial" w:eastAsia="Arial" w:hAnsi="Arial"/>
          <w:sz w:val="19"/>
          <w:szCs w:val="19"/>
          <w:color w:val="231F20"/>
        </w:rPr>
        <w:t>are the investment adviser, subject to the achievement of minimum return levels or performance benchmarks. Incentive fees are a form of variable consideration and represent contractual fee arrangements in our contracts with our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spacing w:after="0" w:line="178" w:lineRule="exact"/>
        <w:rPr>
          <w:sz w:val="20"/>
          <w:szCs w:val="20"/>
          <w:color w:val="auto"/>
        </w:rPr>
      </w:pPr>
    </w:p>
    <w:p>
      <w:pPr>
        <w:ind w:right="40" w:firstLine="648"/>
        <w:spacing w:after="0" w:line="316" w:lineRule="auto"/>
        <w:rPr>
          <w:sz w:val="20"/>
          <w:szCs w:val="20"/>
          <w:color w:val="auto"/>
        </w:rPr>
      </w:pPr>
      <w:r>
        <w:rPr>
          <w:rFonts w:ascii="Arial" w:cs="Arial" w:eastAsia="Arial" w:hAnsi="Arial"/>
          <w:sz w:val="16"/>
          <w:szCs w:val="16"/>
          <w:color w:val="231F20"/>
        </w:rPr>
        <w:t>We recognize incentive fee revenue only when these amounts are realized and no longer subject to significant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condensed consolidated balance sheets.</w:t>
      </w:r>
    </w:p>
    <w:p>
      <w:pPr>
        <w:spacing w:after="0" w:line="140" w:lineRule="exact"/>
        <w:rPr>
          <w:sz w:val="20"/>
          <w:szCs w:val="20"/>
          <w:color w:val="auto"/>
        </w:rPr>
      </w:pPr>
    </w:p>
    <w:p>
      <w:pPr>
        <w:ind w:firstLine="648"/>
        <w:spacing w:after="0" w:line="242" w:lineRule="auto"/>
        <w:rPr>
          <w:sz w:val="20"/>
          <w:szCs w:val="20"/>
          <w:color w:val="auto"/>
        </w:rPr>
      </w:pPr>
      <w:r>
        <w:rPr>
          <w:rFonts w:ascii="Arial" w:cs="Arial" w:eastAsia="Arial" w:hAnsi="Arial"/>
          <w:sz w:val="20"/>
          <w:szCs w:val="20"/>
          <w:i w:val="1"/>
          <w:iCs w:val="1"/>
          <w:color w:val="231F20"/>
        </w:rPr>
        <w:t xml:space="preserve">Carried interest allocations </w:t>
      </w:r>
      <w:r>
        <w:rPr>
          <w:rFonts w:ascii="Arial" w:cs="Arial" w:eastAsia="Arial" w:hAnsi="Arial"/>
          <w:sz w:val="20"/>
          <w:szCs w:val="20"/>
          <w:color w:val="231F20"/>
        </w:rPr>
        <w:t>include the allocation of performance-based fees to us from limited partners in the StepStone Funds in</w:t>
      </w:r>
      <w:r>
        <w:rPr>
          <w:rFonts w:ascii="Arial" w:cs="Arial" w:eastAsia="Arial" w:hAnsi="Arial"/>
          <w:sz w:val="20"/>
          <w:szCs w:val="20"/>
          <w:i w:val="1"/>
          <w:iCs w:val="1"/>
          <w:color w:val="231F20"/>
        </w:rPr>
        <w:t xml:space="preserve"> </w:t>
      </w:r>
      <w:r>
        <w:rPr>
          <w:rFonts w:ascii="Arial" w:cs="Arial" w:eastAsia="Arial" w:hAnsi="Arial"/>
          <w:sz w:val="20"/>
          <w:szCs w:val="20"/>
          <w:color w:val="231F20"/>
        </w:rPr>
        <w:t xml:space="preserve">which we hold an equity interest. We are entitled to a carried interest allocation (typically 5% to 15%) based on cumulative fund or account performance to date, irrespective of whether such amounts have been realized. These carried interest allocations are subject to the achievement of minimum return levels (typically 5% to 10%), in accordance with the terms set forth in the respective fund’s governing documents. We account for our investment balances in the StepStone Funds, including carried interest allocations, under the equity method of accounting because we are presumed to have significant influence as the general partner or managing member. Accordingly, carried interest allocations are not deemed to be within the scope of Accounting Standards Codification Topic 606 (“ASC 606”), </w:t>
      </w:r>
      <w:r>
        <w:rPr>
          <w:rFonts w:ascii="Arial" w:cs="Arial" w:eastAsia="Arial" w:hAnsi="Arial"/>
          <w:sz w:val="20"/>
          <w:szCs w:val="20"/>
          <w:i w:val="1"/>
          <w:iCs w:val="1"/>
          <w:color w:val="231F20"/>
        </w:rPr>
        <w:t>Revenue from Contracts</w:t>
      </w:r>
      <w:r>
        <w:rPr>
          <w:rFonts w:ascii="Arial" w:cs="Arial" w:eastAsia="Arial" w:hAnsi="Arial"/>
          <w:sz w:val="20"/>
          <w:szCs w:val="20"/>
          <w:color w:val="231F20"/>
        </w:rPr>
        <w:t xml:space="preserve"> </w:t>
      </w:r>
      <w:r>
        <w:rPr>
          <w:rFonts w:ascii="Arial" w:cs="Arial" w:eastAsia="Arial" w:hAnsi="Arial"/>
          <w:sz w:val="20"/>
          <w:szCs w:val="20"/>
          <w:i w:val="1"/>
          <w:iCs w:val="1"/>
          <w:color w:val="231F20"/>
        </w:rPr>
        <w:t>with Customers</w:t>
      </w:r>
      <w:r>
        <w:rPr>
          <w:rFonts w:ascii="Arial" w:cs="Arial" w:eastAsia="Arial" w:hAnsi="Arial"/>
          <w:sz w:val="20"/>
          <w:szCs w:val="20"/>
          <w:color w:val="231F20"/>
        </w:rPr>
        <w:t>.</w:t>
      </w:r>
    </w:p>
    <w:p>
      <w:pPr>
        <w:spacing w:after="0" w:line="197" w:lineRule="exact"/>
        <w:rPr>
          <w:sz w:val="20"/>
          <w:szCs w:val="20"/>
          <w:color w:val="auto"/>
        </w:rPr>
      </w:pPr>
    </w:p>
    <w:p>
      <w:pPr>
        <w:ind w:right="80" w:firstLine="648"/>
        <w:spacing w:after="0" w:line="259" w:lineRule="auto"/>
        <w:rPr>
          <w:sz w:val="20"/>
          <w:szCs w:val="20"/>
          <w:color w:val="auto"/>
        </w:rPr>
      </w:pPr>
      <w:r>
        <w:rPr>
          <w:rFonts w:ascii="Arial" w:cs="Arial" w:eastAsia="Arial" w:hAnsi="Arial"/>
          <w:sz w:val="19"/>
          <w:szCs w:val="19"/>
          <w:color w:val="auto"/>
        </w:rPr>
        <w:t>We recognize revenue attributable to carried interest allocations from a StepStone Fund based on the amount that would be due to us pursuant to the fund’s governing documents, assuming the fund was liquidated based on the current fair value of its underlying investments as of that date. Accordingly, the amount recognized as carried interest allocation revenue reflects our share of the gains and losses of the associated fund’s underlying investments measured at their then-fair values, relative to the fair values as of the end of the prior period. We record the amount of carried interest allocated to us as of each period end as accrued carried interest allocations, which is included as a component of investments in the condensed consolidated balance sheets.</w:t>
      </w:r>
    </w:p>
    <w:p>
      <w:pPr>
        <w:spacing w:after="0" w:line="178" w:lineRule="exact"/>
        <w:rPr>
          <w:sz w:val="20"/>
          <w:szCs w:val="20"/>
          <w:color w:val="auto"/>
        </w:rPr>
      </w:pPr>
    </w:p>
    <w:p>
      <w:pPr>
        <w:ind w:right="20" w:firstLine="648"/>
        <w:spacing w:after="0" w:line="276" w:lineRule="auto"/>
        <w:rPr>
          <w:sz w:val="20"/>
          <w:szCs w:val="20"/>
          <w:color w:val="auto"/>
        </w:rPr>
      </w:pPr>
      <w:r>
        <w:rPr>
          <w:rFonts w:ascii="Arial" w:cs="Arial" w:eastAsia="Arial" w:hAnsi="Arial"/>
          <w:sz w:val="18"/>
          <w:szCs w:val="18"/>
          <w:color w:val="auto"/>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us based on cumulative results. As such, a liability is accrued for the potential clawback obligations if amounts previously distributed to us would require repayment to a fund if such fund were to be liquidated based on the current fair value of their underlying investments as of the reporting date. Actual repayment obligations generally do not become realized until the end of a fund’s life. As of June 30, 2021 and March 31, 2021, no material amounts for potential clawback obligations had been accrued.</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Expenses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Cash-based compensation </w:t>
      </w:r>
      <w:r>
        <w:rPr>
          <w:rFonts w:ascii="Arial" w:cs="Arial" w:eastAsia="Arial" w:hAnsi="Arial"/>
          <w:sz w:val="20"/>
          <w:szCs w:val="20"/>
          <w:color w:val="auto"/>
        </w:rPr>
        <w:t>primarily includes salaries, bonuses, employee benefits and employer-related payroll taxes.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i w:val="1"/>
          <w:iCs w:val="1"/>
          <w:color w:val="auto"/>
        </w:rPr>
        <w:t xml:space="preserve">Equity-based compensation </w:t>
      </w:r>
      <w:r>
        <w:rPr>
          <w:rFonts w:ascii="Arial" w:cs="Arial" w:eastAsia="Arial" w:hAnsi="Arial"/>
          <w:sz w:val="19"/>
          <w:szCs w:val="19"/>
          <w:color w:val="auto"/>
        </w:rPr>
        <w:t>represents grants of equity related awards or arrangements to certain employees and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41" w:lineRule="exact"/>
        <w:rPr>
          <w:sz w:val="20"/>
          <w:szCs w:val="20"/>
          <w:color w:val="auto"/>
        </w:rPr>
      </w:pPr>
    </w:p>
    <w:p>
      <w:pPr>
        <w:ind w:firstLine="648"/>
        <w:spacing w:after="0" w:line="270" w:lineRule="auto"/>
        <w:rPr>
          <w:sz w:val="20"/>
          <w:szCs w:val="20"/>
          <w:color w:val="auto"/>
        </w:rPr>
      </w:pPr>
      <w:r>
        <w:rPr>
          <w:rFonts w:ascii="Arial" w:cs="Arial" w:eastAsia="Arial" w:hAnsi="Arial"/>
          <w:sz w:val="18"/>
          <w:szCs w:val="18"/>
          <w:i w:val="1"/>
          <w:iCs w:val="1"/>
          <w:color w:val="auto"/>
        </w:rPr>
        <w:t xml:space="preserve">Performance fee-related compensation </w:t>
      </w:r>
      <w:r>
        <w:rPr>
          <w:rFonts w:ascii="Arial" w:cs="Arial" w:eastAsia="Arial" w:hAnsi="Arial"/>
          <w:sz w:val="18"/>
          <w:szCs w:val="18"/>
          <w:color w:val="auto"/>
        </w:rPr>
        <w:t>represents the portion of carried interest allocation revenue and incentive fees that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awarded to employees as a form of long-term incentive compensation. Performance fee-related compensation is generally tied to the investment performance of the StepStone Funds. </w:t>
      </w:r>
      <w:r>
        <w:rPr>
          <w:rFonts w:ascii="Arial" w:cs="Arial" w:eastAsia="Arial" w:hAnsi="Arial"/>
          <w:sz w:val="18"/>
          <w:szCs w:val="18"/>
          <w:color w:val="231F20"/>
        </w:rPr>
        <w:t>Approximately 50% of carried interest allocation revenue is awarded to employees as part</w:t>
      </w:r>
      <w:r>
        <w:rPr>
          <w:rFonts w:ascii="Arial" w:cs="Arial" w:eastAsia="Arial" w:hAnsi="Arial"/>
          <w:sz w:val="18"/>
          <w:szCs w:val="18"/>
          <w:color w:val="auto"/>
        </w:rPr>
        <w:t xml:space="preserve"> </w:t>
      </w:r>
      <w:r>
        <w:rPr>
          <w:rFonts w:ascii="Arial" w:cs="Arial" w:eastAsia="Arial" w:hAnsi="Arial"/>
          <w:sz w:val="18"/>
          <w:szCs w:val="18"/>
          <w:color w:val="231F20"/>
        </w:rPr>
        <w:t>of our long-term incentive compensation plan, fostering alignment of interest with our clients and investors, and retaining key investment professionals. Carried interest-related compensation is accounted for as compensation expense in conjunction with the related carried interest allocation revenue and, until paid, is recorded as a component of accrued carried interest-related compensation in the condensed consolidated balance sheets. Carried interest-related compensation expense also includes the portion of net carried interest allocation revenue attributable to equity holders of our consolidated subsidiaries that are not 100% owned by us. Amounts presented as realized indicate the amounts paid or payable to employees based on the receipt of carried interest allocation revenue from realized investment activity. Carried interest-related compensation expense may be subject to reversal to the extent that the related carried interest allocation revenue is reversed. Carried interest-related compensation paid to employees may be subject to clawback on an after-tax basis under certain scenarios. To date, no material amounts of realized carried interest-related compensation have been reversed. Incentive fee-related compensation is accrued as compensation expense when it is probable and estimable that payment will be made.</w:t>
      </w:r>
    </w:p>
    <w:p>
      <w:pPr>
        <w:spacing w:after="0" w:line="172" w:lineRule="exact"/>
        <w:rPr>
          <w:sz w:val="20"/>
          <w:szCs w:val="20"/>
          <w:color w:val="auto"/>
        </w:rPr>
      </w:pPr>
    </w:p>
    <w:p>
      <w:pPr>
        <w:jc w:val="both"/>
        <w:ind w:right="780" w:firstLine="648"/>
        <w:spacing w:after="0" w:line="385" w:lineRule="auto"/>
        <w:rPr>
          <w:sz w:val="20"/>
          <w:szCs w:val="20"/>
          <w:color w:val="auto"/>
        </w:rPr>
      </w:pPr>
      <w:r>
        <w:rPr>
          <w:rFonts w:ascii="Arial" w:cs="Arial" w:eastAsia="Arial" w:hAnsi="Arial"/>
          <w:sz w:val="16"/>
          <w:szCs w:val="16"/>
          <w:i w:val="1"/>
          <w:iCs w:val="1"/>
          <w:color w:val="auto"/>
        </w:rPr>
        <w:t xml:space="preserve">General, administrative and other </w:t>
      </w:r>
      <w:r>
        <w:rPr>
          <w:rFonts w:ascii="Arial" w:cs="Arial" w:eastAsia="Arial" w:hAnsi="Arial"/>
          <w:sz w:val="16"/>
          <w:szCs w:val="16"/>
          <w:color w:val="auto"/>
        </w:rPr>
        <w:t>includes occupancy, travel and related costs, insurance, legal and other professional fees,</w:t>
      </w:r>
      <w:r>
        <w:rPr>
          <w:rFonts w:ascii="Arial" w:cs="Arial" w:eastAsia="Arial" w:hAnsi="Arial"/>
          <w:sz w:val="16"/>
          <w:szCs w:val="16"/>
          <w:i w:val="1"/>
          <w:iCs w:val="1"/>
          <w:color w:val="auto"/>
        </w:rPr>
        <w:t xml:space="preserve"> </w:t>
      </w:r>
      <w:r>
        <w:rPr>
          <w:rFonts w:ascii="Arial" w:cs="Arial" w:eastAsia="Arial" w:hAnsi="Arial"/>
          <w:sz w:val="16"/>
          <w:szCs w:val="16"/>
          <w:color w:val="auto"/>
        </w:rPr>
        <w:t>depreciation, amortization of intangible assets, system-related costs, and other general costs associated with operating our business.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Other Income (Expense)</w:t>
      </w:r>
    </w:p>
    <w:p>
      <w:pPr>
        <w:spacing w:after="0" w:line="222" w:lineRule="exact"/>
        <w:rPr>
          <w:sz w:val="20"/>
          <w:szCs w:val="20"/>
          <w:color w:val="auto"/>
        </w:rPr>
      </w:pPr>
    </w:p>
    <w:p>
      <w:pPr>
        <w:ind w:right="20" w:firstLine="648"/>
        <w:spacing w:after="0" w:line="242" w:lineRule="auto"/>
        <w:rPr>
          <w:sz w:val="20"/>
          <w:szCs w:val="20"/>
          <w:color w:val="auto"/>
        </w:rPr>
      </w:pPr>
      <w:r>
        <w:rPr>
          <w:rFonts w:ascii="Arial" w:cs="Arial" w:eastAsia="Arial" w:hAnsi="Arial"/>
          <w:sz w:val="20"/>
          <w:szCs w:val="20"/>
          <w:i w:val="1"/>
          <w:iCs w:val="1"/>
          <w:color w:val="231F20"/>
        </w:rPr>
        <w:t xml:space="preserve">Investment income </w:t>
      </w:r>
      <w:r>
        <w:rPr>
          <w:rFonts w:ascii="Arial" w:cs="Arial" w:eastAsia="Arial" w:hAnsi="Arial"/>
          <w:sz w:val="20"/>
          <w:szCs w:val="20"/>
          <w:color w:val="231F20"/>
        </w:rPr>
        <w:t>primarily represents our share of earnings from the investments we make in our SMAs and focused commingled</w:t>
      </w:r>
      <w:r>
        <w:rPr>
          <w:rFonts w:ascii="Arial" w:cs="Arial" w:eastAsia="Arial" w:hAnsi="Arial"/>
          <w:sz w:val="20"/>
          <w:szCs w:val="20"/>
          <w:i w:val="1"/>
          <w:iCs w:val="1"/>
          <w:color w:val="231F20"/>
        </w:rPr>
        <w:t xml:space="preserve"> </w:t>
      </w:r>
      <w:r>
        <w:rPr>
          <w:rFonts w:ascii="Arial" w:cs="Arial" w:eastAsia="Arial" w:hAnsi="Arial"/>
          <w:sz w:val="20"/>
          <w:szCs w:val="20"/>
          <w:color w:val="231F20"/>
        </w:rPr>
        <w:t>funds. We, either directly or through our subsidiaries, generally have a general partner interest in the StepStone Funds, which invest in primary funds, secondary funds and co-investment funds, or a combination thereof. Investment income will increase or decrease based on the earnings of the StepStone Funds, which are primarily driven by net realized and unrealized gains (losses) on the underlying investments held by the funds. Our co-investment funds invest in underlying portfolio companies and therefore their valuation changes from period to period are more influenced by individual companies than our primary and secondary funds, which have exposures across multiple portfolio companies in underlying private markets funds. Our SMAs and focused commingled funds invest across various industries, strategies and geographies.</w:t>
      </w:r>
    </w:p>
    <w:p>
      <w:pPr>
        <w:spacing w:after="0" w:line="197" w:lineRule="exact"/>
        <w:rPr>
          <w:sz w:val="20"/>
          <w:szCs w:val="20"/>
          <w:color w:val="auto"/>
        </w:rPr>
      </w:pPr>
    </w:p>
    <w:p>
      <w:pPr>
        <w:ind w:right="40" w:firstLine="648"/>
        <w:spacing w:after="0" w:line="316" w:lineRule="auto"/>
        <w:rPr>
          <w:sz w:val="20"/>
          <w:szCs w:val="20"/>
          <w:color w:val="auto"/>
        </w:rPr>
      </w:pPr>
      <w:r>
        <w:rPr>
          <w:rFonts w:ascii="Arial" w:cs="Arial" w:eastAsia="Arial" w:hAnsi="Arial"/>
          <w:sz w:val="18"/>
          <w:szCs w:val="18"/>
          <w:color w:val="231F20"/>
        </w:rPr>
        <w:t>Consequently, our general partner investments do not include any significant concentrations in a specific sector or geography outside the United States. Investment income excludes carried interest allocations, which are presented as revenues as described above.</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Interest income </w:t>
      </w:r>
      <w:r>
        <w:rPr>
          <w:rFonts w:ascii="Arial" w:cs="Arial" w:eastAsia="Arial" w:hAnsi="Arial"/>
          <w:sz w:val="20"/>
          <w:szCs w:val="20"/>
          <w:color w:val="auto"/>
        </w:rPr>
        <w:t>consists of income earned on cash and cash equivalents, restricted cash and certificates of deposit.</w:t>
      </w:r>
    </w:p>
    <w:p>
      <w:pPr>
        <w:spacing w:after="0" w:line="216" w:lineRule="exact"/>
        <w:rPr>
          <w:sz w:val="20"/>
          <w:szCs w:val="20"/>
          <w:color w:val="auto"/>
        </w:rPr>
      </w:pPr>
    </w:p>
    <w:p>
      <w:pPr>
        <w:ind w:right="200" w:firstLine="648"/>
        <w:spacing w:after="0" w:line="260" w:lineRule="auto"/>
        <w:rPr>
          <w:sz w:val="20"/>
          <w:szCs w:val="20"/>
          <w:color w:val="auto"/>
        </w:rPr>
      </w:pPr>
      <w:r>
        <w:rPr>
          <w:rFonts w:ascii="Arial" w:cs="Arial" w:eastAsia="Arial" w:hAnsi="Arial"/>
          <w:sz w:val="20"/>
          <w:szCs w:val="20"/>
          <w:i w:val="1"/>
          <w:iCs w:val="1"/>
          <w:color w:val="auto"/>
        </w:rPr>
        <w:t xml:space="preserve">Interest expense </w:t>
      </w:r>
      <w:r>
        <w:rPr>
          <w:rFonts w:ascii="Arial" w:cs="Arial" w:eastAsia="Arial" w:hAnsi="Arial"/>
          <w:sz w:val="20"/>
          <w:szCs w:val="20"/>
          <w:color w:val="auto"/>
        </w:rPr>
        <w:t>primarily consisted of the interest expense on our previously outstanding debt and related amortization of deferred</w:t>
      </w:r>
      <w:r>
        <w:rPr>
          <w:rFonts w:ascii="Arial" w:cs="Arial" w:eastAsia="Arial" w:hAnsi="Arial"/>
          <w:sz w:val="20"/>
          <w:szCs w:val="20"/>
          <w:i w:val="1"/>
          <w:iCs w:val="1"/>
          <w:color w:val="auto"/>
        </w:rPr>
        <w:t xml:space="preserve"> </w:t>
      </w:r>
      <w:r>
        <w:rPr>
          <w:rFonts w:ascii="Arial" w:cs="Arial" w:eastAsia="Arial" w:hAnsi="Arial"/>
          <w:sz w:val="20"/>
          <w:szCs w:val="20"/>
          <w:color w:val="auto"/>
        </w:rPr>
        <w:t>financing costs and amortization of original issue discount.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Other income (loss) </w:t>
      </w:r>
      <w:r>
        <w:rPr>
          <w:rFonts w:ascii="Arial" w:cs="Arial" w:eastAsia="Arial" w:hAnsi="Arial"/>
          <w:sz w:val="20"/>
          <w:szCs w:val="20"/>
          <w:color w:val="auto"/>
        </w:rPr>
        <w:t>includes foreign currency transaction gains and losses and non-operating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Income Tax Expense</w:t>
      </w:r>
    </w:p>
    <w:p>
      <w:pPr>
        <w:spacing w:after="0" w:line="222" w:lineRule="exact"/>
        <w:rPr>
          <w:sz w:val="20"/>
          <w:szCs w:val="20"/>
          <w:color w:val="auto"/>
        </w:rPr>
      </w:pPr>
    </w:p>
    <w:p>
      <w:pPr>
        <w:ind w:right="320" w:firstLine="648"/>
        <w:spacing w:after="0" w:line="294" w:lineRule="auto"/>
        <w:rPr>
          <w:sz w:val="20"/>
          <w:szCs w:val="20"/>
          <w:color w:val="auto"/>
        </w:rPr>
      </w:pPr>
      <w:r>
        <w:rPr>
          <w:rFonts w:ascii="Arial" w:cs="Arial" w:eastAsia="Arial" w:hAnsi="Arial"/>
          <w:sz w:val="16"/>
          <w:szCs w:val="16"/>
          <w:color w:val="231F20"/>
        </w:rPr>
        <w:t>We are a corporation for U.S. federal income tax purposes and therefore are subject to U.S. federal and state income taxes on our share of taxable income generated by the Partnership. Prior to the Reorganization and IPO, we operated as a partnership for U.S. federal income tax purposes and therefore were generally not subject to U.S. federal and state income taxes. The Partnership is treated as a pass-through entity for U.S. federal and state income tax purposes. As such, income generated by the Partnership flows through to its limited partners, including us, and is generally not subject to U.S. federal or state income tax at the Partnership level. Our non-U.S. subsidiaries generally operate as corporate entities in non-U.S. jurisdictions, with certain of these entities subject to local or non-U.S. income taxes. Additionally, certain of our subsidiaries are subject to local jurisdiction income taxes at the entity level. Accordingly, the tax liability with respect to income attributable to non-controlling interests in the Partnership is borne by the holders of such non-controlling interests.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Non-Controlling Interests</w:t>
      </w:r>
    </w:p>
    <w:p>
      <w:pPr>
        <w:spacing w:after="0" w:line="222"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auto"/>
        </w:rPr>
        <w:t>Non-controlling interests (“NCI”) reflect the portion of income or loss and the corresponding equity attributable to third-party equity holders and employees in certain consolidated subsidiaries that are not 100% owned by us. Non-controlling interests are presented as separate components in our condensed consolidated statements of income to clearly distinguish between our interests and the economic interests of third parties and employees in those entities. Net income (loss) attributable to SSG, as reported in the condensed consolidated statements of income, is presented net of the portion of net income (loss) attributable to holders of non-controlling interests.</w:t>
      </w:r>
    </w:p>
    <w:p>
      <w:pPr>
        <w:spacing w:after="0" w:line="165" w:lineRule="exact"/>
        <w:rPr>
          <w:sz w:val="20"/>
          <w:szCs w:val="20"/>
          <w:color w:val="auto"/>
        </w:rPr>
      </w:pPr>
    </w:p>
    <w:p>
      <w:pPr>
        <w:ind w:right="60" w:firstLine="648"/>
        <w:spacing w:after="0" w:line="246" w:lineRule="auto"/>
        <w:rPr>
          <w:sz w:val="20"/>
          <w:szCs w:val="20"/>
          <w:color w:val="auto"/>
        </w:rPr>
      </w:pPr>
      <w:r>
        <w:rPr>
          <w:rFonts w:ascii="Arial" w:cs="Arial" w:eastAsia="Arial" w:hAnsi="Arial"/>
          <w:sz w:val="20"/>
          <w:szCs w:val="20"/>
          <w:i w:val="1"/>
          <w:iCs w:val="1"/>
          <w:color w:val="auto"/>
        </w:rPr>
        <w:t xml:space="preserve">Non-controlling interests in subsidiaries </w:t>
      </w:r>
      <w:r>
        <w:rPr>
          <w:rFonts w:ascii="Arial" w:cs="Arial" w:eastAsia="Arial" w:hAnsi="Arial"/>
          <w:sz w:val="20"/>
          <w:szCs w:val="20"/>
          <w:color w:val="auto"/>
        </w:rPr>
        <w:t>represent the economic interests in the consolidated subsidiaries of the Partnership held by</w:t>
      </w:r>
      <w:r>
        <w:rPr>
          <w:rFonts w:ascii="Arial" w:cs="Arial" w:eastAsia="Arial" w:hAnsi="Arial"/>
          <w:sz w:val="20"/>
          <w:szCs w:val="20"/>
          <w:i w:val="1"/>
          <w:iCs w:val="1"/>
          <w:color w:val="auto"/>
        </w:rPr>
        <w:t xml:space="preserve"> </w:t>
      </w:r>
      <w:r>
        <w:rPr>
          <w:rFonts w:ascii="Arial" w:cs="Arial" w:eastAsia="Arial" w:hAnsi="Arial"/>
          <w:sz w:val="20"/>
          <w:szCs w:val="20"/>
          <w:color w:val="auto"/>
        </w:rPr>
        <w:t>third parties and employees in those entities.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91" w:lineRule="exact"/>
        <w:rPr>
          <w:sz w:val="20"/>
          <w:szCs w:val="20"/>
          <w:color w:val="auto"/>
        </w:rPr>
      </w:pPr>
    </w:p>
    <w:p>
      <w:pPr>
        <w:ind w:right="40" w:firstLine="648"/>
        <w:spacing w:after="0" w:line="291" w:lineRule="auto"/>
        <w:rPr>
          <w:sz w:val="20"/>
          <w:szCs w:val="20"/>
          <w:color w:val="auto"/>
        </w:rPr>
      </w:pPr>
      <w:r>
        <w:rPr>
          <w:rFonts w:ascii="Arial" w:cs="Arial" w:eastAsia="Arial" w:hAnsi="Arial"/>
          <w:sz w:val="18"/>
          <w:szCs w:val="18"/>
          <w:i w:val="1"/>
          <w:iCs w:val="1"/>
          <w:color w:val="auto"/>
        </w:rPr>
        <w:t xml:space="preserve">Non-controlling interests in the Partnership </w:t>
      </w:r>
      <w:r>
        <w:rPr>
          <w:rFonts w:ascii="Arial" w:cs="Arial" w:eastAsia="Arial" w:hAnsi="Arial"/>
          <w:sz w:val="18"/>
          <w:szCs w:val="18"/>
          <w:color w:val="auto"/>
        </w:rPr>
        <w:t>represent the economic interests in the Partnership held by the Class B unitholders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 Non-controlling interests in the Partnership are allocated a share of income or loss in the Partnership in proportion to their relative ownership interests, after consideration of contractual arrangements that govern allocations of income or loss.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Key Operating Metrics</w:t>
      </w:r>
    </w:p>
    <w:p>
      <w:pPr>
        <w:spacing w:after="0" w:line="222" w:lineRule="exact"/>
        <w:rPr>
          <w:sz w:val="20"/>
          <w:szCs w:val="20"/>
          <w:color w:val="auto"/>
        </w:rPr>
      </w:pPr>
    </w:p>
    <w:p>
      <w:pPr>
        <w:ind w:right="140" w:firstLine="648"/>
        <w:spacing w:after="0" w:line="260" w:lineRule="auto"/>
        <w:rPr>
          <w:sz w:val="20"/>
          <w:szCs w:val="20"/>
          <w:color w:val="auto"/>
        </w:rPr>
      </w:pPr>
      <w:r>
        <w:rPr>
          <w:rFonts w:ascii="Arial" w:cs="Arial" w:eastAsia="Arial" w:hAnsi="Arial"/>
          <w:sz w:val="20"/>
          <w:szCs w:val="20"/>
          <w:color w:val="auto"/>
        </w:rPr>
        <w:t>We monitor certain operating metrics that are either common to the asset management industry or that we believe provide important data regarding our business.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Assets Under Management</w:t>
      </w:r>
    </w:p>
    <w:p>
      <w:pPr>
        <w:spacing w:after="0" w:line="222" w:lineRule="exact"/>
        <w:rPr>
          <w:sz w:val="20"/>
          <w:szCs w:val="20"/>
          <w:color w:val="auto"/>
        </w:rPr>
      </w:pPr>
    </w:p>
    <w:p>
      <w:pPr>
        <w:jc w:val="both"/>
        <w:ind w:right="100" w:firstLine="648"/>
        <w:spacing w:after="0" w:line="246" w:lineRule="auto"/>
        <w:rPr>
          <w:sz w:val="20"/>
          <w:szCs w:val="20"/>
          <w:color w:val="auto"/>
        </w:rPr>
      </w:pPr>
      <w:r>
        <w:rPr>
          <w:rFonts w:ascii="Arial" w:cs="Arial" w:eastAsia="Arial" w:hAnsi="Arial"/>
          <w:sz w:val="20"/>
          <w:szCs w:val="20"/>
          <w:color w:val="231F20"/>
        </w:rPr>
        <w:t>AUM primarily reflects the assets associated with our SMAs and focused commingled funds. We classify assets as AUM if we have full discretion over the investment decisions in an account or have responsibility or custody of assets. Although management fees are based on a variety of factors and are not linearly correlated with AUM, we believe AUM is a useful metric for assessing the relative size and scope of our asset management business.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41" w:lineRule="exact"/>
        <w:rPr>
          <w:sz w:val="20"/>
          <w:szCs w:val="20"/>
          <w:color w:val="auto"/>
        </w:rPr>
      </w:pPr>
    </w:p>
    <w:p>
      <w:pPr>
        <w:ind w:right="40" w:firstLine="648"/>
        <w:spacing w:after="0" w:line="274" w:lineRule="auto"/>
        <w:rPr>
          <w:sz w:val="20"/>
          <w:szCs w:val="20"/>
          <w:color w:val="auto"/>
        </w:rPr>
      </w:pPr>
      <w:r>
        <w:rPr>
          <w:rFonts w:ascii="Arial" w:cs="Arial" w:eastAsia="Arial" w:hAnsi="Arial"/>
          <w:sz w:val="18"/>
          <w:szCs w:val="18"/>
          <w:color w:val="231F20"/>
        </w:rPr>
        <w:t>Our AUM is calculated as the sum of (i) the net asset value (“NAV”) of client portfolio assets, including the StepStone Funds and (ii) the unfunded commitments of clients to the underlying investments and the StepStone Funds. Our AUM reflects the investment valuations in respect of the underlying investments of our funds and accounts on a three-month lag, adjusted for new client account activity through the period end. Our AUM does not include post-period investment valuation or cash activity. AUM as of June 30, 2021 reflects final data for the prior period (March 31, 2021), adjusted for net new client account activity through June 30, 2021. NAV data for underlying investments is as of March 31, 2021, as reported by underlying managers up to 115 days following March 31, 2021. When NAV data is not available by 115 days following March 31, 2021, such NAVs are adjusted for cash activity following the last available reported NAV.</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Assets Under Advisement</w:t>
      </w:r>
    </w:p>
    <w:p>
      <w:pPr>
        <w:spacing w:after="0" w:line="222" w:lineRule="exact"/>
        <w:rPr>
          <w:sz w:val="20"/>
          <w:szCs w:val="20"/>
          <w:color w:val="auto"/>
        </w:rPr>
      </w:pPr>
    </w:p>
    <w:p>
      <w:pPr>
        <w:ind w:right="60" w:firstLine="648"/>
        <w:spacing w:after="0" w:line="259" w:lineRule="auto"/>
        <w:rPr>
          <w:sz w:val="20"/>
          <w:szCs w:val="20"/>
          <w:color w:val="auto"/>
        </w:rPr>
      </w:pPr>
      <w:r>
        <w:rPr>
          <w:rFonts w:ascii="Arial" w:cs="Arial" w:eastAsia="Arial" w:hAnsi="Arial"/>
          <w:sz w:val="19"/>
          <w:szCs w:val="19"/>
          <w:color w:val="231F20"/>
        </w:rPr>
        <w:t>AUA consists of client assets for which we do not have full discretion to make investment decisions but play a role in advising the client or monitoring their investments. We generally earn revenue for advisory-related services on a contractual fixed fee basis. Advisory-related services include asset allocation, strategic planning, development of investment policies and guidelines, screening and recommending investments, legal negotiations, monitoring and reporting on investments, and investment manager review and due diligence. Advisory fees vary by client based on the scope of services, investment activity and other factors. Most of our advisory fees are fixed, and therefore, increases or decreases in AUA do not necessarily lead to proportionate changes in revenue.</w:t>
      </w:r>
    </w:p>
    <w:p>
      <w:pPr>
        <w:spacing w:after="0" w:line="178" w:lineRule="exact"/>
        <w:rPr>
          <w:sz w:val="20"/>
          <w:szCs w:val="20"/>
          <w:color w:val="auto"/>
        </w:rPr>
      </w:pPr>
    </w:p>
    <w:p>
      <w:pPr>
        <w:ind w:right="60" w:firstLine="648"/>
        <w:spacing w:after="0" w:line="257" w:lineRule="auto"/>
        <w:rPr>
          <w:sz w:val="20"/>
          <w:szCs w:val="20"/>
          <w:color w:val="auto"/>
        </w:rPr>
      </w:pPr>
      <w:r>
        <w:rPr>
          <w:rFonts w:ascii="Arial" w:cs="Arial" w:eastAsia="Arial" w:hAnsi="Arial"/>
          <w:sz w:val="19"/>
          <w:szCs w:val="19"/>
          <w:color w:val="231F20"/>
        </w:rPr>
        <w:t>Our AUA is calculated as the sum of (i) the NAV of client portfolio assets for which we do not have full discretion and (ii) the unfunded commitments of clients to the underlying investments. Our AUA reflects the investment valuations in respect of the underlying investments of our client accounts on a three-month lag, adjusted for new client account activity through the period end. Our AUA does not include post-period investment valuation or cash activity. AUA as of June 30, 2021 reflects final data for the prior period (March 31, 2021), adjusted for net new client account activity through June 30, 2021. NAV data for underlying investments is as of March 31, 2021, as reported by underlying managers up to 115 days following March 31, 2021. When NAV data is not available by 115 days following March 31, 2021, such NAVs are adjusted for cash activity following the last available reported NAV.</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231F20"/>
        </w:rPr>
        <w:t>Beginning in the quarter ended March 31, 2021, we modified our AUA computation to include, with respect to our advisory clients, the portion of their portfolio assets for which we do not directly provide recommendations, monitoring and/or reporting services. Prior period amounts have not been recast for this change because comparable historical data does not exist. The change resulted in an increase to AUA of approximately $70 billion for the quarter ended March 31, 2021.</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Fee-Earning AUM</w:t>
      </w:r>
    </w:p>
    <w:p>
      <w:pPr>
        <w:spacing w:after="0" w:line="222" w:lineRule="exact"/>
        <w:rPr>
          <w:sz w:val="20"/>
          <w:szCs w:val="20"/>
          <w:color w:val="auto"/>
        </w:rPr>
      </w:pPr>
    </w:p>
    <w:p>
      <w:pPr>
        <w:ind w:right="120" w:firstLine="648"/>
        <w:spacing w:after="0" w:line="276" w:lineRule="auto"/>
        <w:rPr>
          <w:sz w:val="20"/>
          <w:szCs w:val="20"/>
          <w:color w:val="auto"/>
        </w:rPr>
      </w:pPr>
      <w:r>
        <w:rPr>
          <w:rFonts w:ascii="Arial" w:cs="Arial" w:eastAsia="Arial" w:hAnsi="Arial"/>
          <w:sz w:val="18"/>
          <w:szCs w:val="18"/>
          <w:color w:val="231F20"/>
        </w:rPr>
        <w:t>FEAUM reflects the assets from which we earn management fee revenue (i.e., fee basis) and includes assets in our SMAs, focused commingled funds and assets held directly by our clients for which we have fiduciary oversight and are paid fees as the manager of the assets. Our SMAs and focused commingled funds typically pay management fees based on capital commitments, net invested capital and, in certain cases, NAV, depending on the fee terms. Management fees are only marginally affected by market appreciation or depreciation because substantially all of the StepStone Funds pay management fees based on capital commitments or net invested capital. As a result, management fees and FEAUM are not materially affected by changes in market value.</w:t>
      </w:r>
    </w:p>
    <w:p>
      <w:pPr>
        <w:spacing w:after="0" w:line="165" w:lineRule="exact"/>
        <w:rPr>
          <w:sz w:val="20"/>
          <w:szCs w:val="20"/>
          <w:color w:val="auto"/>
        </w:rPr>
      </w:pPr>
    </w:p>
    <w:p>
      <w:pPr>
        <w:ind w:right="520" w:firstLine="648"/>
        <w:spacing w:after="0" w:line="260" w:lineRule="auto"/>
        <w:rPr>
          <w:sz w:val="20"/>
          <w:szCs w:val="20"/>
          <w:color w:val="auto"/>
        </w:rPr>
      </w:pPr>
      <w:r>
        <w:rPr>
          <w:rFonts w:ascii="Arial" w:cs="Arial" w:eastAsia="Arial" w:hAnsi="Arial"/>
          <w:sz w:val="20"/>
          <w:szCs w:val="20"/>
          <w:color w:val="231F20"/>
        </w:rPr>
        <w:t>Our calculation of FEAUM may differ from the calculations of other asset managers and, as a result, may not be comparable to similar measures presented by other asset managers.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Undeployed Fee-Earning Capital</w:t>
      </w:r>
    </w:p>
    <w:p>
      <w:pPr>
        <w:spacing w:after="0" w:line="222" w:lineRule="exact"/>
        <w:rPr>
          <w:sz w:val="20"/>
          <w:szCs w:val="20"/>
          <w:color w:val="auto"/>
        </w:rPr>
      </w:pPr>
    </w:p>
    <w:p>
      <w:pPr>
        <w:ind w:right="160" w:firstLine="648"/>
        <w:spacing w:after="0" w:line="260" w:lineRule="auto"/>
        <w:rPr>
          <w:sz w:val="20"/>
          <w:szCs w:val="20"/>
          <w:color w:val="auto"/>
        </w:rPr>
      </w:pPr>
      <w:r>
        <w:rPr>
          <w:rFonts w:ascii="Arial" w:cs="Arial" w:eastAsia="Arial" w:hAnsi="Arial"/>
          <w:sz w:val="20"/>
          <w:szCs w:val="20"/>
          <w:color w:val="auto"/>
        </w:rPr>
        <w:t>Undeployed fee-earning capital represents the amount of capital commitments to StepStone Funds that has not yet been invested or considered active but will generate management fee revenue once this capital is invested or active.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Key Non-GAAP Financial Measures</w:t>
      </w:r>
    </w:p>
    <w:p>
      <w:pPr>
        <w:spacing w:after="0" w:line="222" w:lineRule="exact"/>
        <w:rPr>
          <w:sz w:val="20"/>
          <w:szCs w:val="20"/>
          <w:color w:val="auto"/>
        </w:rPr>
      </w:pPr>
    </w:p>
    <w:p>
      <w:pPr>
        <w:ind w:right="140" w:firstLine="648"/>
        <w:spacing w:after="0" w:line="316" w:lineRule="auto"/>
        <w:rPr>
          <w:sz w:val="20"/>
          <w:szCs w:val="20"/>
          <w:color w:val="auto"/>
        </w:rPr>
      </w:pPr>
      <w:r>
        <w:rPr>
          <w:rFonts w:ascii="Arial" w:cs="Arial" w:eastAsia="Arial" w:hAnsi="Arial"/>
          <w:sz w:val="18"/>
          <w:szCs w:val="18"/>
          <w:color w:val="auto"/>
        </w:rPr>
        <w:t>Below is a description of our non-GAAP financial measures. These measures are presented on a basis other than GAAP and should be considered in addition to, and not as a substitute for or superior to, financial measures calculated in accordance with GAAP.</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Adjusted Revenues and Adjusted Net Income</w:t>
      </w:r>
    </w:p>
    <w:p>
      <w:pPr>
        <w:spacing w:after="0" w:line="222" w:lineRule="exact"/>
        <w:rPr>
          <w:sz w:val="20"/>
          <w:szCs w:val="20"/>
          <w:color w:val="auto"/>
        </w:rPr>
      </w:pPr>
    </w:p>
    <w:p>
      <w:pPr>
        <w:ind w:firstLine="648"/>
        <w:spacing w:after="0" w:line="256" w:lineRule="auto"/>
        <w:rPr>
          <w:sz w:val="20"/>
          <w:szCs w:val="20"/>
          <w:color w:val="auto"/>
        </w:rPr>
      </w:pPr>
      <w:r>
        <w:rPr>
          <w:rFonts w:ascii="Arial" w:cs="Arial" w:eastAsia="Arial" w:hAnsi="Arial"/>
          <w:sz w:val="19"/>
          <w:szCs w:val="19"/>
          <w:color w:val="231F20"/>
        </w:rPr>
        <w:t>Adjusted net income (“ANI”) is a non-GAAP performance measure that we present on a pre-tax and after-tax basis used to evaluate profitability. ANI represents the after-tax net realized income attributable to us. The components of revenues used in the determination of ANI (“adjusted revenues”) comprise net management and advisory fees, incentive fees (including the deferred portion) and realized carried interest allocations. In addition, ANI excludes: (a) unrealized carried interest allocation revenues and related compensation, (b) unrealized investment income, (c) equity-based compensation for awards granted prior to and in connection with our IPO, (d) amortization of intangibles and (e) certain other items that we believe are not indicative of our core operating performance, including charges associated with acquisitions and corporate transactions, contract terminations and employee severance. ANI is income before taxes fully taxed at our blended statutory rate. We believe ANI and adjusted revenues are useful to investors because they enable investors to evaluate the performance of our business across reporting periods.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Fee-Related Earnings</w:t>
      </w:r>
    </w:p>
    <w:p>
      <w:pPr>
        <w:spacing w:after="0" w:line="222" w:lineRule="exact"/>
        <w:rPr>
          <w:sz w:val="20"/>
          <w:szCs w:val="20"/>
          <w:color w:val="auto"/>
        </w:rPr>
      </w:pPr>
    </w:p>
    <w:p>
      <w:pPr>
        <w:ind w:right="40" w:firstLine="648"/>
        <w:spacing w:after="0" w:line="243" w:lineRule="auto"/>
        <w:rPr>
          <w:sz w:val="20"/>
          <w:szCs w:val="20"/>
          <w:color w:val="auto"/>
        </w:rPr>
      </w:pPr>
      <w:r>
        <w:rPr>
          <w:rFonts w:ascii="Arial" w:cs="Arial" w:eastAsia="Arial" w:hAnsi="Arial"/>
          <w:sz w:val="20"/>
          <w:szCs w:val="20"/>
          <w:color w:val="231F20"/>
        </w:rPr>
        <w:t>Fee-related earnings (“FRE”) is a non-GAAP performance measure used to monitor our baseline earnings from recurring management and advisory fees. FRE is a component of ANI and comprises net management and advisory fees, less operating expenses other than performance fee-related compensation, equity-based compensation for awards granted prior to and in connection with our IPO, amortization of intangibles and other non-core operating items. FRE is presented before income taxes. We believe FRE is useful to investors because it provides additional insight into the operating profitability of our business and our ability to cover direct base compensation and operating expenses from total fee revenues.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Adjusted Net Income Per Share</w:t>
      </w:r>
    </w:p>
    <w:p>
      <w:pPr>
        <w:spacing w:after="0" w:line="222" w:lineRule="exact"/>
        <w:rPr>
          <w:sz w:val="20"/>
          <w:szCs w:val="20"/>
          <w:color w:val="auto"/>
        </w:rPr>
      </w:pPr>
    </w:p>
    <w:p>
      <w:pPr>
        <w:ind w:right="360" w:firstLine="648"/>
        <w:spacing w:after="0" w:line="246" w:lineRule="auto"/>
        <w:rPr>
          <w:sz w:val="20"/>
          <w:szCs w:val="20"/>
          <w:color w:val="auto"/>
        </w:rPr>
      </w:pPr>
      <w:r>
        <w:rPr>
          <w:rFonts w:ascii="Arial" w:cs="Arial" w:eastAsia="Arial" w:hAnsi="Arial"/>
          <w:sz w:val="20"/>
          <w:szCs w:val="20"/>
          <w:color w:val="auto"/>
        </w:rPr>
        <w:t>ANI per share measures our per-share earnings assuming all Class B units in the Partnership are exchanged for Class A common stock in SSG, including the dilutive impact of outstanding equity-based awards. ANI per share is calculated as ANI divided by adjusted shares outstanding. We believe ANI per share is useful to investors because it enables them to better evaluate per-share operating performance across reporting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3" w:name="page44"/>
    <w:bookmarkEnd w:id="43"/>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Results of Operations</w:t>
      </w:r>
    </w:p>
    <w:p>
      <w:pPr>
        <w:spacing w:after="0" w:line="222" w:lineRule="exact"/>
        <w:rPr>
          <w:sz w:val="20"/>
          <w:szCs w:val="20"/>
          <w:color w:val="auto"/>
        </w:rPr>
      </w:pPr>
    </w:p>
    <w:p>
      <w:pPr>
        <w:ind w:right="580" w:firstLine="648"/>
        <w:spacing w:after="0" w:line="316" w:lineRule="auto"/>
        <w:rPr>
          <w:sz w:val="20"/>
          <w:szCs w:val="20"/>
          <w:color w:val="auto"/>
        </w:rPr>
      </w:pPr>
      <w:r>
        <w:rPr>
          <w:rFonts w:ascii="Arial" w:cs="Arial" w:eastAsia="Arial" w:hAnsi="Arial"/>
          <w:sz w:val="18"/>
          <w:szCs w:val="18"/>
          <w:color w:val="auto"/>
        </w:rPr>
        <w:t>The following is a discussion of our unaudited consolidated results of operations for the periods presented. This information is derived from our accompanying condensed consolidated financial statements prepared in accordance with GAAP.</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6"/>
                <w:szCs w:val="16"/>
                <w:b w:val="1"/>
                <w:bCs w:val="1"/>
                <w:color w:val="auto"/>
                <w:w w:val="96"/>
              </w:rPr>
              <w:t>Three Months Ended June 30,</w:t>
            </w:r>
          </w:p>
        </w:tc>
      </w:tr>
      <w:tr>
        <w:trPr>
          <w:trHeight w:val="213"/>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6"/>
                <w:szCs w:val="16"/>
                <w:b w:val="1"/>
                <w:bCs w:val="1"/>
                <w:color w:val="auto"/>
              </w:rPr>
              <w:t>2020</w:t>
            </w:r>
          </w:p>
        </w:tc>
      </w:tr>
      <w:tr>
        <w:trPr>
          <w:trHeight w:val="212"/>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8520" w:type="dxa"/>
            <w:vAlign w:val="bottom"/>
          </w:tcPr>
          <w:p>
            <w:pPr>
              <w:ind w:left="20"/>
              <w:spacing w:after="0"/>
              <w:rPr>
                <w:sz w:val="20"/>
                <w:szCs w:val="20"/>
                <w:color w:val="auto"/>
              </w:rPr>
            </w:pPr>
            <w:r>
              <w:rPr>
                <w:rFonts w:ascii="Arial" w:cs="Arial" w:eastAsia="Arial" w:hAnsi="Arial"/>
                <w:sz w:val="18"/>
                <w:szCs w:val="18"/>
                <w:color w:val="auto"/>
              </w:rPr>
              <w:t>Management and advisory fees, net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78,061</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63,500</w:t>
            </w:r>
          </w:p>
        </w:tc>
      </w:tr>
      <w:tr>
        <w:trPr>
          <w:trHeight w:val="230"/>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fees: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520" w:type="dxa"/>
            <w:vAlign w:val="bottom"/>
          </w:tcPr>
          <w:p>
            <w:pPr>
              <w:ind w:left="360"/>
              <w:spacing w:after="0"/>
              <w:rPr>
                <w:sz w:val="20"/>
                <w:szCs w:val="20"/>
                <w:color w:val="auto"/>
              </w:rPr>
            </w:pPr>
            <w:r>
              <w:rPr>
                <w:rFonts w:ascii="Arial" w:cs="Arial" w:eastAsia="Arial" w:hAnsi="Arial"/>
                <w:sz w:val="18"/>
                <w:szCs w:val="18"/>
                <w:color w:val="auto"/>
              </w:rPr>
              <w:t>Incentive fees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4,182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3,589</w:t>
            </w:r>
          </w:p>
        </w:tc>
      </w:tr>
      <w:tr>
        <w:trPr>
          <w:trHeight w:val="229"/>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Carried interest allocation:</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520" w:type="dxa"/>
            <w:vAlign w:val="bottom"/>
          </w:tcPr>
          <w:p>
            <w:pPr>
              <w:ind w:left="720"/>
              <w:spacing w:after="0"/>
              <w:rPr>
                <w:sz w:val="20"/>
                <w:szCs w:val="20"/>
                <w:color w:val="auto"/>
              </w:rPr>
            </w:pPr>
            <w:r>
              <w:rPr>
                <w:rFonts w:ascii="Arial" w:cs="Arial" w:eastAsia="Arial" w:hAnsi="Arial"/>
                <w:sz w:val="18"/>
                <w:szCs w:val="18"/>
                <w:color w:val="auto"/>
              </w:rPr>
              <w:t>Realized allocation</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49,963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3,638</w:t>
            </w:r>
          </w:p>
        </w:tc>
      </w:tr>
      <w:tr>
        <w:trPr>
          <w:trHeight w:val="229"/>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Unrealized allocation</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176,399</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(132,140)</w:t>
            </w:r>
          </w:p>
        </w:tc>
      </w:tr>
      <w:tr>
        <w:trPr>
          <w:trHeight w:val="223"/>
        </w:trPr>
        <w:tc>
          <w:tcPr>
            <w:tcW w:w="8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carried interest allocation</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226,362</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(128,502)</w:t>
            </w:r>
          </w:p>
        </w:tc>
      </w:tr>
      <w:tr>
        <w:trPr>
          <w:trHeight w:val="223"/>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308,605</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(61,413)</w:t>
            </w:r>
          </w:p>
        </w:tc>
      </w:tr>
      <w:tr>
        <w:trPr>
          <w:trHeight w:val="210"/>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520" w:type="dxa"/>
            <w:vAlign w:val="bottom"/>
          </w:tcPr>
          <w:p>
            <w:pPr>
              <w:ind w:left="400"/>
              <w:spacing w:after="0"/>
              <w:rPr>
                <w:sz w:val="20"/>
                <w:szCs w:val="20"/>
                <w:color w:val="auto"/>
              </w:rPr>
            </w:pPr>
            <w:r>
              <w:rPr>
                <w:rFonts w:ascii="Arial" w:cs="Arial" w:eastAsia="Arial" w:hAnsi="Arial"/>
                <w:sz w:val="18"/>
                <w:szCs w:val="18"/>
                <w:color w:val="auto"/>
              </w:rPr>
              <w:t>Cash-based compensation</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42,671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39,653</w:t>
            </w:r>
          </w:p>
        </w:tc>
      </w:tr>
      <w:tr>
        <w:trPr>
          <w:trHeight w:val="229"/>
        </w:trPr>
        <w:tc>
          <w:tcPr>
            <w:tcW w:w="8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Equity-based compensation</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r>
      <w:tr>
        <w:trPr>
          <w:trHeight w:val="230"/>
        </w:trPr>
        <w:tc>
          <w:tcPr>
            <w:tcW w:w="8520" w:type="dxa"/>
            <w:vAlign w:val="bottom"/>
          </w:tcPr>
          <w:p>
            <w:pPr>
              <w:ind w:left="400"/>
              <w:spacing w:after="0"/>
              <w:rPr>
                <w:sz w:val="20"/>
                <w:szCs w:val="20"/>
                <w:color w:val="auto"/>
              </w:rPr>
            </w:pPr>
            <w:r>
              <w:rPr>
                <w:rFonts w:ascii="Arial" w:cs="Arial" w:eastAsia="Arial" w:hAnsi="Arial"/>
                <w:sz w:val="18"/>
                <w:szCs w:val="18"/>
                <w:color w:val="auto"/>
              </w:rPr>
              <w:t>Performance fee-related compensation:</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5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Realized</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25,308</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w:t>
            </w:r>
          </w:p>
        </w:tc>
      </w:tr>
      <w:tr>
        <w:trPr>
          <w:trHeight w:val="230"/>
        </w:trPr>
        <w:tc>
          <w:tcPr>
            <w:tcW w:w="852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Unrealized</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85,572</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(68,675)</w:t>
            </w:r>
          </w:p>
        </w:tc>
      </w:tr>
      <w:tr>
        <w:trPr>
          <w:trHeight w:val="223"/>
        </w:trPr>
        <w:tc>
          <w:tcPr>
            <w:tcW w:w="8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performance fee-related compensation</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110,880</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(65,775)</w:t>
            </w:r>
          </w:p>
        </w:tc>
      </w:tr>
      <w:tr>
        <w:trPr>
          <w:trHeight w:val="223"/>
        </w:trPr>
        <w:tc>
          <w:tcPr>
            <w:tcW w:w="8520" w:type="dxa"/>
            <w:vAlign w:val="bottom"/>
          </w:tcPr>
          <w:p>
            <w:pPr>
              <w:ind w:left="20"/>
              <w:spacing w:after="0"/>
              <w:rPr>
                <w:sz w:val="20"/>
                <w:szCs w:val="20"/>
                <w:color w:val="auto"/>
              </w:rPr>
            </w:pPr>
            <w:r>
              <w:rPr>
                <w:rFonts w:ascii="Arial" w:cs="Arial" w:eastAsia="Arial" w:hAnsi="Arial"/>
                <w:sz w:val="18"/>
                <w:szCs w:val="18"/>
                <w:color w:val="auto"/>
              </w:rPr>
              <w:t>Total compensation and benefits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157,294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(25,639)</w:t>
            </w:r>
          </w:p>
        </w:tc>
      </w:tr>
      <w:tr>
        <w:trPr>
          <w:trHeight w:val="230"/>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administrative and other</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16,430</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10,507</w:t>
            </w:r>
          </w:p>
        </w:tc>
      </w:tr>
      <w:tr>
        <w:trPr>
          <w:trHeight w:val="223"/>
        </w:trPr>
        <w:tc>
          <w:tcPr>
            <w:tcW w:w="85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expenses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173,724</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(15,132)</w:t>
            </w:r>
          </w:p>
        </w:tc>
      </w:tr>
      <w:tr>
        <w:trPr>
          <w:trHeight w:val="210"/>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8520" w:type="dxa"/>
            <w:vAlign w:val="bottom"/>
          </w:tcPr>
          <w:p>
            <w:pPr>
              <w:ind w:left="20"/>
              <w:spacing w:after="0"/>
              <w:rPr>
                <w:sz w:val="20"/>
                <w:szCs w:val="20"/>
                <w:color w:val="auto"/>
              </w:rPr>
            </w:pPr>
            <w:r>
              <w:rPr>
                <w:rFonts w:ascii="Arial" w:cs="Arial" w:eastAsia="Arial" w:hAnsi="Arial"/>
                <w:sz w:val="18"/>
                <w:szCs w:val="18"/>
                <w:color w:val="auto"/>
              </w:rPr>
              <w:t>Investment income (loss)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6,424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(3,178)</w:t>
            </w:r>
          </w:p>
        </w:tc>
      </w:tr>
      <w:tr>
        <w:trPr>
          <w:trHeight w:val="230"/>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29"/>
        </w:trPr>
        <w:tc>
          <w:tcPr>
            <w:tcW w:w="85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(2,057)</w:t>
            </w:r>
          </w:p>
        </w:tc>
      </w:tr>
      <w:tr>
        <w:trPr>
          <w:trHeight w:val="230"/>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(loss)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23"/>
        </w:trPr>
        <w:tc>
          <w:tcPr>
            <w:tcW w:w="85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other income (expense)</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6,061</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(4,921)</w:t>
            </w: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140,942</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(51,202)</w:t>
            </w:r>
          </w:p>
        </w:tc>
      </w:tr>
      <w:tr>
        <w:trPr>
          <w:trHeight w:val="230"/>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14,423</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w:t>
            </w: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126,519</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(52,360)</w:t>
            </w:r>
          </w:p>
        </w:tc>
      </w:tr>
      <w:tr>
        <w:trPr>
          <w:trHeight w:val="230"/>
        </w:trPr>
        <w:tc>
          <w:tcPr>
            <w:tcW w:w="8520" w:type="dxa"/>
            <w:vAlign w:val="bottom"/>
          </w:tcPr>
          <w:p>
            <w:pPr>
              <w:ind w:left="400"/>
              <w:spacing w:after="0"/>
              <w:rPr>
                <w:sz w:val="20"/>
                <w:szCs w:val="20"/>
                <w:color w:val="auto"/>
              </w:rPr>
            </w:pPr>
            <w:r>
              <w:rPr>
                <w:rFonts w:ascii="Arial" w:cs="Arial" w:eastAsia="Arial" w:hAnsi="Arial"/>
                <w:sz w:val="18"/>
                <w:szCs w:val="18"/>
                <w:color w:val="auto"/>
              </w:rPr>
              <w:t>Less: Net income attributable to non-controlling interests in subsidiaries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5,614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4,093</w:t>
            </w:r>
          </w:p>
        </w:tc>
      </w:tr>
      <w:tr>
        <w:trPr>
          <w:trHeight w:val="230"/>
        </w:trPr>
        <w:tc>
          <w:tcPr>
            <w:tcW w:w="8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Less: Net income (loss) attributable to non-controlling interests in the Partnership</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79,255</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(56,453)</w:t>
            </w:r>
          </w:p>
        </w:tc>
      </w:tr>
      <w:tr>
        <w:trPr>
          <w:trHeight w:val="223"/>
        </w:trPr>
        <w:tc>
          <w:tcPr>
            <w:tcW w:w="8520" w:type="dxa"/>
            <w:vAlign w:val="bottom"/>
          </w:tcPr>
          <w:p>
            <w:pPr>
              <w:ind w:left="20"/>
              <w:spacing w:after="0"/>
              <w:rPr>
                <w:sz w:val="20"/>
                <w:szCs w:val="20"/>
                <w:color w:val="auto"/>
              </w:rPr>
            </w:pPr>
            <w:r>
              <w:rPr>
                <w:rFonts w:ascii="Arial" w:cs="Arial" w:eastAsia="Arial" w:hAnsi="Arial"/>
                <w:sz w:val="18"/>
                <w:szCs w:val="18"/>
                <w:color w:val="auto"/>
              </w:rPr>
              <w:t>Net income attributable to StepStone Group Inc.</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41,650</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Revenues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Three Months Ended June 30, 2021 Compared to Three Months Ended June 30, 2020</w:t>
      </w:r>
    </w:p>
    <w:p>
      <w:pPr>
        <w:spacing w:after="0" w:line="216" w:lineRule="exact"/>
        <w:rPr>
          <w:sz w:val="20"/>
          <w:szCs w:val="20"/>
          <w:color w:val="auto"/>
        </w:rPr>
      </w:pPr>
    </w:p>
    <w:p>
      <w:pPr>
        <w:ind w:right="60" w:firstLine="648"/>
        <w:spacing w:after="0" w:line="287" w:lineRule="auto"/>
        <w:rPr>
          <w:sz w:val="20"/>
          <w:szCs w:val="20"/>
          <w:color w:val="auto"/>
        </w:rPr>
      </w:pPr>
      <w:r>
        <w:rPr>
          <w:rFonts w:ascii="Arial" w:cs="Arial" w:eastAsia="Arial" w:hAnsi="Arial"/>
          <w:sz w:val="19"/>
          <w:szCs w:val="19"/>
          <w:color w:val="auto"/>
        </w:rPr>
        <w:t>Total revenues increased $370.0 million to $308.6 million for the three months ended June 30, 2021 as compared to the three months ended June 30, 2020, due to higher carried interest allocation, net management and advisory fees and incentive fees.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41" w:lineRule="exact"/>
        <w:rPr>
          <w:sz w:val="20"/>
          <w:szCs w:val="20"/>
          <w:color w:val="auto"/>
        </w:rPr>
      </w:pPr>
    </w:p>
    <w:p>
      <w:pPr>
        <w:ind w:right="160" w:firstLine="648"/>
        <w:spacing w:after="0" w:line="246" w:lineRule="auto"/>
        <w:rPr>
          <w:sz w:val="20"/>
          <w:szCs w:val="20"/>
          <w:color w:val="auto"/>
        </w:rPr>
      </w:pPr>
      <w:r>
        <w:rPr>
          <w:rFonts w:ascii="Arial" w:cs="Arial" w:eastAsia="Arial" w:hAnsi="Arial"/>
          <w:sz w:val="20"/>
          <w:szCs w:val="20"/>
          <w:color w:val="auto"/>
        </w:rPr>
        <w:t>Net management and advisory fees increased $14.6 million, or 23%, to $78.1 million for the three months ended June 30, 2021 as compared to the three months ended June 30, 2020. The increase was driven by new client activity and a 27% growth in FEAUM across the platform, including retroactive fees of $0.9 million from additional closes for StepStone’s growth equity fund. For new investors, fees relating to periods prior to the closing date are considered retroactive.</w:t>
      </w:r>
    </w:p>
    <w:p>
      <w:pPr>
        <w:spacing w:after="0" w:line="191"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Incentive fees increased $0.6 million, or 17%, to $4.2 million for the three months ended June 30, 2021 as compared to the three months ended June 30, 2020 due to higher realizations.</w:t>
      </w:r>
    </w:p>
    <w:p>
      <w:pPr>
        <w:spacing w:after="0" w:line="177" w:lineRule="exact"/>
        <w:rPr>
          <w:sz w:val="20"/>
          <w:szCs w:val="20"/>
          <w:color w:val="auto"/>
        </w:rPr>
      </w:pPr>
    </w:p>
    <w:p>
      <w:pPr>
        <w:ind w:right="20" w:firstLine="648"/>
        <w:spacing w:after="0" w:line="242" w:lineRule="auto"/>
        <w:rPr>
          <w:sz w:val="20"/>
          <w:szCs w:val="20"/>
          <w:color w:val="auto"/>
        </w:rPr>
      </w:pPr>
      <w:r>
        <w:rPr>
          <w:rFonts w:ascii="Arial" w:cs="Arial" w:eastAsia="Arial" w:hAnsi="Arial"/>
          <w:sz w:val="20"/>
          <w:szCs w:val="20"/>
          <w:color w:val="auto"/>
        </w:rPr>
        <w:t>Realized carried interest allocation revenues increased $46.3 million, or 1,273%, to $50.0 million for the three months ended June 30, 2021 as compared to the three months ended June 30, 2020, reflecting higher realization activity within our private equity funds. Unrealized carried interest allocation revenues include the reversal of realized carried interest allocation revenues. Excluding the reversal, unrealized carried interest allocation revenues increased $354.9 million to $226.4 million for the three months ended June 30, 2021 as compared to the three months ended June 30, 2020. The increase in unrealized carried interest allocation for the three months ended June 30, 2021 primarily reflected an increase in the cumulative allocation of gains associated with the underlying portfolios within our private equity funds, as compared with a decrease in unrealized carried interest allocation for the three months ended June 30, 2020 primarily attributable to unrealized depreciation in the fair value of certain underlying fund investments driven by the impact of COVID-19 within our private equity funds in the prior year.</w:t>
      </w:r>
    </w:p>
    <w:p>
      <w:pPr>
        <w:spacing w:after="0" w:line="194" w:lineRule="exact"/>
        <w:rPr>
          <w:sz w:val="20"/>
          <w:szCs w:val="20"/>
          <w:color w:val="auto"/>
        </w:rPr>
      </w:pPr>
    </w:p>
    <w:p>
      <w:pPr>
        <w:ind w:right="20" w:firstLine="648"/>
        <w:spacing w:after="0" w:line="263" w:lineRule="auto"/>
        <w:rPr>
          <w:sz w:val="20"/>
          <w:szCs w:val="20"/>
          <w:color w:val="auto"/>
        </w:rPr>
      </w:pPr>
      <w:r>
        <w:rPr>
          <w:rFonts w:ascii="Arial" w:cs="Arial" w:eastAsia="Arial" w:hAnsi="Arial"/>
          <w:sz w:val="19"/>
          <w:szCs w:val="19"/>
          <w:color w:val="auto"/>
        </w:rPr>
        <w:t>For fiscal 2021, our investments in StepStone Funds and accrued carried interest allocations initially experienced a decline during the first three months, primarily reflecting the unrealized depreciation in the fair value of certain underlying fund investments driven by the impact of COVID-19, and have subsequently seen a significant increase, primarily reflecting the unrealized appreciation in the fair value of certain underlying fund investments primarily driven by the continued recovery in global financial markets.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Expenses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Three Months Ended June 30, 2021 Compared to Three Months Ended June 30, 2020</w:t>
      </w:r>
    </w:p>
    <w:p>
      <w:pPr>
        <w:spacing w:after="0" w:line="216" w:lineRule="exact"/>
        <w:rPr>
          <w:sz w:val="20"/>
          <w:szCs w:val="20"/>
          <w:color w:val="auto"/>
        </w:rPr>
      </w:pPr>
    </w:p>
    <w:p>
      <w:pPr>
        <w:ind w:right="640" w:firstLine="648"/>
        <w:spacing w:after="0" w:line="250" w:lineRule="auto"/>
        <w:rPr>
          <w:sz w:val="20"/>
          <w:szCs w:val="20"/>
          <w:color w:val="auto"/>
        </w:rPr>
      </w:pPr>
      <w:r>
        <w:rPr>
          <w:rFonts w:ascii="Arial" w:cs="Arial" w:eastAsia="Arial" w:hAnsi="Arial"/>
          <w:sz w:val="20"/>
          <w:szCs w:val="20"/>
          <w:color w:val="auto"/>
        </w:rPr>
        <w:t>Total expenses increased $188.9 million, to $173.7 million for the three months ended June 30, 2021 as compared to the three months ended June 30, 2020, reflecting increases in performance fee-related compensation, equity-based compensation, cash-based compensation and general, administrative and other expenses.</w:t>
      </w:r>
    </w:p>
    <w:p>
      <w:pPr>
        <w:spacing w:after="0" w:line="186" w:lineRule="exact"/>
        <w:rPr>
          <w:sz w:val="20"/>
          <w:szCs w:val="20"/>
          <w:color w:val="auto"/>
        </w:rPr>
      </w:pPr>
    </w:p>
    <w:p>
      <w:pPr>
        <w:ind w:right="200" w:firstLine="648"/>
        <w:spacing w:after="0" w:line="250" w:lineRule="auto"/>
        <w:rPr>
          <w:sz w:val="20"/>
          <w:szCs w:val="20"/>
          <w:color w:val="auto"/>
        </w:rPr>
      </w:pPr>
      <w:r>
        <w:rPr>
          <w:rFonts w:ascii="Arial" w:cs="Arial" w:eastAsia="Arial" w:hAnsi="Arial"/>
          <w:sz w:val="20"/>
          <w:szCs w:val="20"/>
          <w:color w:val="auto"/>
        </w:rPr>
        <w:t>Cash-based compensation increased $3.0 million, or 8%, to $42.7 million for the three months ended June 30, 2021 as compared to the three months ended June 30, 2020, due to increased staffing and compensation levels. Our full-time headcount increased 11% from June 30, 2020 to June 30, 2021.</w:t>
      </w:r>
    </w:p>
    <w:p>
      <w:pPr>
        <w:spacing w:after="0" w:line="186" w:lineRule="exact"/>
        <w:rPr>
          <w:sz w:val="20"/>
          <w:szCs w:val="20"/>
          <w:color w:val="auto"/>
        </w:rPr>
      </w:pPr>
    </w:p>
    <w:p>
      <w:pPr>
        <w:ind w:right="120" w:firstLine="648"/>
        <w:spacing w:after="0" w:line="246" w:lineRule="auto"/>
        <w:rPr>
          <w:sz w:val="20"/>
          <w:szCs w:val="20"/>
          <w:color w:val="auto"/>
        </w:rPr>
      </w:pPr>
      <w:r>
        <w:rPr>
          <w:rFonts w:ascii="Arial" w:cs="Arial" w:eastAsia="Arial" w:hAnsi="Arial"/>
          <w:sz w:val="20"/>
          <w:szCs w:val="20"/>
          <w:color w:val="auto"/>
        </w:rPr>
        <w:t>Equity-based compensation increased $3.3 million, or 675%, to $3.7 million for the three months ended June 30, 2021 as compared to the three months ended June 30, 2020. The increase was attributable to the grant of restricted stock units (“RSUs”) made to certain employees and directors in connection with our IPO in September 2020, and therefore no comparable expense was incurred in the prior year period.</w:t>
      </w:r>
    </w:p>
    <w:p>
      <w:pPr>
        <w:spacing w:after="0" w:line="191" w:lineRule="exact"/>
        <w:rPr>
          <w:sz w:val="20"/>
          <w:szCs w:val="20"/>
          <w:color w:val="auto"/>
        </w:rPr>
      </w:pPr>
    </w:p>
    <w:p>
      <w:pPr>
        <w:ind w:right="100" w:firstLine="648"/>
        <w:spacing w:after="0" w:line="263" w:lineRule="auto"/>
        <w:rPr>
          <w:sz w:val="20"/>
          <w:szCs w:val="20"/>
          <w:color w:val="auto"/>
        </w:rPr>
      </w:pPr>
      <w:r>
        <w:rPr>
          <w:rFonts w:ascii="Arial" w:cs="Arial" w:eastAsia="Arial" w:hAnsi="Arial"/>
          <w:sz w:val="19"/>
          <w:szCs w:val="19"/>
          <w:color w:val="auto"/>
        </w:rPr>
        <w:t>Performance fee-related compensation expense increased $176.7 million to $110.9 million for the three months ended June 30, 2021 as compared to the three months ended June 30, 2020, primarily reflecting the increase in carried interest allocation revenue. Realized performance fee-related compensation increased $22.4 million, or 773%, to $25.3 million for the three months ended June 30, 2021 as compared to the three months ended June 30, 2020, primarily reflecting higher realization activity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41" w:lineRule="exact"/>
        <w:rPr>
          <w:sz w:val="20"/>
          <w:szCs w:val="20"/>
          <w:color w:val="auto"/>
        </w:rPr>
      </w:pPr>
    </w:p>
    <w:p>
      <w:pPr>
        <w:ind w:firstLine="648"/>
        <w:spacing w:after="0" w:line="243" w:lineRule="auto"/>
        <w:rPr>
          <w:sz w:val="20"/>
          <w:szCs w:val="20"/>
          <w:color w:val="auto"/>
        </w:rPr>
      </w:pPr>
      <w:r>
        <w:rPr>
          <w:rFonts w:ascii="Arial" w:cs="Arial" w:eastAsia="Arial" w:hAnsi="Arial"/>
          <w:sz w:val="20"/>
          <w:szCs w:val="20"/>
          <w:color w:val="auto"/>
        </w:rPr>
        <w:t>General, administrative and other expenses increased $5.9 million, or 56%, to $16.4 million for the three months ended June 30, 2021 as compared to the three months ended June 30, 2020. The increase primarily reflected $3.5 million in transaction costs, $1.4 million in professional fees, $1.1 million in insurance costs, $0.4 million in occupancy costs and other general operating expenses. These increases were primarily offset by a decrease of $0.7 million in marketing expenses. We anticipate travel and other expenses will return to prior levels as the COVID-19 situation improves, and that costs associated with being a public company will continue to be reflected in our expenses going forward.</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Other Income (Expense)</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Three Months Ended June 30, 2021 Compared to Three Months Ended June 30, 2020</w:t>
      </w:r>
    </w:p>
    <w:p>
      <w:pPr>
        <w:spacing w:after="0" w:line="216" w:lineRule="exact"/>
        <w:rPr>
          <w:sz w:val="20"/>
          <w:szCs w:val="20"/>
          <w:color w:val="auto"/>
        </w:rPr>
      </w:pPr>
    </w:p>
    <w:p>
      <w:pPr>
        <w:ind w:right="240" w:firstLine="648"/>
        <w:spacing w:after="0" w:line="385" w:lineRule="auto"/>
        <w:rPr>
          <w:sz w:val="20"/>
          <w:szCs w:val="20"/>
          <w:color w:val="auto"/>
        </w:rPr>
      </w:pPr>
      <w:r>
        <w:rPr>
          <w:rFonts w:ascii="Arial" w:cs="Arial" w:eastAsia="Arial" w:hAnsi="Arial"/>
          <w:sz w:val="16"/>
          <w:szCs w:val="16"/>
          <w:color w:val="auto"/>
        </w:rPr>
        <w:t>Investment income (loss) increased $9.6 million to $6.4 million for the three months ended June 30, 2021 as compared to the three months ended June 30, 2020, primarily reflecting overall changes in the valuations of the underlying investments in the StepStone Funds.</w:t>
      </w:r>
    </w:p>
    <w:p>
      <w:pPr>
        <w:spacing w:after="0" w:line="85" w:lineRule="exact"/>
        <w:rPr>
          <w:sz w:val="20"/>
          <w:szCs w:val="20"/>
          <w:color w:val="auto"/>
        </w:rPr>
      </w:pPr>
    </w:p>
    <w:p>
      <w:pPr>
        <w:ind w:right="280" w:firstLine="648"/>
        <w:spacing w:after="0" w:line="260" w:lineRule="auto"/>
        <w:rPr>
          <w:sz w:val="20"/>
          <w:szCs w:val="20"/>
          <w:color w:val="auto"/>
        </w:rPr>
      </w:pPr>
      <w:r>
        <w:rPr>
          <w:rFonts w:ascii="Arial" w:cs="Arial" w:eastAsia="Arial" w:hAnsi="Arial"/>
          <w:sz w:val="20"/>
          <w:szCs w:val="20"/>
          <w:color w:val="auto"/>
        </w:rPr>
        <w:t>Interest income decreased $14,000, or 15%, to $80,000 for the three months ended June 30, 2021 as compared to the three months ended June 30, 2020.</w:t>
      </w:r>
    </w:p>
    <w:p>
      <w:pPr>
        <w:spacing w:after="0" w:line="177" w:lineRule="exact"/>
        <w:rPr>
          <w:sz w:val="20"/>
          <w:szCs w:val="20"/>
          <w:color w:val="auto"/>
        </w:rPr>
      </w:pPr>
    </w:p>
    <w:p>
      <w:pPr>
        <w:ind w:right="80" w:firstLine="648"/>
        <w:spacing w:after="0" w:line="250" w:lineRule="auto"/>
        <w:rPr>
          <w:sz w:val="20"/>
          <w:szCs w:val="20"/>
          <w:color w:val="auto"/>
        </w:rPr>
      </w:pPr>
      <w:r>
        <w:rPr>
          <w:rFonts w:ascii="Arial" w:cs="Arial" w:eastAsia="Arial" w:hAnsi="Arial"/>
          <w:sz w:val="20"/>
          <w:szCs w:val="20"/>
          <w:color w:val="auto"/>
        </w:rPr>
        <w:t>Interest expense decreased $2.1 million, or approximately 100%, to $6,000 for the three months ended June 30, 2021 as compared to the three months ended June 30, 2020. The decrease was primarily due to the full repayment of our previously outstanding senior secured term loan in connection with the IPO in September 2020.</w:t>
      </w:r>
    </w:p>
    <w:p>
      <w:pPr>
        <w:spacing w:after="0" w:line="186" w:lineRule="exact"/>
        <w:rPr>
          <w:sz w:val="20"/>
          <w:szCs w:val="20"/>
          <w:color w:val="auto"/>
        </w:rPr>
      </w:pPr>
    </w:p>
    <w:p>
      <w:pPr>
        <w:jc w:val="both"/>
        <w:ind w:right="300" w:firstLine="648"/>
        <w:spacing w:after="0" w:line="250" w:lineRule="auto"/>
        <w:rPr>
          <w:sz w:val="20"/>
          <w:szCs w:val="20"/>
          <w:color w:val="auto"/>
        </w:rPr>
      </w:pPr>
      <w:r>
        <w:rPr>
          <w:rFonts w:ascii="Arial" w:cs="Arial" w:eastAsia="Arial" w:hAnsi="Arial"/>
          <w:sz w:val="20"/>
          <w:szCs w:val="20"/>
          <w:color w:val="auto"/>
        </w:rPr>
        <w:t>Other income (loss) decreased $0.7 million to a loss of $0.4 million for the three months ended June 30, 2021 as compared to the three months ended June 30, 2020, primarily reflecting net foreign currency transaction losses and losses related to the write-off of certain property and equipment.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Income Tax Expense</w:t>
      </w:r>
    </w:p>
    <w:p>
      <w:pPr>
        <w:spacing w:after="0" w:line="222" w:lineRule="exact"/>
        <w:rPr>
          <w:sz w:val="20"/>
          <w:szCs w:val="20"/>
          <w:color w:val="auto"/>
        </w:rPr>
      </w:pPr>
    </w:p>
    <w:p>
      <w:pPr>
        <w:ind w:right="480" w:firstLine="648"/>
        <w:spacing w:after="0" w:line="282" w:lineRule="auto"/>
        <w:rPr>
          <w:sz w:val="20"/>
          <w:szCs w:val="20"/>
          <w:color w:val="auto"/>
        </w:rPr>
      </w:pPr>
      <w:r>
        <w:rPr>
          <w:rFonts w:ascii="Arial" w:cs="Arial" w:eastAsia="Arial" w:hAnsi="Arial"/>
          <w:sz w:val="18"/>
          <w:szCs w:val="18"/>
          <w:color w:val="auto"/>
        </w:rPr>
        <w:t>Income tax expense primarily reflects U.S. federal and state income taxes on our share of taxable income generated by the Partnership, as well as local and foreign income taxes of certain of the Partnership’s subsidiaries. Prior to the Reorganization and IPO, income tax expense consisted of local income taxes and foreign income taxes for subsidiaries that have operations outside of the United States, as the Partnership is treated as a flow-through entity and is not subject to U.S. federal and state income taxes.</w:t>
      </w:r>
    </w:p>
    <w:p>
      <w:pPr>
        <w:spacing w:after="0" w:line="161" w:lineRule="exact"/>
        <w:rPr>
          <w:sz w:val="20"/>
          <w:szCs w:val="20"/>
          <w:color w:val="auto"/>
        </w:rPr>
      </w:pPr>
    </w:p>
    <w:p>
      <w:pPr>
        <w:jc w:val="both"/>
        <w:ind w:right="120" w:firstLine="648"/>
        <w:spacing w:after="0" w:line="276" w:lineRule="auto"/>
        <w:rPr>
          <w:sz w:val="20"/>
          <w:szCs w:val="20"/>
          <w:color w:val="auto"/>
        </w:rPr>
      </w:pPr>
      <w:r>
        <w:rPr>
          <w:rFonts w:ascii="Arial" w:cs="Arial" w:eastAsia="Arial" w:hAnsi="Arial"/>
          <w:sz w:val="18"/>
          <w:szCs w:val="18"/>
          <w:color w:val="auto"/>
        </w:rPr>
        <w:t>Our effective income tax rate was 10.2% and (2.3)% for the three months ended June 30, 2021 and 2020, respectively. Our effective tax rate is dependent on many factors, including the jurisdictional mix of income subject to tax. Consequently, the effective tax rate can vary from period to period. Our overall effective tax rate in each of the periods described above is less than the statutory rate primarily because a portion of income is allocated to non-controlling interests, as the tax liability on such income is borne by the holders of such non-controlling interests. Additionally, for the period prior to the Reorganization and IPO, we operated as a partnership for U.S. federal income tax purposes and were not subject to U.S. federal and state income taxes at the Partnership level.</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Three Months Ended June 30, 2021 Compared to Three Months Ended June 30, 2020</w:t>
      </w:r>
    </w:p>
    <w:p>
      <w:pPr>
        <w:spacing w:after="0" w:line="202" w:lineRule="exact"/>
        <w:rPr>
          <w:sz w:val="20"/>
          <w:szCs w:val="20"/>
          <w:color w:val="auto"/>
        </w:rPr>
      </w:pPr>
    </w:p>
    <w:p>
      <w:pPr>
        <w:ind w:right="200" w:firstLine="648"/>
        <w:spacing w:after="0" w:line="260" w:lineRule="auto"/>
        <w:rPr>
          <w:sz w:val="20"/>
          <w:szCs w:val="20"/>
          <w:color w:val="auto"/>
        </w:rPr>
      </w:pPr>
      <w:r>
        <w:rPr>
          <w:rFonts w:ascii="Arial" w:cs="Arial" w:eastAsia="Arial" w:hAnsi="Arial"/>
          <w:sz w:val="19"/>
          <w:szCs w:val="19"/>
          <w:color w:val="auto"/>
        </w:rPr>
        <w:t>Income tax expense increased $13.3 million, or 1,146%, to $14.4 million for the three months ended June 30, 2021 as compared to the three months ended June 30, 2020. The increase was primarily related to U.S. federal and state income taxes recognized on our share of taxable income generated by the Partnership for the three months ended June 30, 2021. For the period prior to the Reorganization and IPO, we operated as a partnership for U.S. federal income tax purposes and were not subject to U.S. federal and state income taxes at the Partnership level resulting in lower income tax expense in the prior year period.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Net Income Attributable to Non-Controlling Interests in Subsidiaries</w:t>
      </w:r>
    </w:p>
    <w:p>
      <w:pPr>
        <w:spacing w:after="0" w:line="222" w:lineRule="exact"/>
        <w:rPr>
          <w:sz w:val="20"/>
          <w:szCs w:val="20"/>
          <w:color w:val="auto"/>
        </w:rPr>
      </w:pPr>
    </w:p>
    <w:p>
      <w:pPr>
        <w:ind w:right="140" w:firstLine="648"/>
        <w:spacing w:after="0" w:line="250" w:lineRule="auto"/>
        <w:rPr>
          <w:sz w:val="20"/>
          <w:szCs w:val="20"/>
          <w:color w:val="auto"/>
        </w:rPr>
      </w:pPr>
      <w:r>
        <w:rPr>
          <w:rFonts w:ascii="Arial" w:cs="Arial" w:eastAsia="Arial" w:hAnsi="Arial"/>
          <w:sz w:val="20"/>
          <w:szCs w:val="20"/>
          <w:color w:val="auto"/>
        </w:rPr>
        <w:t>Net income attributable to non-controlling interests in subsidiaries increased $1.5 million, or 37%, to $5.6 million for the three months ended June 30, 2021 as compared to the three months ended June 30, 2020. The increase was primarily attributable to an increase in income generated by our consolidated subsidiaries not wholly-owned by us.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Net Income Attributable to Non-Controlling Interests in the Partnership</w:t>
      </w:r>
    </w:p>
    <w:p>
      <w:pPr>
        <w:spacing w:after="0" w:line="222" w:lineRule="exact"/>
        <w:rPr>
          <w:sz w:val="20"/>
          <w:szCs w:val="20"/>
          <w:color w:val="auto"/>
        </w:rPr>
      </w:pPr>
    </w:p>
    <w:p>
      <w:pPr>
        <w:ind w:right="160" w:firstLine="648"/>
        <w:spacing w:after="0" w:line="263" w:lineRule="auto"/>
        <w:rPr>
          <w:sz w:val="20"/>
          <w:szCs w:val="20"/>
          <w:color w:val="auto"/>
        </w:rPr>
      </w:pPr>
      <w:r>
        <w:rPr>
          <w:rFonts w:ascii="Arial" w:cs="Arial" w:eastAsia="Arial" w:hAnsi="Arial"/>
          <w:sz w:val="19"/>
          <w:szCs w:val="19"/>
          <w:color w:val="auto"/>
        </w:rPr>
        <w:t>Net income attributable to non-controlling interests in the Partnership represents the portion of net income or loss attributable to the interests held by the Class B unitholders of the Partnership. Net income attributable to non-controlling interests in the Partnership was $79.3 million for the three months ended June 30, 2021. Prior to the Reorganization and IPO, all of our income or loss relates to the Partnership and has been presented as non-controlling interests in the Partnership.</w:t>
      </w:r>
    </w:p>
    <w:p>
      <w:pPr>
        <w:spacing w:after="0" w:line="170" w:lineRule="exact"/>
        <w:rPr>
          <w:sz w:val="20"/>
          <w:szCs w:val="20"/>
          <w:color w:val="auto"/>
        </w:rPr>
      </w:pPr>
    </w:p>
    <w:p>
      <w:pPr>
        <w:ind w:left="5160"/>
        <w:spacing w:after="0"/>
        <w:rPr>
          <w:sz w:val="20"/>
          <w:szCs w:val="20"/>
          <w:color w:val="auto"/>
        </w:rPr>
      </w:pPr>
      <w:r>
        <w:rPr>
          <w:rFonts w:ascii="Arial" w:cs="Arial" w:eastAsia="Arial" w:hAnsi="Arial"/>
          <w:sz w:val="20"/>
          <w:szCs w:val="20"/>
          <w:b w:val="1"/>
          <w:bCs w:val="1"/>
          <w:color w:val="auto"/>
        </w:rPr>
        <w:t>Operating Metrics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Assets Under Management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AUM was $66 billion as of June 30, 2020, $86 billion as of March 31, 2021 and $90 billion as of June 30, 2021.</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Assets Under Advisement</w:t>
      </w:r>
    </w:p>
    <w:p>
      <w:pPr>
        <w:spacing w:after="0" w:line="222" w:lineRule="exact"/>
        <w:rPr>
          <w:sz w:val="20"/>
          <w:szCs w:val="20"/>
          <w:color w:val="auto"/>
        </w:rPr>
      </w:pPr>
    </w:p>
    <w:p>
      <w:pPr>
        <w:ind w:right="100" w:firstLine="648"/>
        <w:spacing w:after="0" w:line="278" w:lineRule="auto"/>
        <w:rPr>
          <w:sz w:val="20"/>
          <w:szCs w:val="20"/>
          <w:color w:val="auto"/>
        </w:rPr>
      </w:pPr>
      <w:r>
        <w:rPr>
          <w:rFonts w:ascii="Arial" w:cs="Arial" w:eastAsia="Arial" w:hAnsi="Arial"/>
          <w:sz w:val="18"/>
          <w:szCs w:val="18"/>
          <w:color w:val="auto"/>
        </w:rPr>
        <w:t xml:space="preserve">Assets related to our advisory accounts were $226 billion as of June 30, 2020, $340 billion as of March 31, 2021 and $375 billion as of June 30, 2021. As described under “Key Operating Metrics—Assets Under Advisement,” we modified our calculation of AUA beginning in the quarter ended March 31, 2021 to include, with respect to our advisory clients, the portion of their portfolio assets for which we do not directly provide recommendations, monitoring and/or reporting services. This change increased AUA by approximately $70 billion </w:t>
      </w:r>
      <w:r>
        <w:rPr>
          <w:rFonts w:ascii="Arial" w:cs="Arial" w:eastAsia="Arial" w:hAnsi="Arial"/>
          <w:sz w:val="18"/>
          <w:szCs w:val="18"/>
          <w:color w:val="231F20"/>
        </w:rPr>
        <w:t>for the</w:t>
      </w:r>
      <w:r>
        <w:rPr>
          <w:rFonts w:ascii="Arial" w:cs="Arial" w:eastAsia="Arial" w:hAnsi="Arial"/>
          <w:sz w:val="18"/>
          <w:szCs w:val="18"/>
          <w:color w:val="auto"/>
        </w:rPr>
        <w:t xml:space="preserve"> </w:t>
      </w:r>
      <w:r>
        <w:rPr>
          <w:rFonts w:ascii="Arial" w:cs="Arial" w:eastAsia="Arial" w:hAnsi="Arial"/>
          <w:sz w:val="18"/>
          <w:szCs w:val="18"/>
          <w:color w:val="231F20"/>
        </w:rPr>
        <w:t xml:space="preserve">quarter ended </w:t>
      </w:r>
      <w:r>
        <w:rPr>
          <w:rFonts w:ascii="Arial" w:cs="Arial" w:eastAsia="Arial" w:hAnsi="Arial"/>
          <w:sz w:val="18"/>
          <w:szCs w:val="18"/>
          <w:color w:val="000000"/>
        </w:rPr>
        <w:t>March 31, 2021</w:t>
      </w:r>
      <w:r>
        <w:rPr>
          <w:rFonts w:ascii="Arial" w:cs="Arial" w:eastAsia="Arial" w:hAnsi="Arial"/>
          <w:sz w:val="18"/>
          <w:szCs w:val="18"/>
          <w:color w:val="231F20"/>
        </w:rPr>
        <w:t xml:space="preserve">. </w:t>
      </w:r>
      <w:r>
        <w:rPr>
          <w:rFonts w:ascii="Arial" w:cs="Arial" w:eastAsia="Arial" w:hAnsi="Arial"/>
          <w:sz w:val="18"/>
          <w:szCs w:val="18"/>
          <w:color w:val="000000"/>
        </w:rPr>
        <w:t>Prior period amounts have not been recast for this change because such historical data does not exist.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Fee-Earning AUM</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Three Months Ended June 30, 2021</w:t>
      </w:r>
    </w:p>
    <w:p>
      <w:pPr>
        <w:spacing w:after="0" w:line="216" w:lineRule="exact"/>
        <w:rPr>
          <w:sz w:val="20"/>
          <w:szCs w:val="20"/>
          <w:color w:val="auto"/>
        </w:rPr>
      </w:pPr>
    </w:p>
    <w:p>
      <w:pPr>
        <w:ind w:right="200" w:firstLine="648"/>
        <w:spacing w:after="0" w:line="260" w:lineRule="auto"/>
        <w:rPr>
          <w:sz w:val="20"/>
          <w:szCs w:val="20"/>
          <w:color w:val="auto"/>
        </w:rPr>
      </w:pPr>
      <w:r>
        <w:rPr>
          <w:rFonts w:ascii="Arial" w:cs="Arial" w:eastAsia="Arial" w:hAnsi="Arial"/>
          <w:sz w:val="20"/>
          <w:szCs w:val="20"/>
          <w:color w:val="auto"/>
        </w:rPr>
        <w:t>FEAUM increased $1 billion, or 2%, to approximately $53 billion as of June 30, 2021 as compared to approximately $52 billion as of March 31, 2021. The increase was primarily attributable to SMAs.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7"/>
          </w:tcPr>
          <w:p>
            <w:pPr>
              <w:jc w:val="center"/>
              <w:ind w:right="170"/>
              <w:spacing w:after="0"/>
              <w:rPr>
                <w:sz w:val="20"/>
                <w:szCs w:val="20"/>
                <w:color w:val="auto"/>
              </w:rPr>
            </w:pPr>
            <w:r>
              <w:rPr>
                <w:rFonts w:ascii="Arial" w:cs="Arial" w:eastAsia="Arial" w:hAnsi="Arial"/>
                <w:sz w:val="18"/>
                <w:szCs w:val="18"/>
                <w:b w:val="1"/>
                <w:bCs w:val="1"/>
                <w:color w:val="auto"/>
                <w:w w:val="90"/>
              </w:rPr>
              <w:t>Three Months Ended June 30, 2021</w:t>
            </w:r>
          </w:p>
        </w:tc>
        <w:tc>
          <w:tcPr>
            <w:tcW w:w="0" w:type="dxa"/>
            <w:vAlign w:val="bottom"/>
          </w:tcPr>
          <w:p>
            <w:pPr>
              <w:spacing w:after="0"/>
              <w:rPr>
                <w:sz w:val="1"/>
                <w:szCs w:val="1"/>
                <w:color w:val="auto"/>
              </w:rPr>
            </w:pPr>
          </w:p>
        </w:tc>
      </w:tr>
      <w:tr>
        <w:trPr>
          <w:trHeight w:val="169"/>
        </w:trPr>
        <w:tc>
          <w:tcPr>
            <w:tcW w:w="7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86"/>
              </w:rPr>
              <w:t>Focused</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0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Pr>
          <w:p>
            <w:pPr>
              <w:spacing w:after="0"/>
              <w:rPr>
                <w:sz w:val="15"/>
                <w:szCs w:val="15"/>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SMAs</w:t>
            </w:r>
          </w:p>
        </w:tc>
        <w:tc>
          <w:tcPr>
            <w:tcW w:w="140" w:type="dxa"/>
            <w:vAlign w:val="bottom"/>
          </w:tcPr>
          <w:p>
            <w:pPr>
              <w:spacing w:after="0"/>
              <w:rPr>
                <w:sz w:val="15"/>
                <w:szCs w:val="15"/>
                <w:color w:val="auto"/>
              </w:rPr>
            </w:pPr>
          </w:p>
        </w:tc>
        <w:tc>
          <w:tcPr>
            <w:tcW w:w="130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1"/>
              </w:rPr>
              <w:t>Commingled</w:t>
            </w:r>
          </w:p>
        </w:tc>
        <w:tc>
          <w:tcPr>
            <w:tcW w:w="280" w:type="dxa"/>
            <w:vAlign w:val="bottom"/>
          </w:tcPr>
          <w:p>
            <w:pPr>
              <w:spacing w:after="0"/>
              <w:rPr>
                <w:sz w:val="15"/>
                <w:szCs w:val="15"/>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70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Funds</w:t>
            </w:r>
          </w:p>
        </w:tc>
        <w:tc>
          <w:tcPr>
            <w:tcW w:w="2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40,561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52,008</w:t>
            </w:r>
          </w:p>
        </w:tc>
        <w:tc>
          <w:tcPr>
            <w:tcW w:w="0" w:type="dxa"/>
            <w:vAlign w:val="bottom"/>
          </w:tcPr>
          <w:p>
            <w:pPr>
              <w:spacing w:after="0"/>
              <w:rPr>
                <w:sz w:val="1"/>
                <w:szCs w:val="1"/>
                <w:color w:val="auto"/>
              </w:rPr>
            </w:pPr>
          </w:p>
        </w:tc>
      </w:tr>
      <w:tr>
        <w:trPr>
          <w:trHeight w:val="230"/>
        </w:trPr>
        <w:tc>
          <w:tcPr>
            <w:tcW w:w="7040" w:type="dxa"/>
            <w:vAlign w:val="bottom"/>
          </w:tcPr>
          <w:p>
            <w:pPr>
              <w:ind w:left="460"/>
              <w:spacing w:after="0" w:line="230" w:lineRule="exact"/>
              <w:rPr>
                <w:sz w:val="20"/>
                <w:szCs w:val="20"/>
                <w:color w:val="auto"/>
              </w:rPr>
            </w:pPr>
            <w:r>
              <w:rPr>
                <w:rFonts w:ascii="Arial" w:cs="Arial" w:eastAsia="Arial" w:hAnsi="Arial"/>
                <w:sz w:val="18"/>
                <w:szCs w:val="18"/>
                <w:color w:val="auto"/>
              </w:rPr>
              <w:t>Contributions</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Distributions</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30"/>
        </w:trPr>
        <w:tc>
          <w:tcPr>
            <w:tcW w:w="7040" w:type="dxa"/>
            <w:vAlign w:val="bottom"/>
            <w:tcBorders>
              <w:bottom w:val="single" w:sz="8" w:color="CCEEFF"/>
            </w:tcBorders>
          </w:tcPr>
          <w:p>
            <w:pPr>
              <w:ind w:left="460"/>
              <w:spacing w:after="0" w:line="230" w:lineRule="exact"/>
              <w:rPr>
                <w:sz w:val="20"/>
                <w:szCs w:val="20"/>
                <w:color w:val="auto"/>
              </w:rPr>
            </w:pPr>
            <w:r>
              <w:rPr>
                <w:rFonts w:ascii="Arial" w:cs="Arial" w:eastAsia="Arial" w:hAnsi="Arial"/>
                <w:sz w:val="18"/>
                <w:szCs w:val="18"/>
                <w:color w:val="auto"/>
              </w:rPr>
              <w:t>Market value, FX and other</w:t>
            </w:r>
            <w:r>
              <w:rPr>
                <w:rFonts w:ascii="Arial" w:cs="Arial" w:eastAsia="Arial" w:hAnsi="Arial"/>
                <w:sz w:val="23"/>
                <w:szCs w:val="23"/>
                <w:color w:val="auto"/>
                <w:vertAlign w:val="superscript"/>
              </w:rPr>
              <w:t>(3)</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8"/>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52,907</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9" w:lineRule="exact"/>
        <w:rPr>
          <w:sz w:val="20"/>
          <w:szCs w:val="20"/>
          <w:color w:val="auto"/>
        </w:rPr>
      </w:pPr>
    </w:p>
    <w:p>
      <w:pPr>
        <w:ind w:left="660" w:right="300" w:hanging="652"/>
        <w:spacing w:after="0" w:line="260" w:lineRule="auto"/>
        <w:tabs>
          <w:tab w:leader="none" w:pos="654"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Contributions consist of new capital commitments that earn fees on committed capital and capital contributions to funds and accounts that earn fees on net invested capital or NAV.</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44"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Distributions consist of returns of capital from funds and accounts that pay fees on net invested capital or NAV.</w:t>
      </w:r>
    </w:p>
    <w:p>
      <w:pPr>
        <w:spacing w:after="0" w:line="23" w:lineRule="exact"/>
        <w:rPr>
          <w:rFonts w:ascii="Arial" w:cs="Arial" w:eastAsia="Arial" w:hAnsi="Arial"/>
          <w:sz w:val="18"/>
          <w:szCs w:val="18"/>
          <w:color w:val="auto"/>
        </w:rPr>
      </w:pPr>
    </w:p>
    <w:p>
      <w:pPr>
        <w:ind w:left="660" w:right="200" w:hanging="652"/>
        <w:spacing w:after="0" w:line="255" w:lineRule="auto"/>
        <w:tabs>
          <w:tab w:leader="none" w:pos="654"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 value, FX and other primarily consist of changes in market value appreciation (depreciation) for funds that pay on NAV, the effect of foreign exchange rate changes on non-U.S. dollar denominated commitments and reductions in fee-earning AUM from funds that moved from a committed capital to net invested capital fee basis or from funds and accounts that no longer pay fees.</w:t>
      </w:r>
    </w:p>
    <w:p>
      <w:pPr>
        <w:spacing w:after="0" w:line="18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The following tables set forth FEAUM by asset class and selected weighted-average management fee rate data:</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8"/>
              </w:rPr>
              <w:t>As of</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 2021</w:t>
            </w:r>
          </w:p>
        </w:tc>
        <w:tc>
          <w:tcPr>
            <w:tcW w:w="16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March 31, 2021</w:t>
            </w:r>
          </w:p>
        </w:tc>
        <w:tc>
          <w:tcPr>
            <w:tcW w:w="20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June 30, 2020</w:t>
            </w:r>
          </w:p>
        </w:tc>
      </w:tr>
      <w:tr>
        <w:trPr>
          <w:trHeight w:val="209"/>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FEAUM</w:t>
            </w:r>
          </w:p>
        </w:tc>
        <w:tc>
          <w:tcPr>
            <w:tcW w:w="2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Private equity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24,982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24,533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20,129</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Infrastructure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11,348</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Private debt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10,628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10,483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6,762</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3,497</w:t>
            </w:r>
          </w:p>
        </w:tc>
      </w:tr>
      <w:tr>
        <w:trPr>
          <w:trHeight w:val="223"/>
        </w:trPr>
        <w:tc>
          <w:tcPr>
            <w:tcW w:w="6060" w:type="dxa"/>
            <w:vAlign w:val="bottom"/>
          </w:tcPr>
          <w:p>
            <w:pPr>
              <w:ind w:left="4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52,907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52,008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41,736</w:t>
            </w:r>
          </w:p>
        </w:tc>
      </w:tr>
      <w:tr>
        <w:trPr>
          <w:trHeight w:val="21"/>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88"/>
              </w:rPr>
              <w:t>As of</w:t>
            </w:r>
          </w:p>
        </w:tc>
        <w:tc>
          <w:tcPr>
            <w:tcW w:w="1720" w:type="dxa"/>
            <w:vAlign w:val="bottom"/>
            <w:tcBorders>
              <w:bottom w:val="single" w:sz="8" w:color="auto"/>
            </w:tcBorders>
          </w:tcPr>
          <w:p>
            <w:pPr>
              <w:spacing w:after="0"/>
              <w:rPr>
                <w:sz w:val="20"/>
                <w:szCs w:val="20"/>
                <w:color w:val="auto"/>
              </w:rPr>
            </w:pPr>
          </w:p>
        </w:tc>
      </w:tr>
      <w:tr>
        <w:trPr>
          <w:trHeight w:val="223"/>
        </w:trPr>
        <w:tc>
          <w:tcPr>
            <w:tcW w:w="5860" w:type="dxa"/>
            <w:vAlign w:val="bottom"/>
          </w:tcPr>
          <w:p>
            <w:pPr>
              <w:spacing w:after="0"/>
              <w:rPr>
                <w:sz w:val="19"/>
                <w:szCs w:val="19"/>
                <w:color w:val="auto"/>
              </w:rPr>
            </w:pPr>
          </w:p>
        </w:tc>
        <w:tc>
          <w:tcPr>
            <w:tcW w:w="1820" w:type="dxa"/>
            <w:vAlign w:val="bottom"/>
            <w:gridSpan w:val="2"/>
          </w:tcPr>
          <w:p>
            <w:pPr>
              <w:ind w:left="340"/>
              <w:spacing w:after="0"/>
              <w:rPr>
                <w:sz w:val="20"/>
                <w:szCs w:val="20"/>
                <w:color w:val="auto"/>
              </w:rPr>
            </w:pPr>
            <w:r>
              <w:rPr>
                <w:rFonts w:ascii="Arial" w:cs="Arial" w:eastAsia="Arial" w:hAnsi="Arial"/>
                <w:sz w:val="18"/>
                <w:szCs w:val="18"/>
                <w:b w:val="1"/>
                <w:bCs w:val="1"/>
                <w:color w:val="auto"/>
              </w:rPr>
              <w:t>June 30, 2021</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March 31, 2021</w:t>
            </w:r>
          </w:p>
        </w:tc>
        <w:tc>
          <w:tcPr>
            <w:tcW w:w="1720" w:type="dxa"/>
            <w:vAlign w:val="bottom"/>
          </w:tcPr>
          <w:p>
            <w:pPr>
              <w:jc w:val="right"/>
              <w:ind w:right="250"/>
              <w:spacing w:after="0"/>
              <w:rPr>
                <w:sz w:val="20"/>
                <w:szCs w:val="20"/>
                <w:color w:val="auto"/>
              </w:rPr>
            </w:pPr>
            <w:r>
              <w:rPr>
                <w:rFonts w:ascii="Arial" w:cs="Arial" w:eastAsia="Arial" w:hAnsi="Arial"/>
                <w:sz w:val="18"/>
                <w:szCs w:val="18"/>
                <w:b w:val="1"/>
                <w:bCs w:val="1"/>
                <w:color w:val="auto"/>
              </w:rPr>
              <w:t>June 30, 2020</w:t>
            </w:r>
          </w:p>
        </w:tc>
      </w:tr>
      <w:tr>
        <w:trPr>
          <w:trHeight w:val="210"/>
        </w:trPr>
        <w:tc>
          <w:tcPr>
            <w:tcW w:w="586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b w:val="1"/>
                <w:bCs w:val="1"/>
                <w:color w:val="auto"/>
              </w:rPr>
              <w:t>Weighted-average fee rate</w:t>
            </w:r>
            <w:r>
              <w:rPr>
                <w:rFonts w:ascii="Arial" w:cs="Arial" w:eastAsia="Arial" w:hAnsi="Arial"/>
                <w:sz w:val="23"/>
                <w:szCs w:val="23"/>
                <w:b w:val="1"/>
                <w:bCs w:val="1"/>
                <w:color w:val="auto"/>
                <w:vertAlign w:val="superscript"/>
              </w:rPr>
              <w:t>(1)</w:t>
            </w:r>
          </w:p>
        </w:tc>
        <w:tc>
          <w:tcPr>
            <w:tcW w:w="1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r>
      <w:tr>
        <w:trPr>
          <w:trHeight w:val="229"/>
        </w:trPr>
        <w:tc>
          <w:tcPr>
            <w:tcW w:w="5860" w:type="dxa"/>
            <w:vAlign w:val="bottom"/>
          </w:tcPr>
          <w:p>
            <w:pPr>
              <w:ind w:left="20"/>
              <w:spacing w:after="0" w:line="230" w:lineRule="exact"/>
              <w:rPr>
                <w:sz w:val="20"/>
                <w:szCs w:val="20"/>
                <w:color w:val="auto"/>
              </w:rPr>
            </w:pPr>
            <w:r>
              <w:rPr>
                <w:rFonts w:ascii="Arial" w:cs="Arial" w:eastAsia="Arial" w:hAnsi="Arial"/>
                <w:sz w:val="18"/>
                <w:szCs w:val="18"/>
                <w:color w:val="auto"/>
              </w:rPr>
              <w:t>Private equity</w:t>
            </w:r>
            <w:r>
              <w:rPr>
                <w:rFonts w:ascii="Arial" w:cs="Arial" w:eastAsia="Arial" w:hAnsi="Arial"/>
                <w:sz w:val="23"/>
                <w:szCs w:val="23"/>
                <w:color w:val="auto"/>
                <w:vertAlign w:val="superscript"/>
              </w:rPr>
              <w:t>(2)</w:t>
            </w:r>
          </w:p>
        </w:tc>
        <w:tc>
          <w:tcPr>
            <w:tcW w:w="1740" w:type="dxa"/>
            <w:vAlign w:val="bottom"/>
          </w:tcPr>
          <w:p>
            <w:pPr>
              <w:jc w:val="right"/>
              <w:spacing w:after="0"/>
              <w:rPr>
                <w:sz w:val="20"/>
                <w:szCs w:val="20"/>
                <w:color w:val="auto"/>
              </w:rPr>
            </w:pPr>
            <w:r>
              <w:rPr>
                <w:rFonts w:ascii="Arial" w:cs="Arial" w:eastAsia="Arial" w:hAnsi="Arial"/>
                <w:sz w:val="18"/>
                <w:szCs w:val="18"/>
                <w:color w:val="auto"/>
              </w:rPr>
              <w:t>0.62 %</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0.62 %</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0.67 %</w:t>
            </w:r>
          </w:p>
        </w:tc>
      </w:tr>
      <w:tr>
        <w:trPr>
          <w:trHeight w:val="230"/>
        </w:trPr>
        <w:tc>
          <w:tcPr>
            <w:tcW w:w="5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Real estate, infrastructure and private debt asset classes</w:t>
            </w:r>
            <w:r>
              <w:rPr>
                <w:rFonts w:ascii="Arial" w:cs="Arial" w:eastAsia="Arial" w:hAnsi="Arial"/>
                <w:sz w:val="23"/>
                <w:szCs w:val="23"/>
                <w:color w:val="auto"/>
                <w:vertAlign w:val="superscript"/>
              </w:rPr>
              <w:t>(3)</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0.44 %</w:t>
            </w:r>
          </w:p>
        </w:tc>
        <w:tc>
          <w:tcPr>
            <w:tcW w:w="8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0.42 %</w:t>
            </w:r>
          </w:p>
        </w:tc>
        <w:tc>
          <w:tcPr>
            <w:tcW w:w="10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0.37 %</w:t>
            </w:r>
          </w:p>
        </w:tc>
      </w:tr>
      <w:tr>
        <w:trPr>
          <w:trHeight w:val="223"/>
        </w:trPr>
        <w:tc>
          <w:tcPr>
            <w:tcW w:w="5860" w:type="dxa"/>
            <w:vAlign w:val="bottom"/>
          </w:tcPr>
          <w:p>
            <w:pPr>
              <w:ind w:left="46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0.52 %</w:t>
            </w:r>
          </w:p>
        </w:tc>
        <w:tc>
          <w:tcPr>
            <w:tcW w:w="8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0.52 %</w:t>
            </w:r>
          </w:p>
        </w:tc>
        <w:tc>
          <w:tcPr>
            <w:tcW w:w="10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0.52 %</w:t>
            </w:r>
          </w:p>
        </w:tc>
      </w:tr>
      <w:tr>
        <w:trPr>
          <w:trHeight w:val="21"/>
        </w:trPr>
        <w:tc>
          <w:tcPr>
            <w:tcW w:w="58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9" w:lineRule="exact"/>
        <w:rPr>
          <w:sz w:val="20"/>
          <w:szCs w:val="20"/>
          <w:color w:val="auto"/>
        </w:rPr>
      </w:pPr>
    </w:p>
    <w:p>
      <w:pPr>
        <w:ind w:left="640" w:hanging="632"/>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Weighted-average fee rates reflect the applicable management fees for the last 12 months ending on each period presented.</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change in weighted-average fee rates primarily reflected the timing of new funds.</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change in weighted-average fee rates primarily reflected shifts in asset class mix.</w:t>
      </w:r>
    </w:p>
    <w:p>
      <w:pPr>
        <w:spacing w:after="0" w:line="20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b w:val="1"/>
          <w:bCs w:val="1"/>
          <w:color w:val="auto"/>
        </w:rPr>
        <w:t>Undeployed Fee-Earning Capital</w:t>
      </w:r>
    </w:p>
    <w:p>
      <w:pPr>
        <w:spacing w:after="0" w:line="222" w:lineRule="exact"/>
        <w:rPr>
          <w:sz w:val="20"/>
          <w:szCs w:val="20"/>
          <w:color w:val="auto"/>
        </w:rPr>
      </w:pPr>
    </w:p>
    <w:p>
      <w:pPr>
        <w:ind w:right="120" w:firstLine="648"/>
        <w:spacing w:after="0" w:line="260" w:lineRule="auto"/>
        <w:rPr>
          <w:sz w:val="20"/>
          <w:szCs w:val="20"/>
          <w:color w:val="auto"/>
        </w:rPr>
      </w:pPr>
      <w:r>
        <w:rPr>
          <w:rFonts w:ascii="Arial" w:cs="Arial" w:eastAsia="Arial" w:hAnsi="Arial"/>
          <w:sz w:val="20"/>
          <w:szCs w:val="20"/>
          <w:color w:val="auto"/>
        </w:rPr>
        <w:t>As of June 30, 2021, we had $13.6 billion of undeployed fee-earning capital, which will generate management fee revenue once this capital is invested or active.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351" w:lineRule="exact"/>
        <w:rPr>
          <w:sz w:val="20"/>
          <w:szCs w:val="20"/>
          <w:color w:val="auto"/>
        </w:rPr>
      </w:pPr>
    </w:p>
    <w:p>
      <w:pPr>
        <w:ind w:left="4280"/>
        <w:spacing w:after="0"/>
        <w:rPr>
          <w:sz w:val="20"/>
          <w:szCs w:val="20"/>
          <w:color w:val="auto"/>
        </w:rPr>
      </w:pPr>
      <w:r>
        <w:rPr>
          <w:rFonts w:ascii="Arial" w:cs="Arial" w:eastAsia="Arial" w:hAnsi="Arial"/>
          <w:sz w:val="20"/>
          <w:szCs w:val="20"/>
          <w:b w:val="1"/>
          <w:bCs w:val="1"/>
          <w:color w:val="auto"/>
        </w:rPr>
        <w:t>Non-GAAP Financial Measures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presents the components of FRE and ANI:</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Three Months Ended June 30,</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and advisory fees, net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63,500</w:t>
            </w:r>
          </w:p>
        </w:tc>
        <w:tc>
          <w:tcPr>
            <w:tcW w:w="0" w:type="dxa"/>
            <w:vAlign w:val="bottom"/>
          </w:tcPr>
          <w:p>
            <w:pPr>
              <w:spacing w:after="0"/>
              <w:rPr>
                <w:sz w:val="1"/>
                <w:szCs w:val="1"/>
                <w:color w:val="auto"/>
              </w:rPr>
            </w:pP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Less:</w:t>
            </w: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Cash-based compensation</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39,653</w:t>
            </w:r>
          </w:p>
        </w:tc>
        <w:tc>
          <w:tcPr>
            <w:tcW w:w="0" w:type="dxa"/>
            <w:vAlign w:val="bottom"/>
          </w:tcPr>
          <w:p>
            <w:pPr>
              <w:spacing w:after="0"/>
              <w:rPr>
                <w:sz w:val="1"/>
                <w:szCs w:val="1"/>
                <w:color w:val="auto"/>
              </w:rPr>
            </w:pPr>
          </w:p>
        </w:tc>
      </w:tr>
      <w:tr>
        <w:trPr>
          <w:trHeight w:val="229"/>
        </w:trPr>
        <w:tc>
          <w:tcPr>
            <w:tcW w:w="7620" w:type="dxa"/>
            <w:vAlign w:val="bottom"/>
          </w:tcPr>
          <w:p>
            <w:pPr>
              <w:ind w:left="400"/>
              <w:spacing w:after="0" w:line="230" w:lineRule="exact"/>
              <w:rPr>
                <w:sz w:val="20"/>
                <w:szCs w:val="20"/>
                <w:color w:val="auto"/>
              </w:rPr>
            </w:pPr>
            <w:r>
              <w:rPr>
                <w:rFonts w:ascii="Arial" w:cs="Arial" w:eastAsia="Arial" w:hAnsi="Arial"/>
                <w:sz w:val="18"/>
                <w:szCs w:val="18"/>
                <w:color w:val="auto"/>
              </w:rPr>
              <w:t>Equity-based compensation</w:t>
            </w:r>
            <w:r>
              <w:rPr>
                <w:rFonts w:ascii="Arial" w:cs="Arial" w:eastAsia="Arial" w:hAnsi="Arial"/>
                <w:sz w:val="23"/>
                <w:szCs w:val="23"/>
                <w:color w:val="auto"/>
                <w:vertAlign w:val="superscript"/>
              </w:rPr>
              <w:t>(1)</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General, administrative and other</w:t>
            </w:r>
            <w:r>
              <w:rPr>
                <w:rFonts w:ascii="Arial" w:cs="Arial" w:eastAsia="Arial" w:hAnsi="Arial"/>
                <w:sz w:val="23"/>
                <w:szCs w:val="23"/>
                <w:color w:val="auto"/>
                <w:vertAlign w:val="superscript"/>
              </w:rPr>
              <w:t>(2)</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10,507</w:t>
            </w:r>
          </w:p>
        </w:tc>
        <w:tc>
          <w:tcPr>
            <w:tcW w:w="0" w:type="dxa"/>
            <w:vAlign w:val="bottom"/>
          </w:tcPr>
          <w:p>
            <w:pPr>
              <w:spacing w:after="0"/>
              <w:rPr>
                <w:sz w:val="1"/>
                <w:szCs w:val="1"/>
                <w:color w:val="auto"/>
              </w:rPr>
            </w:pP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Plus:</w:t>
            </w: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intangibles</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29"/>
        </w:trPr>
        <w:tc>
          <w:tcPr>
            <w:tcW w:w="7620" w:type="dxa"/>
            <w:vAlign w:val="bottom"/>
            <w:tcBorders>
              <w:bottom w:val="single" w:sz="8" w:color="CCEEFF"/>
            </w:tcBorders>
          </w:tcPr>
          <w:p>
            <w:pPr>
              <w:ind w:left="400"/>
              <w:spacing w:after="0" w:line="230" w:lineRule="exact"/>
              <w:rPr>
                <w:sz w:val="20"/>
                <w:szCs w:val="20"/>
                <w:color w:val="auto"/>
              </w:rPr>
            </w:pPr>
            <w:r>
              <w:rPr>
                <w:rFonts w:ascii="Arial" w:cs="Arial" w:eastAsia="Arial" w:hAnsi="Arial"/>
                <w:sz w:val="18"/>
                <w:szCs w:val="18"/>
                <w:color w:val="auto"/>
              </w:rPr>
              <w:t>Non-core items</w:t>
            </w:r>
            <w:r>
              <w:rPr>
                <w:rFonts w:ascii="Arial" w:cs="Arial" w:eastAsia="Arial" w:hAnsi="Arial"/>
                <w:sz w:val="23"/>
                <w:szCs w:val="23"/>
                <w:color w:val="auto"/>
                <w:vertAlign w:val="superscript"/>
              </w:rPr>
              <w:t>(3)</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4,005</w:t>
            </w: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Fee-related earnings</w:t>
            </w:r>
            <w:r>
              <w:rPr>
                <w:rFonts w:ascii="Arial" w:cs="Arial" w:eastAsia="Arial" w:hAnsi="Arial"/>
                <w:sz w:val="23"/>
                <w:szCs w:val="23"/>
                <w:b w:val="1"/>
                <w:bCs w:val="1"/>
                <w:color w:val="auto"/>
                <w:vertAlign w:val="superscript"/>
              </w:rPr>
              <w:t>(2)</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18,180</w:t>
            </w:r>
          </w:p>
        </w:tc>
        <w:tc>
          <w:tcPr>
            <w:tcW w:w="0" w:type="dxa"/>
            <w:vAlign w:val="bottom"/>
          </w:tcPr>
          <w:p>
            <w:pPr>
              <w:spacing w:after="0"/>
              <w:rPr>
                <w:sz w:val="1"/>
                <w:szCs w:val="1"/>
                <w:color w:val="auto"/>
              </w:rPr>
            </w:pP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Plus:</w:t>
            </w: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Realized carried interest allocations</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0" w:type="dxa"/>
            <w:vAlign w:val="bottom"/>
          </w:tcPr>
          <w:p>
            <w:pPr>
              <w:spacing w:after="0"/>
              <w:rPr>
                <w:sz w:val="1"/>
                <w:szCs w:val="1"/>
                <w:color w:val="auto"/>
              </w:rPr>
            </w:pPr>
          </w:p>
        </w:tc>
      </w:tr>
      <w:tr>
        <w:trPr>
          <w:trHeight w:val="230"/>
        </w:trPr>
        <w:tc>
          <w:tcPr>
            <w:tcW w:w="7620" w:type="dxa"/>
            <w:vAlign w:val="bottom"/>
          </w:tcPr>
          <w:p>
            <w:pPr>
              <w:ind w:left="400"/>
              <w:spacing w:after="0"/>
              <w:rPr>
                <w:sz w:val="20"/>
                <w:szCs w:val="20"/>
                <w:color w:val="auto"/>
              </w:rPr>
            </w:pPr>
            <w:r>
              <w:rPr>
                <w:rFonts w:ascii="Arial" w:cs="Arial" w:eastAsia="Arial" w:hAnsi="Arial"/>
                <w:sz w:val="18"/>
                <w:szCs w:val="18"/>
                <w:color w:val="auto"/>
              </w:rPr>
              <w:t>Incentive fees</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3,589</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incentive fees</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w:t>
            </w:r>
          </w:p>
        </w:tc>
        <w:tc>
          <w:tcPr>
            <w:tcW w:w="0" w:type="dxa"/>
            <w:vAlign w:val="bottom"/>
          </w:tcPr>
          <w:p>
            <w:pPr>
              <w:spacing w:after="0"/>
              <w:rPr>
                <w:sz w:val="1"/>
                <w:szCs w:val="1"/>
                <w:color w:val="auto"/>
              </w:rPr>
            </w:pPr>
          </w:p>
        </w:tc>
      </w:tr>
      <w:tr>
        <w:trPr>
          <w:trHeight w:val="229"/>
        </w:trPr>
        <w:tc>
          <w:tcPr>
            <w:tcW w:w="7620" w:type="dxa"/>
            <w:vAlign w:val="bottom"/>
          </w:tcPr>
          <w:p>
            <w:pPr>
              <w:ind w:left="400"/>
              <w:spacing w:after="0"/>
              <w:rPr>
                <w:sz w:val="20"/>
                <w:szCs w:val="20"/>
                <w:color w:val="auto"/>
              </w:rPr>
            </w:pPr>
            <w:r>
              <w:rPr>
                <w:rFonts w:ascii="Arial" w:cs="Arial" w:eastAsia="Arial" w:hAnsi="Arial"/>
                <w:sz w:val="18"/>
                <w:szCs w:val="18"/>
                <w:color w:val="auto"/>
              </w:rPr>
              <w:t>Realized investment income</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9"/>
        </w:trPr>
        <w:tc>
          <w:tcPr>
            <w:tcW w:w="7620" w:type="dxa"/>
            <w:vAlign w:val="bottom"/>
          </w:tcPr>
          <w:p>
            <w:pPr>
              <w:ind w:left="400"/>
              <w:spacing w:after="0" w:line="230" w:lineRule="exact"/>
              <w:rPr>
                <w:sz w:val="20"/>
                <w:szCs w:val="20"/>
                <w:color w:val="auto"/>
              </w:rPr>
            </w:pPr>
            <w:r>
              <w:rPr>
                <w:rFonts w:ascii="Arial" w:cs="Arial" w:eastAsia="Arial" w:hAnsi="Arial"/>
                <w:sz w:val="18"/>
                <w:szCs w:val="18"/>
                <w:color w:val="auto"/>
              </w:rPr>
              <w:t>Other income (loss)</w:t>
            </w:r>
            <w:r>
              <w:rPr>
                <w:rFonts w:ascii="Arial" w:cs="Arial" w:eastAsia="Arial" w:hAnsi="Arial"/>
                <w:sz w:val="23"/>
                <w:szCs w:val="23"/>
                <w:color w:val="auto"/>
                <w:vertAlign w:val="superscript"/>
              </w:rPr>
              <w:t>(2)</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400"/>
              <w:spacing w:after="0"/>
              <w:rPr>
                <w:sz w:val="20"/>
                <w:szCs w:val="20"/>
                <w:color w:val="auto"/>
              </w:rPr>
            </w:pPr>
            <w:r>
              <w:rPr>
                <w:rFonts w:ascii="Arial" w:cs="Arial" w:eastAsia="Arial" w:hAnsi="Arial"/>
                <w:sz w:val="18"/>
                <w:szCs w:val="18"/>
                <w:color w:val="auto"/>
              </w:rPr>
              <w:t>Realized performance fee-related compensation</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25,308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29"/>
        </w:trPr>
        <w:tc>
          <w:tcPr>
            <w:tcW w:w="7620" w:type="dxa"/>
            <w:vAlign w:val="bottom"/>
            <w:tcBorders>
              <w:bottom w:val="single" w:sz="8" w:color="CCEEFF"/>
            </w:tcBorders>
          </w:tcPr>
          <w:p>
            <w:pPr>
              <w:ind w:left="400"/>
              <w:spacing w:after="0" w:line="230" w:lineRule="exact"/>
              <w:rPr>
                <w:sz w:val="20"/>
                <w:szCs w:val="20"/>
                <w:color w:val="auto"/>
              </w:rPr>
            </w:pPr>
            <w:r>
              <w:rPr>
                <w:rFonts w:ascii="Arial" w:cs="Arial" w:eastAsia="Arial" w:hAnsi="Arial"/>
                <w:sz w:val="18"/>
                <w:szCs w:val="18"/>
                <w:color w:val="auto"/>
              </w:rPr>
              <w:t>Income attributable to non-controlling interests in subsidiaries</w:t>
            </w:r>
            <w:r>
              <w:rPr>
                <w:rFonts w:ascii="Arial" w:cs="Arial" w:eastAsia="Arial" w:hAnsi="Arial"/>
                <w:sz w:val="23"/>
                <w:szCs w:val="23"/>
                <w:color w:val="auto"/>
                <w:vertAlign w:val="superscript"/>
              </w:rPr>
              <w:t>(4)</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4,686</w:t>
            </w: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Pre-tax adjusted net income</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20,639</w:t>
            </w:r>
          </w:p>
        </w:tc>
        <w:tc>
          <w:tcPr>
            <w:tcW w:w="0" w:type="dxa"/>
            <w:vAlign w:val="bottom"/>
          </w:tcPr>
          <w:p>
            <w:pPr>
              <w:spacing w:after="0"/>
              <w:rPr>
                <w:sz w:val="1"/>
                <w:szCs w:val="1"/>
                <w:color w:val="auto"/>
              </w:rPr>
            </w:pPr>
          </w:p>
        </w:tc>
      </w:tr>
      <w:tr>
        <w:trPr>
          <w:trHeight w:val="229"/>
        </w:trPr>
        <w:tc>
          <w:tcPr>
            <w:tcW w:w="7620" w:type="dxa"/>
            <w:vAlign w:val="bottom"/>
            <w:tcBorders>
              <w:bottom w:val="single" w:sz="8" w:color="CCEEFF"/>
            </w:tcBorders>
          </w:tcPr>
          <w:p>
            <w:pPr>
              <w:ind w:left="400"/>
              <w:spacing w:after="0" w:line="230" w:lineRule="exact"/>
              <w:rPr>
                <w:sz w:val="20"/>
                <w:szCs w:val="20"/>
                <w:color w:val="auto"/>
              </w:rPr>
            </w:pPr>
            <w:r>
              <w:rPr>
                <w:rFonts w:ascii="Arial" w:cs="Arial" w:eastAsia="Arial" w:hAnsi="Arial"/>
                <w:sz w:val="18"/>
                <w:szCs w:val="18"/>
                <w:color w:val="auto"/>
              </w:rPr>
              <w:t>Less: Income taxes</w:t>
            </w:r>
            <w:r>
              <w:rPr>
                <w:rFonts w:ascii="Arial" w:cs="Arial" w:eastAsia="Arial" w:hAnsi="Arial"/>
                <w:sz w:val="23"/>
                <w:szCs w:val="23"/>
                <w:color w:val="auto"/>
                <w:vertAlign w:val="superscript"/>
              </w:rPr>
              <w:t>(5)</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5,160</w:t>
            </w:r>
          </w:p>
        </w:tc>
        <w:tc>
          <w:tcPr>
            <w:tcW w:w="0" w:type="dxa"/>
            <w:vAlign w:val="bottom"/>
          </w:tcPr>
          <w:p>
            <w:pPr>
              <w:spacing w:after="0"/>
              <w:rPr>
                <w:sz w:val="1"/>
                <w:szCs w:val="1"/>
                <w:color w:val="auto"/>
              </w:rPr>
            </w:pPr>
          </w:p>
        </w:tc>
      </w:tr>
      <w:tr>
        <w:trPr>
          <w:trHeight w:val="248"/>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15,479</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_______________________________</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40" w:hanging="632"/>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Reflects equity-based compensation for awards granted subsequent to the IPO.</w:t>
      </w:r>
    </w:p>
    <w:p>
      <w:pPr>
        <w:spacing w:after="0" w:line="9" w:lineRule="exact"/>
        <w:rPr>
          <w:rFonts w:ascii="Arial" w:cs="Arial" w:eastAsia="Arial" w:hAnsi="Arial"/>
          <w:sz w:val="18"/>
          <w:szCs w:val="18"/>
          <w:color w:val="auto"/>
        </w:rPr>
      </w:pPr>
    </w:p>
    <w:p>
      <w:pPr>
        <w:ind w:left="660" w:right="60" w:hanging="652"/>
        <w:spacing w:after="0" w:line="250" w:lineRule="auto"/>
        <w:tabs>
          <w:tab w:leader="none" w:pos="654"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Beginning in the quarter ended December 31, 2020, foreign currency transaction gains and losses have been reclassified from general, administrative and other expenses to other income (loss) in our consolidated income statements. We have revised prior periods presented to reflect this reclassification ($0.2 million for the three months ended June 30, 2020).</w:t>
      </w:r>
    </w:p>
    <w:p>
      <w:pPr>
        <w:spacing w:after="0" w:line="1" w:lineRule="exact"/>
        <w:rPr>
          <w:rFonts w:ascii="Arial" w:cs="Arial" w:eastAsia="Arial" w:hAnsi="Arial"/>
          <w:sz w:val="18"/>
          <w:szCs w:val="18"/>
          <w:color w:val="auto"/>
        </w:rPr>
      </w:pPr>
    </w:p>
    <w:p>
      <w:pPr>
        <w:ind w:left="660" w:right="80" w:hanging="652"/>
        <w:spacing w:after="0" w:line="250" w:lineRule="auto"/>
        <w:tabs>
          <w:tab w:leader="none" w:pos="654"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transaction costs ($3.5 million for the three months ended June 30, 2021) and severance costs ($0.1 million and $4.0 million for the three months ended June 30, 2021 and 2020, respectively).</w:t>
      </w:r>
    </w:p>
    <w:p>
      <w:pPr>
        <w:ind w:left="660" w:right="300" w:hanging="652"/>
        <w:spacing w:after="0" w:line="250" w:lineRule="auto"/>
        <w:tabs>
          <w:tab w:leader="none" w:pos="654"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income attributable to non-controlling interests in subsidiaries net of non-controlling interest portion of unrealized investment income (loss) ($(0.1) million and $(0.6) million for the three months ended June 30, 2021 and 2020, respectively).</w:t>
      </w:r>
    </w:p>
    <w:p>
      <w:pPr>
        <w:ind w:left="660" w:right="40" w:hanging="652"/>
        <w:spacing w:after="0" w:line="273" w:lineRule="auto"/>
        <w:tabs>
          <w:tab w:leader="none" w:pos="654"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Represents corporate income taxes at a blended statutory rate of 22.6% applied to pre-tax adjusted net income for the three months ended June 30, 2021. The 22.6% rate for the three months ended June 30, 2021 is based on a federal statutory rate of 21.0% and a combined state, local and foreign rate net of federal benefits of 1.6%. As we were not subject to U.S. federal and state income taxes prior to the Reorganization and IPO, the blended statutory rate of 25.0% has been applied to all periods presented for comparability purposes.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Adjusted Revenues and Adjusted Net Income</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Three Months Ended June 30, 2021 Compared to Three Months Ended June 30, 2020</w:t>
      </w:r>
    </w:p>
    <w:p>
      <w:pPr>
        <w:spacing w:after="0" w:line="216" w:lineRule="exact"/>
        <w:rPr>
          <w:sz w:val="20"/>
          <w:szCs w:val="20"/>
          <w:color w:val="auto"/>
        </w:rPr>
      </w:pPr>
    </w:p>
    <w:p>
      <w:pPr>
        <w:ind w:right="200" w:firstLine="648"/>
        <w:spacing w:after="0" w:line="250" w:lineRule="auto"/>
        <w:rPr>
          <w:sz w:val="20"/>
          <w:szCs w:val="20"/>
          <w:color w:val="auto"/>
        </w:rPr>
      </w:pPr>
      <w:r>
        <w:rPr>
          <w:rFonts w:ascii="Arial" w:cs="Arial" w:eastAsia="Arial" w:hAnsi="Arial"/>
          <w:sz w:val="20"/>
          <w:szCs w:val="20"/>
          <w:color w:val="auto"/>
        </w:rPr>
        <w:t>Adjusted revenues increased $62.0 million, or 83%, to $136.2 million for the three months ended June 30, 2021 as compared to the three months ended June 30, 2020, primarily reflecting increases in net management and advisory fees, realized carried interest allocation revenues and incentive fees.</w:t>
      </w:r>
    </w:p>
    <w:p>
      <w:pPr>
        <w:spacing w:after="0" w:line="186" w:lineRule="exact"/>
        <w:rPr>
          <w:sz w:val="20"/>
          <w:szCs w:val="20"/>
          <w:color w:val="auto"/>
        </w:rPr>
      </w:pPr>
    </w:p>
    <w:p>
      <w:pPr>
        <w:ind w:right="20" w:firstLine="648"/>
        <w:spacing w:after="0" w:line="328" w:lineRule="auto"/>
        <w:rPr>
          <w:sz w:val="20"/>
          <w:szCs w:val="20"/>
          <w:color w:val="auto"/>
        </w:rPr>
      </w:pPr>
      <w:r>
        <w:rPr>
          <w:rFonts w:ascii="Arial" w:cs="Arial" w:eastAsia="Arial" w:hAnsi="Arial"/>
          <w:sz w:val="16"/>
          <w:szCs w:val="16"/>
          <w:color w:val="auto"/>
        </w:rPr>
        <w:t>ANI increased $25.1 million, or 162%, to $40.5 million for the three months ended June 30, 2021 as compared to the three months ended June 30, 2020, primarily due to the increase in FRE as discussed below, as well as higher net realized performance fee-related earnings (incentive fees, including the deferred portion, plus realized carried interest allocation revenues, less realized performance fee-related compensation), and lower interest expense. These increases were partially offset by a higher allocation of income to non-controlling interests.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Adjusted Net Income Per Share</w:t>
      </w:r>
    </w:p>
    <w:p>
      <w:pPr>
        <w:spacing w:after="0" w:line="222" w:lineRule="exact"/>
        <w:rPr>
          <w:sz w:val="20"/>
          <w:szCs w:val="20"/>
          <w:color w:val="auto"/>
        </w:rPr>
      </w:pPr>
    </w:p>
    <w:p>
      <w:pPr>
        <w:ind w:right="80" w:firstLine="648"/>
        <w:spacing w:after="0" w:line="244" w:lineRule="auto"/>
        <w:rPr>
          <w:sz w:val="20"/>
          <w:szCs w:val="20"/>
          <w:color w:val="auto"/>
        </w:rPr>
      </w:pPr>
      <w:r>
        <w:rPr>
          <w:rFonts w:ascii="Arial" w:cs="Arial" w:eastAsia="Arial" w:hAnsi="Arial"/>
          <w:sz w:val="20"/>
          <w:szCs w:val="20"/>
          <w:color w:val="auto"/>
        </w:rPr>
        <w:t>The following table shows a reconciliation of diluted weighted-average shares of Class A common stock outstanding to adjusted shares outstanding used in the computation of ANI per share for the three months ended June 30, 2021 and 2020. As Class A common stock did not exist prior to the Reorganization and IPO, the number of adjusted shares outstanding used in the computation of ANI per share for all prior year periods presented reflect the number of adjusted shares for the period from the IPO date to September 30, 2020 for comparability purposes.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Three Months Ended June 30,</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96"/>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(in thousands, except share and per share amounts)</w:t>
            </w: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40,533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15,479</w:t>
            </w:r>
          </w:p>
        </w:tc>
        <w:tc>
          <w:tcPr>
            <w:tcW w:w="0" w:type="dxa"/>
            <w:vAlign w:val="bottom"/>
          </w:tcPr>
          <w:p>
            <w:pPr>
              <w:spacing w:after="0"/>
              <w:rPr>
                <w:sz w:val="1"/>
                <w:szCs w:val="1"/>
                <w:color w:val="auto"/>
              </w:rPr>
            </w:pP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0"/>
              <w:spacing w:after="0" w:line="230" w:lineRule="exact"/>
              <w:rPr>
                <w:sz w:val="20"/>
                <w:szCs w:val="20"/>
                <w:color w:val="auto"/>
              </w:rPr>
            </w:pPr>
            <w:r>
              <w:rPr>
                <w:rFonts w:ascii="Arial" w:cs="Arial" w:eastAsia="Arial" w:hAnsi="Arial"/>
                <w:sz w:val="18"/>
                <w:szCs w:val="18"/>
                <w:color w:val="auto"/>
              </w:rPr>
              <w:t>Weighted-average shares of Class A common stock outstanding – Basic</w:t>
            </w:r>
            <w:r>
              <w:rPr>
                <w:rFonts w:ascii="Arial" w:cs="Arial" w:eastAsia="Arial" w:hAnsi="Arial"/>
                <w:sz w:val="23"/>
                <w:szCs w:val="23"/>
                <w:color w:val="auto"/>
                <w:vertAlign w:val="superscript"/>
              </w:rPr>
              <w:t>(1)</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39,042,497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29,237,500</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Assumed vesting of RSUs</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1,353,755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745,347</w:t>
            </w:r>
          </w:p>
        </w:tc>
        <w:tc>
          <w:tcPr>
            <w:tcW w:w="0" w:type="dxa"/>
            <w:vAlign w:val="bottom"/>
          </w:tcPr>
          <w:p>
            <w:pPr>
              <w:spacing w:after="0"/>
              <w:rPr>
                <w:sz w:val="1"/>
                <w:szCs w:val="1"/>
                <w:color w:val="auto"/>
              </w:rPr>
            </w:pPr>
          </w:p>
        </w:tc>
      </w:tr>
      <w:tr>
        <w:trPr>
          <w:trHeight w:val="230"/>
        </w:trPr>
        <w:tc>
          <w:tcPr>
            <w:tcW w:w="7620" w:type="dxa"/>
            <w:vAlign w:val="bottom"/>
          </w:tcPr>
          <w:p>
            <w:pPr>
              <w:ind w:left="460"/>
              <w:spacing w:after="0" w:line="230" w:lineRule="exact"/>
              <w:rPr>
                <w:sz w:val="20"/>
                <w:szCs w:val="20"/>
                <w:color w:val="auto"/>
              </w:rPr>
            </w:pPr>
            <w:r>
              <w:rPr>
                <w:rFonts w:ascii="Arial" w:cs="Arial" w:eastAsia="Arial" w:hAnsi="Arial"/>
                <w:sz w:val="18"/>
                <w:szCs w:val="18"/>
                <w:color w:val="auto"/>
              </w:rPr>
              <w:t>Assumed vesting and exchange of Class B2 units</w:t>
            </w:r>
            <w:r>
              <w:rPr>
                <w:rFonts w:ascii="Arial" w:cs="Arial" w:eastAsia="Arial" w:hAnsi="Arial"/>
                <w:sz w:val="23"/>
                <w:szCs w:val="23"/>
                <w:color w:val="auto"/>
                <w:vertAlign w:val="superscript"/>
              </w:rPr>
              <w:t>(1)</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2,488,979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2,411,318</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Exchange of Class B units in the Partnership</w:t>
            </w:r>
            <w:r>
              <w:rPr>
                <w:rFonts w:ascii="Arial" w:cs="Arial" w:eastAsia="Arial" w:hAnsi="Arial"/>
                <w:sz w:val="23"/>
                <w:szCs w:val="23"/>
                <w:color w:val="auto"/>
                <w:vertAlign w:val="superscript"/>
              </w:rPr>
              <w:t>(1)(2)</w:t>
            </w: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55,773,834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65,578,831</w:t>
            </w:r>
          </w:p>
        </w:tc>
        <w:tc>
          <w:tcPr>
            <w:tcW w:w="0" w:type="dxa"/>
            <w:vAlign w:val="bottom"/>
          </w:tcPr>
          <w:p>
            <w:pPr>
              <w:spacing w:after="0"/>
              <w:rPr>
                <w:sz w:val="1"/>
                <w:szCs w:val="1"/>
                <w:color w:val="auto"/>
              </w:rPr>
            </w:pPr>
          </w:p>
        </w:tc>
      </w:tr>
      <w:tr>
        <w:trPr>
          <w:trHeight w:val="223"/>
        </w:trPr>
        <w:tc>
          <w:tcPr>
            <w:tcW w:w="7620" w:type="dxa"/>
            <w:vAlign w:val="bottom"/>
          </w:tcPr>
          <w:p>
            <w:pPr>
              <w:ind w:left="20"/>
              <w:spacing w:after="0" w:line="223" w:lineRule="exact"/>
              <w:rPr>
                <w:sz w:val="20"/>
                <w:szCs w:val="20"/>
                <w:color w:val="auto"/>
              </w:rPr>
            </w:pPr>
            <w:r>
              <w:rPr>
                <w:rFonts w:ascii="Arial" w:cs="Arial" w:eastAsia="Arial" w:hAnsi="Arial"/>
                <w:sz w:val="18"/>
                <w:szCs w:val="18"/>
                <w:color w:val="auto"/>
              </w:rPr>
              <w:t>Adjusted shares</w:t>
            </w:r>
            <w:r>
              <w:rPr>
                <w:rFonts w:ascii="Arial" w:cs="Arial" w:eastAsia="Arial" w:hAnsi="Arial"/>
                <w:sz w:val="23"/>
                <w:szCs w:val="23"/>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98,659,065</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97,972,996</w:t>
            </w:r>
          </w:p>
        </w:tc>
        <w:tc>
          <w:tcPr>
            <w:tcW w:w="0" w:type="dxa"/>
            <w:vAlign w:val="bottom"/>
          </w:tcPr>
          <w:p>
            <w:pPr>
              <w:spacing w:after="0"/>
              <w:rPr>
                <w:sz w:val="1"/>
                <w:szCs w:val="1"/>
                <w:color w:val="auto"/>
              </w:rPr>
            </w:pP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Adjusted net income per share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_______________________________</w:t>
            </w: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6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right="60" w:hanging="652"/>
        <w:spacing w:after="0" w:line="250" w:lineRule="auto"/>
        <w:tabs>
          <w:tab w:leader="none" w:pos="654"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Class A common stock did not exist prior to the Reorganization and IPO in September 2020. As a result, the number of adjusted shares outstanding used in the computation of ANI per share for all prior year periods presented reflect the number of adjusted shares for the period from the IPO date to September 30, 2020 for comparability purposes.</w:t>
      </w:r>
    </w:p>
    <w:p>
      <w:pPr>
        <w:spacing w:after="0" w:line="1" w:lineRule="exact"/>
        <w:rPr>
          <w:rFonts w:ascii="Arial" w:cs="Arial" w:eastAsia="Arial" w:hAnsi="Arial"/>
          <w:sz w:val="18"/>
          <w:szCs w:val="18"/>
          <w:color w:val="auto"/>
        </w:rPr>
      </w:pPr>
    </w:p>
    <w:p>
      <w:pPr>
        <w:ind w:left="640" w:hanging="632"/>
        <w:spacing w:after="0"/>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Assumes the full exchange of Class B units in the Partnership for Class A common stock of SSG pursuant to the exchange agreement.</w:t>
      </w:r>
    </w:p>
    <w:p>
      <w:pPr>
        <w:spacing w:after="0" w:line="213"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20"/>
          <w:szCs w:val="20"/>
          <w:b w:val="1"/>
          <w:bCs w:val="1"/>
          <w:color w:val="auto"/>
        </w:rPr>
        <w:t>Fee-Related Earnings</w:t>
      </w:r>
    </w:p>
    <w:p>
      <w:pPr>
        <w:spacing w:after="0" w:line="22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20"/>
          <w:szCs w:val="20"/>
          <w:i w:val="1"/>
          <w:iCs w:val="1"/>
          <w:color w:val="auto"/>
        </w:rPr>
        <w:t>Three Months Ended June 30, 2021 Compared to Three Months Ended June 30, 2020</w:t>
      </w:r>
    </w:p>
    <w:p>
      <w:pPr>
        <w:spacing w:after="0" w:line="216" w:lineRule="exact"/>
        <w:rPr>
          <w:sz w:val="20"/>
          <w:szCs w:val="20"/>
          <w:color w:val="auto"/>
        </w:rPr>
      </w:pPr>
    </w:p>
    <w:p>
      <w:pPr>
        <w:jc w:val="both"/>
        <w:ind w:right="360" w:firstLine="648"/>
        <w:spacing w:after="0" w:line="250" w:lineRule="auto"/>
        <w:rPr>
          <w:sz w:val="20"/>
          <w:szCs w:val="20"/>
          <w:color w:val="auto"/>
        </w:rPr>
      </w:pPr>
      <w:r>
        <w:rPr>
          <w:rFonts w:ascii="Arial" w:cs="Arial" w:eastAsia="Arial" w:hAnsi="Arial"/>
          <w:sz w:val="20"/>
          <w:szCs w:val="20"/>
          <w:color w:val="auto"/>
        </w:rPr>
        <w:t>FRE increased $4.9 million, or 27%, to $23.1 million for the three months ended June 30, 2021 as compared to the three months ended June 30, 2020, primarily reflecting higher net management and advisory fees, partially offset by higher general, administrative and other expenses and cash-based compensation.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Reconciliation of GAAP to Non-GAAP Financial Measures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table below shows a reconciliation of revenues to adjusted revenues.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w w:val="99"/>
              </w:rPr>
              <w:t>Three Months Ended June 30,</w:t>
            </w:r>
          </w:p>
        </w:tc>
      </w:tr>
      <w:tr>
        <w:trPr>
          <w:trHeight w:val="223"/>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(61,413)</w:t>
            </w:r>
          </w:p>
        </w:tc>
      </w:tr>
      <w:tr>
        <w:trPr>
          <w:trHeight w:val="229"/>
        </w:trPr>
        <w:tc>
          <w:tcPr>
            <w:tcW w:w="7680" w:type="dxa"/>
            <w:vAlign w:val="bottom"/>
          </w:tcPr>
          <w:p>
            <w:pPr>
              <w:ind w:left="460"/>
              <w:spacing w:after="0"/>
              <w:rPr>
                <w:sz w:val="20"/>
                <w:szCs w:val="20"/>
                <w:color w:val="auto"/>
              </w:rPr>
            </w:pPr>
            <w:r>
              <w:rPr>
                <w:rFonts w:ascii="Arial" w:cs="Arial" w:eastAsia="Arial" w:hAnsi="Arial"/>
                <w:sz w:val="18"/>
                <w:szCs w:val="18"/>
                <w:color w:val="auto"/>
              </w:rPr>
              <w:t>Unrealized carried interest allocations</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(176,399)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132,140</w:t>
            </w:r>
          </w:p>
        </w:tc>
      </w:tr>
      <w:tr>
        <w:trPr>
          <w:trHeight w:val="230"/>
        </w:trPr>
        <w:tc>
          <w:tcPr>
            <w:tcW w:w="7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incentive fees</w:t>
            </w: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3,546</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Adjusted revenues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136,248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74,273</w:t>
            </w:r>
          </w:p>
        </w:tc>
      </w:tr>
      <w:tr>
        <w:trPr>
          <w:trHeight w:val="21"/>
        </w:trPr>
        <w:tc>
          <w:tcPr>
            <w:tcW w:w="7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table below shows a reconciliation of income before income tax to ANI and FRE.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w w:val="99"/>
              </w:rPr>
              <w:t>Three Months Ended June 30,</w:t>
            </w:r>
          </w:p>
        </w:tc>
      </w:tr>
      <w:tr>
        <w:trPr>
          <w:trHeight w:val="223"/>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(51,202)</w:t>
            </w:r>
          </w:p>
        </w:tc>
      </w:tr>
      <w:tr>
        <w:trPr>
          <w:trHeight w:val="229"/>
        </w:trPr>
        <w:tc>
          <w:tcPr>
            <w:tcW w:w="7680" w:type="dxa"/>
            <w:vAlign w:val="bottom"/>
          </w:tcPr>
          <w:p>
            <w:pPr>
              <w:ind w:left="460"/>
              <w:spacing w:after="0" w:line="230" w:lineRule="exact"/>
              <w:rPr>
                <w:sz w:val="20"/>
                <w:szCs w:val="20"/>
                <w:color w:val="auto"/>
              </w:rPr>
            </w:pPr>
            <w:r>
              <w:rPr>
                <w:rFonts w:ascii="Arial" w:cs="Arial" w:eastAsia="Arial" w:hAnsi="Arial"/>
                <w:sz w:val="18"/>
                <w:szCs w:val="18"/>
                <w:color w:val="auto"/>
              </w:rPr>
              <w:t>Net income attributable to non-controlling interests in subsidiaries</w:t>
            </w:r>
            <w:r>
              <w:rPr>
                <w:rFonts w:ascii="Arial" w:cs="Arial" w:eastAsia="Arial" w:hAnsi="Arial"/>
                <w:sz w:val="23"/>
                <w:szCs w:val="23"/>
                <w:color w:val="auto"/>
                <w:vertAlign w:val="superscript"/>
              </w:rPr>
              <w:t>(1)</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(4,686)</w:t>
            </w:r>
          </w:p>
        </w:tc>
      </w:tr>
      <w:tr>
        <w:trPr>
          <w:trHeight w:val="230"/>
        </w:trPr>
        <w:tc>
          <w:tcPr>
            <w:tcW w:w="7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Unrealized carried interest allocation revenue</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132,140</w:t>
            </w:r>
          </w:p>
        </w:tc>
      </w:tr>
      <w:tr>
        <w:trPr>
          <w:trHeight w:val="229"/>
        </w:trPr>
        <w:tc>
          <w:tcPr>
            <w:tcW w:w="7680" w:type="dxa"/>
            <w:vAlign w:val="bottom"/>
          </w:tcPr>
          <w:p>
            <w:pPr>
              <w:ind w:left="460"/>
              <w:spacing w:after="0"/>
              <w:rPr>
                <w:sz w:val="20"/>
                <w:szCs w:val="20"/>
                <w:color w:val="auto"/>
              </w:rPr>
            </w:pPr>
            <w:r>
              <w:rPr>
                <w:rFonts w:ascii="Arial" w:cs="Arial" w:eastAsia="Arial" w:hAnsi="Arial"/>
                <w:sz w:val="18"/>
                <w:szCs w:val="18"/>
                <w:color w:val="auto"/>
              </w:rPr>
              <w:t>Unrealized performance fee-related compensation</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85,572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(68,675)</w:t>
            </w:r>
          </w:p>
        </w:tc>
      </w:tr>
      <w:tr>
        <w:trPr>
          <w:trHeight w:val="229"/>
        </w:trPr>
        <w:tc>
          <w:tcPr>
            <w:tcW w:w="7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Unrealized investment income</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w:t>
            </w:r>
          </w:p>
        </w:tc>
      </w:tr>
      <w:tr>
        <w:trPr>
          <w:trHeight w:val="230"/>
        </w:trPr>
        <w:tc>
          <w:tcPr>
            <w:tcW w:w="7680" w:type="dxa"/>
            <w:vAlign w:val="bottom"/>
          </w:tcPr>
          <w:p>
            <w:pPr>
              <w:ind w:left="460"/>
              <w:spacing w:after="0"/>
              <w:rPr>
                <w:sz w:val="20"/>
                <w:szCs w:val="20"/>
                <w:color w:val="auto"/>
              </w:rPr>
            </w:pPr>
            <w:r>
              <w:rPr>
                <w:rFonts w:ascii="Arial" w:cs="Arial" w:eastAsia="Arial" w:hAnsi="Arial"/>
                <w:sz w:val="18"/>
                <w:szCs w:val="18"/>
                <w:color w:val="auto"/>
              </w:rPr>
              <w:t>Deferred incentive fees</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3,546</w:t>
            </w:r>
          </w:p>
        </w:tc>
      </w:tr>
      <w:tr>
        <w:trPr>
          <w:trHeight w:val="229"/>
        </w:trPr>
        <w:tc>
          <w:tcPr>
            <w:tcW w:w="768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Equity-based compensation</w:t>
            </w:r>
            <w:r>
              <w:rPr>
                <w:rFonts w:ascii="Arial" w:cs="Arial" w:eastAsia="Arial" w:hAnsi="Arial"/>
                <w:sz w:val="23"/>
                <w:szCs w:val="23"/>
                <w:color w:val="auto"/>
                <w:vertAlign w:val="superscript"/>
              </w:rPr>
              <w:t>(2)</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r>
      <w:tr>
        <w:trPr>
          <w:trHeight w:val="230"/>
        </w:trPr>
        <w:tc>
          <w:tcPr>
            <w:tcW w:w="7680" w:type="dxa"/>
            <w:vAlign w:val="bottom"/>
          </w:tcPr>
          <w:p>
            <w:pPr>
              <w:ind w:left="460"/>
              <w:spacing w:after="0"/>
              <w:rPr>
                <w:sz w:val="20"/>
                <w:szCs w:val="20"/>
                <w:color w:val="auto"/>
              </w:rPr>
            </w:pPr>
            <w:r>
              <w:rPr>
                <w:rFonts w:ascii="Arial" w:cs="Arial" w:eastAsia="Arial" w:hAnsi="Arial"/>
                <w:sz w:val="18"/>
                <w:szCs w:val="18"/>
                <w:color w:val="auto"/>
              </w:rPr>
              <w:t>Amortization of intangibles</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835</w:t>
            </w:r>
          </w:p>
        </w:tc>
      </w:tr>
      <w:tr>
        <w:trPr>
          <w:trHeight w:val="230"/>
        </w:trPr>
        <w:tc>
          <w:tcPr>
            <w:tcW w:w="768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Non-core items</w:t>
            </w:r>
            <w:r>
              <w:rPr>
                <w:rFonts w:ascii="Arial" w:cs="Arial" w:eastAsia="Arial" w:hAnsi="Arial"/>
                <w:sz w:val="23"/>
                <w:szCs w:val="23"/>
                <w:color w:val="auto"/>
                <w:vertAlign w:val="superscript"/>
              </w:rPr>
              <w:t>(3)</w:t>
            </w: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4,005</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Pre-tax adjusted net income</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52,334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20,639</w:t>
            </w:r>
          </w:p>
        </w:tc>
      </w:tr>
      <w:tr>
        <w:trPr>
          <w:trHeight w:val="230"/>
        </w:trPr>
        <w:tc>
          <w:tcPr>
            <w:tcW w:w="768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Income taxes</w:t>
            </w:r>
            <w:r>
              <w:rPr>
                <w:rFonts w:ascii="Arial" w:cs="Arial" w:eastAsia="Arial" w:hAnsi="Arial"/>
                <w:sz w:val="23"/>
                <w:szCs w:val="23"/>
                <w:color w:val="auto"/>
                <w:vertAlign w:val="superscript"/>
              </w:rPr>
              <w:t>(4)</w:t>
            </w: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(5,160)</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40,533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15,479</w:t>
            </w:r>
          </w:p>
        </w:tc>
      </w:tr>
      <w:tr>
        <w:trPr>
          <w:trHeight w:val="230"/>
        </w:trPr>
        <w:tc>
          <w:tcPr>
            <w:tcW w:w="768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Income taxes</w:t>
            </w:r>
            <w:r>
              <w:rPr>
                <w:rFonts w:ascii="Arial" w:cs="Arial" w:eastAsia="Arial" w:hAnsi="Arial"/>
                <w:sz w:val="23"/>
                <w:szCs w:val="23"/>
                <w:color w:val="auto"/>
                <w:vertAlign w:val="superscript"/>
              </w:rPr>
              <w:t>(4)</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5,160</w:t>
            </w:r>
          </w:p>
        </w:tc>
      </w:tr>
      <w:tr>
        <w:trPr>
          <w:trHeight w:val="229"/>
        </w:trPr>
        <w:tc>
          <w:tcPr>
            <w:tcW w:w="7680" w:type="dxa"/>
            <w:vAlign w:val="bottom"/>
          </w:tcPr>
          <w:p>
            <w:pPr>
              <w:ind w:left="460"/>
              <w:spacing w:after="0"/>
              <w:rPr>
                <w:sz w:val="20"/>
                <w:szCs w:val="20"/>
                <w:color w:val="auto"/>
              </w:rPr>
            </w:pPr>
            <w:r>
              <w:rPr>
                <w:rFonts w:ascii="Arial" w:cs="Arial" w:eastAsia="Arial" w:hAnsi="Arial"/>
                <w:sz w:val="18"/>
                <w:szCs w:val="18"/>
                <w:color w:val="auto"/>
              </w:rPr>
              <w:t>Realized carried interest allocation revenue</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(49,963)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(3,638)</w:t>
            </w:r>
          </w:p>
        </w:tc>
      </w:tr>
      <w:tr>
        <w:trPr>
          <w:trHeight w:val="230"/>
        </w:trPr>
        <w:tc>
          <w:tcPr>
            <w:tcW w:w="7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Realized performance fee-related compensation</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w:t>
            </w:r>
          </w:p>
        </w:tc>
      </w:tr>
      <w:tr>
        <w:trPr>
          <w:trHeight w:val="230"/>
        </w:trPr>
        <w:tc>
          <w:tcPr>
            <w:tcW w:w="7680" w:type="dxa"/>
            <w:vAlign w:val="bottom"/>
          </w:tcPr>
          <w:p>
            <w:pPr>
              <w:ind w:left="460"/>
              <w:spacing w:after="0"/>
              <w:rPr>
                <w:sz w:val="20"/>
                <w:szCs w:val="20"/>
                <w:color w:val="auto"/>
              </w:rPr>
            </w:pPr>
            <w:r>
              <w:rPr>
                <w:rFonts w:ascii="Arial" w:cs="Arial" w:eastAsia="Arial" w:hAnsi="Arial"/>
                <w:sz w:val="18"/>
                <w:szCs w:val="18"/>
                <w:color w:val="auto"/>
              </w:rPr>
              <w:t>Realized investment income</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(1,015)</w:t>
            </w:r>
          </w:p>
        </w:tc>
      </w:tr>
      <w:tr>
        <w:trPr>
          <w:trHeight w:val="230"/>
        </w:trPr>
        <w:tc>
          <w:tcPr>
            <w:tcW w:w="7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Incentive fees</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w:t>
            </w:r>
          </w:p>
        </w:tc>
      </w:tr>
      <w:tr>
        <w:trPr>
          <w:trHeight w:val="229"/>
        </w:trPr>
        <w:tc>
          <w:tcPr>
            <w:tcW w:w="7680" w:type="dxa"/>
            <w:vAlign w:val="bottom"/>
          </w:tcPr>
          <w:p>
            <w:pPr>
              <w:ind w:left="460"/>
              <w:spacing w:after="0"/>
              <w:rPr>
                <w:sz w:val="20"/>
                <w:szCs w:val="20"/>
                <w:color w:val="auto"/>
              </w:rPr>
            </w:pPr>
            <w:r>
              <w:rPr>
                <w:rFonts w:ascii="Arial" w:cs="Arial" w:eastAsia="Arial" w:hAnsi="Arial"/>
                <w:sz w:val="18"/>
                <w:szCs w:val="18"/>
                <w:color w:val="auto"/>
              </w:rPr>
              <w:t>Deferred incentive fees</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(3,546)</w:t>
            </w:r>
          </w:p>
        </w:tc>
      </w:tr>
      <w:tr>
        <w:trPr>
          <w:trHeight w:val="230"/>
        </w:trPr>
        <w:tc>
          <w:tcPr>
            <w:tcW w:w="7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7680" w:type="dxa"/>
            <w:vAlign w:val="bottom"/>
          </w:tcPr>
          <w:p>
            <w:pPr>
              <w:ind w:left="46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2,057</w:t>
            </w:r>
          </w:p>
        </w:tc>
      </w:tr>
      <w:tr>
        <w:trPr>
          <w:trHeight w:val="230"/>
        </w:trPr>
        <w:tc>
          <w:tcPr>
            <w:tcW w:w="768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Other (income) loss</w:t>
            </w:r>
            <w:r>
              <w:rPr>
                <w:rFonts w:ascii="Arial" w:cs="Arial" w:eastAsia="Arial" w:hAnsi="Arial"/>
                <w:sz w:val="23"/>
                <w:szCs w:val="23"/>
                <w:color w:val="auto"/>
                <w:vertAlign w:val="superscript"/>
              </w:rPr>
              <w:t>(5)</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29"/>
        </w:trPr>
        <w:tc>
          <w:tcPr>
            <w:tcW w:w="7680" w:type="dxa"/>
            <w:vAlign w:val="bottom"/>
            <w:tcBorders>
              <w:bottom w:val="single" w:sz="8" w:color="CCEEFF"/>
            </w:tcBorders>
          </w:tcPr>
          <w:p>
            <w:pPr>
              <w:ind w:left="460"/>
              <w:spacing w:after="0" w:line="230" w:lineRule="exact"/>
              <w:rPr>
                <w:sz w:val="20"/>
                <w:szCs w:val="20"/>
                <w:color w:val="auto"/>
              </w:rPr>
            </w:pPr>
            <w:r>
              <w:rPr>
                <w:rFonts w:ascii="Arial" w:cs="Arial" w:eastAsia="Arial" w:hAnsi="Arial"/>
                <w:sz w:val="18"/>
                <w:szCs w:val="18"/>
                <w:color w:val="auto"/>
              </w:rPr>
              <w:t>Net income attributable to non-controlling interests in subsidiaries</w:t>
            </w:r>
            <w:r>
              <w:rPr>
                <w:rFonts w:ascii="Arial" w:cs="Arial" w:eastAsia="Arial" w:hAnsi="Arial"/>
                <w:sz w:val="23"/>
                <w:szCs w:val="23"/>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4,686</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Fee-related earnings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18,180</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9" w:lineRule="exact"/>
        <w:rPr>
          <w:sz w:val="20"/>
          <w:szCs w:val="20"/>
          <w:color w:val="auto"/>
        </w:rPr>
      </w:pPr>
    </w:p>
    <w:p>
      <w:pPr>
        <w:ind w:left="660" w:right="300" w:hanging="652"/>
        <w:spacing w:after="0" w:line="250" w:lineRule="auto"/>
        <w:tabs>
          <w:tab w:leader="none" w:pos="654"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income attributable to non-controlling interests in subsidiaries net of non-controlling interest portion of unrealized investment income (loss) ($(0.1) million and $(0.6) million for the three months ended June 30, 2021 and 2020, respectively).</w:t>
      </w:r>
    </w:p>
    <w:p>
      <w:pPr>
        <w:ind w:left="640" w:hanging="632"/>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Reflects equity-based compensation for awards granted prior to and in connection with the IPO.</w:t>
      </w:r>
    </w:p>
    <w:p>
      <w:pPr>
        <w:spacing w:after="0" w:line="9" w:lineRule="exact"/>
        <w:rPr>
          <w:rFonts w:ascii="Arial" w:cs="Arial" w:eastAsia="Arial" w:hAnsi="Arial"/>
          <w:sz w:val="18"/>
          <w:szCs w:val="18"/>
          <w:color w:val="auto"/>
        </w:rPr>
      </w:pPr>
    </w:p>
    <w:p>
      <w:pPr>
        <w:ind w:left="660" w:right="80" w:hanging="652"/>
        <w:spacing w:after="0" w:line="260" w:lineRule="auto"/>
        <w:tabs>
          <w:tab w:leader="none" w:pos="654"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transaction costs ($3.5 million for the three months ended June 30, 2021) and severance costs ($0.1 million and $4.0 million for the three months ended June 30, 2021 and 2020, respectively).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44" w:lineRule="exact"/>
        <w:rPr>
          <w:sz w:val="20"/>
          <w:szCs w:val="20"/>
          <w:color w:val="auto"/>
        </w:rPr>
      </w:pPr>
    </w:p>
    <w:p>
      <w:pPr>
        <w:ind w:left="660" w:right="40" w:hanging="652"/>
        <w:spacing w:after="0" w:line="269" w:lineRule="auto"/>
        <w:tabs>
          <w:tab w:leader="none" w:pos="654"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Represents corporate income taxes at a blended statutory rate of 22.6% applied to pre-tax adjusted net income for the three months ended June 30, 2021. The 22.6% rate for the three months ended June 30, 2021 is based on a federal statutory rate of 21.0% and a combined state, local and foreign rate net of federal benefits of 1.6%. As we were not subject to U.S. federal and state income taxes prior to the Reorganization and IPO, the blended statutory rate of 25.0% has been applied to all prior periods presented for comparability purposes.</w:t>
      </w:r>
    </w:p>
    <w:p>
      <w:pPr>
        <w:spacing w:after="0" w:line="1" w:lineRule="exact"/>
        <w:rPr>
          <w:rFonts w:ascii="Arial" w:cs="Arial" w:eastAsia="Arial" w:hAnsi="Arial"/>
          <w:sz w:val="17"/>
          <w:szCs w:val="17"/>
          <w:color w:val="auto"/>
        </w:rPr>
      </w:pPr>
    </w:p>
    <w:p>
      <w:pPr>
        <w:ind w:left="660" w:right="60" w:hanging="652"/>
        <w:spacing w:after="0" w:line="255" w:lineRule="auto"/>
        <w:tabs>
          <w:tab w:leader="none" w:pos="654"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Beginning in the quarter ended December 31, 2020, foreign currency transaction gains and losses have been reclassified from general, administrative and other expenses to other income (loss) in our consolidated income statements. We have revised prior periods presented to reflect this reclassification ($0.2 million for the three months ended June 30, 2020).</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Investment Performance</w:t>
      </w:r>
    </w:p>
    <w:p>
      <w:pPr>
        <w:spacing w:after="0" w:line="222" w:lineRule="exact"/>
        <w:rPr>
          <w:sz w:val="20"/>
          <w:szCs w:val="20"/>
          <w:color w:val="auto"/>
        </w:rPr>
      </w:pPr>
    </w:p>
    <w:p>
      <w:pPr>
        <w:ind w:right="80" w:firstLine="648"/>
        <w:spacing w:after="0" w:line="246" w:lineRule="auto"/>
        <w:rPr>
          <w:sz w:val="20"/>
          <w:szCs w:val="20"/>
          <w:color w:val="auto"/>
        </w:rPr>
      </w:pPr>
      <w:r>
        <w:rPr>
          <w:rFonts w:ascii="Arial" w:cs="Arial" w:eastAsia="Arial" w:hAnsi="Arial"/>
          <w:sz w:val="20"/>
          <w:szCs w:val="20"/>
          <w:color w:val="auto"/>
        </w:rPr>
        <w:t>The following table presents information relating to the performance of all the investments that StepStone has recommended and subsequently tracked across asset classes and investment strategies, except as set forth in greater detail below. The data for these investments is generally presented from the inception date of each strategy and asset class through March 31, 2021 and have not been adjusted to reflect acquisitions or disposals of investments subsequent to that date.</w:t>
      </w:r>
    </w:p>
    <w:p>
      <w:pPr>
        <w:spacing w:after="0" w:line="191" w:lineRule="exact"/>
        <w:rPr>
          <w:sz w:val="20"/>
          <w:szCs w:val="20"/>
          <w:color w:val="auto"/>
        </w:rPr>
      </w:pPr>
    </w:p>
    <w:p>
      <w:pPr>
        <w:ind w:right="200" w:firstLine="648"/>
        <w:spacing w:after="0" w:line="260" w:lineRule="auto"/>
        <w:rPr>
          <w:sz w:val="20"/>
          <w:szCs w:val="20"/>
          <w:color w:val="auto"/>
        </w:rPr>
      </w:pPr>
      <w:r>
        <w:rPr>
          <w:rFonts w:ascii="Arial" w:cs="Arial" w:eastAsia="Arial" w:hAnsi="Arial"/>
          <w:sz w:val="20"/>
          <w:szCs w:val="20"/>
          <w:color w:val="auto"/>
        </w:rPr>
        <w:t>The historical results of our investments are not indicative of future results to be expected of existing or new investment funds, and are not a proxy for the performance of our Class A common stock, including because:</w:t>
      </w:r>
    </w:p>
    <w:p>
      <w:pPr>
        <w:spacing w:after="0" w:line="177" w:lineRule="exact"/>
        <w:rPr>
          <w:sz w:val="20"/>
          <w:szCs w:val="20"/>
          <w:color w:val="auto"/>
        </w:rPr>
      </w:pPr>
    </w:p>
    <w:p>
      <w:pPr>
        <w:ind w:left="640" w:hanging="308"/>
        <w:spacing w:after="0"/>
        <w:tabs>
          <w:tab w:leader="none" w:pos="6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market conditions and investment opportunities may differ from those in the past;</w:t>
      </w:r>
    </w:p>
    <w:p>
      <w:pPr>
        <w:spacing w:after="0" w:line="215" w:lineRule="exact"/>
        <w:rPr>
          <w:rFonts w:ascii="Arial" w:cs="Arial" w:eastAsia="Arial" w:hAnsi="Arial"/>
          <w:sz w:val="20"/>
          <w:szCs w:val="20"/>
          <w:color w:val="auto"/>
        </w:rPr>
      </w:pPr>
    </w:p>
    <w:p>
      <w:pPr>
        <w:ind w:left="660" w:right="200" w:hanging="328"/>
        <w:spacing w:after="0" w:line="260" w:lineRule="auto"/>
        <w:tabs>
          <w:tab w:leader="none" w:pos="648"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performance of our funds is largely based on the NAV (as defined below) of the funds’ investments, including unrealized gains, which may never be realized;</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newly-established funds may generate lower investment returns during the period that they initially deploy their capital;</w:t>
      </w:r>
    </w:p>
    <w:p>
      <w:pPr>
        <w:spacing w:after="0" w:line="215" w:lineRule="exact"/>
        <w:rPr>
          <w:rFonts w:ascii="Arial" w:cs="Arial" w:eastAsia="Arial" w:hAnsi="Arial"/>
          <w:sz w:val="20"/>
          <w:szCs w:val="20"/>
          <w:color w:val="auto"/>
        </w:rPr>
      </w:pPr>
    </w:p>
    <w:p>
      <w:pPr>
        <w:ind w:left="660" w:hanging="328"/>
        <w:spacing w:after="0" w:line="250" w:lineRule="auto"/>
        <w:tabs>
          <w:tab w:leader="none" w:pos="648" w:val="left"/>
        </w:tabs>
        <w:numPr>
          <w:ilvl w:val="0"/>
          <w:numId w:val="25"/>
        </w:numPr>
        <w:rPr>
          <w:rFonts w:ascii="Arial" w:cs="Arial" w:eastAsia="Arial" w:hAnsi="Arial"/>
          <w:sz w:val="20"/>
          <w:szCs w:val="20"/>
          <w:color w:val="auto"/>
        </w:rPr>
      </w:pPr>
      <w:r>
        <w:rPr>
          <w:rFonts w:ascii="Arial" w:cs="Arial" w:eastAsia="Arial" w:hAnsi="Arial"/>
          <w:sz w:val="20"/>
          <w:szCs w:val="20"/>
          <w:color w:val="auto"/>
        </w:rPr>
        <w:t>changes in the global tax and regulatory environment may impact both the investment preferences of our clients and the financing strategies employed by businesses in which particular funds invest, which may reduce the overall capital available for investment and the availability of suitable investments, thereby reducing investment returns in the future;</w:t>
      </w:r>
    </w:p>
    <w:p>
      <w:pPr>
        <w:spacing w:after="0" w:line="185" w:lineRule="exact"/>
        <w:rPr>
          <w:rFonts w:ascii="Arial" w:cs="Arial" w:eastAsia="Arial" w:hAnsi="Arial"/>
          <w:sz w:val="20"/>
          <w:szCs w:val="20"/>
          <w:color w:val="auto"/>
        </w:rPr>
      </w:pPr>
    </w:p>
    <w:p>
      <w:pPr>
        <w:ind w:left="660" w:right="340" w:hanging="328"/>
        <w:spacing w:after="0" w:line="316" w:lineRule="auto"/>
        <w:tabs>
          <w:tab w:leader="none" w:pos="648"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competition for investment opportunities, resulting from the increasing amount of capital invested in private markets alternatives, may increase the cost and reduce the availability of suitable investments, thereby reducing investment returns in the future; and</w:t>
      </w:r>
    </w:p>
    <w:p>
      <w:pPr>
        <w:spacing w:after="0" w:line="129" w:lineRule="exact"/>
        <w:rPr>
          <w:rFonts w:ascii="Arial" w:cs="Arial" w:eastAsia="Arial" w:hAnsi="Arial"/>
          <w:sz w:val="18"/>
          <w:szCs w:val="18"/>
          <w:color w:val="auto"/>
        </w:rPr>
      </w:pPr>
    </w:p>
    <w:p>
      <w:pPr>
        <w:ind w:left="640" w:hanging="308"/>
        <w:spacing w:after="0"/>
        <w:tabs>
          <w:tab w:leader="none" w:pos="6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industries and businesses in which particular funds invest will vary.</w:t>
      </w:r>
    </w:p>
    <w:p>
      <w:pPr>
        <w:spacing w:after="0" w:line="21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Historical and future returns of investments included in our track record are not directly correlated to potential returns on our Class A common stock.</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the purposes of the following table:</w:t>
      </w:r>
    </w:p>
    <w:p>
      <w:pPr>
        <w:spacing w:after="0" w:line="216" w:lineRule="exact"/>
        <w:rPr>
          <w:sz w:val="20"/>
          <w:szCs w:val="20"/>
          <w:color w:val="auto"/>
        </w:rPr>
      </w:pPr>
    </w:p>
    <w:p>
      <w:pPr>
        <w:ind w:left="660" w:right="1000" w:hanging="328"/>
        <w:spacing w:after="0" w:line="260" w:lineRule="auto"/>
        <w:tabs>
          <w:tab w:leader="none" w:pos="648" w:val="left"/>
        </w:tabs>
        <w:numPr>
          <w:ilvl w:val="0"/>
          <w:numId w:val="26"/>
        </w:numPr>
        <w:rPr>
          <w:rFonts w:ascii="Arial" w:cs="Arial" w:eastAsia="Arial" w:hAnsi="Arial"/>
          <w:sz w:val="20"/>
          <w:szCs w:val="20"/>
          <w:color w:val="auto"/>
        </w:rPr>
      </w:pPr>
      <w:r>
        <w:rPr>
          <w:rFonts w:ascii="Arial" w:cs="Arial" w:eastAsia="Arial" w:hAnsi="Arial"/>
          <w:sz w:val="20"/>
          <w:szCs w:val="20"/>
          <w:color w:val="auto"/>
        </w:rPr>
        <w:t>“Invested capital” refers to the total amount of all investments made by a fund, including commitment-reducing and non-commitment-reducing capital calls;</w:t>
      </w:r>
    </w:p>
    <w:p>
      <w:pPr>
        <w:spacing w:after="0" w:line="176" w:lineRule="exact"/>
        <w:rPr>
          <w:rFonts w:ascii="Arial" w:cs="Arial" w:eastAsia="Arial" w:hAnsi="Arial"/>
          <w:sz w:val="20"/>
          <w:szCs w:val="20"/>
          <w:color w:val="auto"/>
        </w:rPr>
      </w:pPr>
    </w:p>
    <w:p>
      <w:pPr>
        <w:ind w:left="660" w:right="120" w:hanging="328"/>
        <w:spacing w:after="0" w:line="260" w:lineRule="auto"/>
        <w:tabs>
          <w:tab w:leader="none" w:pos="648" w:val="left"/>
        </w:tabs>
        <w:numPr>
          <w:ilvl w:val="0"/>
          <w:numId w:val="26"/>
        </w:numPr>
        <w:rPr>
          <w:rFonts w:ascii="Arial" w:cs="Arial" w:eastAsia="Arial" w:hAnsi="Arial"/>
          <w:sz w:val="20"/>
          <w:szCs w:val="20"/>
          <w:color w:val="auto"/>
        </w:rPr>
      </w:pPr>
      <w:r>
        <w:rPr>
          <w:rFonts w:ascii="Arial" w:cs="Arial" w:eastAsia="Arial" w:hAnsi="Arial"/>
          <w:sz w:val="20"/>
          <w:szCs w:val="20"/>
          <w:color w:val="auto"/>
        </w:rPr>
        <w:t>“NAV” refers to the estimated fair value of unrealized investments plus any net assets or liabilities associated with the investment as of March 31, 2021;</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41" w:lineRule="exact"/>
        <w:rPr>
          <w:sz w:val="20"/>
          <w:szCs w:val="20"/>
          <w:color w:val="auto"/>
        </w:rPr>
      </w:pPr>
    </w:p>
    <w:p>
      <w:pPr>
        <w:ind w:left="660" w:right="260" w:hanging="328"/>
        <w:spacing w:after="0" w:line="316"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“IRR” refers to the annualized internal rate of return for all investments within the relevant investment strategy on an inception-to-date basis as of March 31, 2021 (except as noted otherwise below), based on contributions, distributions and unrealized value;</w:t>
      </w:r>
    </w:p>
    <w:p>
      <w:pPr>
        <w:spacing w:after="0" w:line="129" w:lineRule="exact"/>
        <w:rPr>
          <w:rFonts w:ascii="Arial" w:cs="Arial" w:eastAsia="Arial" w:hAnsi="Arial"/>
          <w:sz w:val="18"/>
          <w:szCs w:val="18"/>
          <w:color w:val="auto"/>
        </w:rPr>
      </w:pPr>
    </w:p>
    <w:p>
      <w:pPr>
        <w:ind w:left="640" w:hanging="308"/>
        <w:spacing w:after="0"/>
        <w:tabs>
          <w:tab w:leader="none" w:pos="6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“Net IRR” refers to IRR net of fees and expenses charged by both the underlying fund managers and StepStone; and</w:t>
      </w:r>
    </w:p>
    <w:p>
      <w:pPr>
        <w:spacing w:after="0" w:line="215" w:lineRule="exact"/>
        <w:rPr>
          <w:rFonts w:ascii="Arial" w:cs="Arial" w:eastAsia="Arial" w:hAnsi="Arial"/>
          <w:sz w:val="20"/>
          <w:szCs w:val="20"/>
          <w:color w:val="auto"/>
        </w:rPr>
      </w:pPr>
    </w:p>
    <w:p>
      <w:pPr>
        <w:ind w:left="660" w:right="320" w:hanging="328"/>
        <w:spacing w:after="0" w:line="260" w:lineRule="auto"/>
        <w:tabs>
          <w:tab w:leader="none" w:pos="648" w:val="left"/>
        </w:tabs>
        <w:numPr>
          <w:ilvl w:val="0"/>
          <w:numId w:val="27"/>
        </w:numPr>
        <w:rPr>
          <w:rFonts w:ascii="Arial" w:cs="Arial" w:eastAsia="Arial" w:hAnsi="Arial"/>
          <w:sz w:val="20"/>
          <w:szCs w:val="20"/>
          <w:color w:val="auto"/>
        </w:rPr>
      </w:pPr>
      <w:r>
        <w:rPr>
          <w:rFonts w:ascii="Arial" w:cs="Arial" w:eastAsia="Arial" w:hAnsi="Arial"/>
          <w:sz w:val="20"/>
          <w:szCs w:val="20"/>
          <w:color w:val="auto"/>
        </w:rPr>
        <w:t>“Net TVM” refers to the total value to paid-in capital or invested capital expressed as a multiple, and is calculated as distributions plus unrealized valuations divided by invested capital (including all capitalized costs).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StepStone Performance Summary by Asset Class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6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rPr>
              <w:t>PRIVATE EQUITY</w:t>
            </w: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40" w:type="dxa"/>
            <w:vAlign w:val="bottom"/>
            <w:tcBorders>
              <w:bottom w:val="single" w:sz="8" w:color="auto"/>
            </w:tcBorders>
            <w:gridSpan w:val="2"/>
          </w:tcPr>
          <w:p>
            <w:pPr>
              <w:ind w:left="1080"/>
              <w:spacing w:after="0"/>
              <w:rPr>
                <w:sz w:val="20"/>
                <w:szCs w:val="20"/>
                <w:color w:val="auto"/>
              </w:rPr>
            </w:pPr>
            <w:r>
              <w:rPr>
                <w:rFonts w:ascii="Arial" w:cs="Arial" w:eastAsia="Arial" w:hAnsi="Arial"/>
                <w:sz w:val="14"/>
                <w:szCs w:val="14"/>
                <w:b w:val="1"/>
                <w:bCs w:val="1"/>
                <w:color w:val="auto"/>
              </w:rPr>
              <w:t>REAL ESTATE</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INFRASTRUCTURE</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PRIVATE DEBT</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INVESTMENT</w:t>
            </w:r>
          </w:p>
        </w:tc>
        <w:tc>
          <w:tcPr>
            <w:tcW w:w="940" w:type="dxa"/>
            <w:vAlign w:val="bottom"/>
            <w:shd w:val="clear" w:color="auto" w:fill="CCEEFF"/>
          </w:tcPr>
          <w:p>
            <w:pPr>
              <w:jc w:val="center"/>
              <w:ind w:left="228"/>
              <w:spacing w:after="0" w:line="135" w:lineRule="exact"/>
              <w:rPr>
                <w:sz w:val="20"/>
                <w:szCs w:val="20"/>
                <w:color w:val="auto"/>
              </w:rPr>
            </w:pPr>
            <w:r>
              <w:rPr>
                <w:rFonts w:ascii="Arial" w:cs="Arial" w:eastAsia="Arial" w:hAnsi="Arial"/>
                <w:sz w:val="14"/>
                <w:szCs w:val="14"/>
                <w:b w:val="1"/>
                <w:bCs w:val="1"/>
                <w:color w:val="auto"/>
                <w:w w:val="99"/>
              </w:rPr>
              <w:t>NET</w:t>
            </w: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w w:val="99"/>
              </w:rPr>
              <w:t>NET</w:t>
            </w:r>
          </w:p>
        </w:tc>
        <w:tc>
          <w:tcPr>
            <w:tcW w:w="80" w:type="dxa"/>
            <w:vAlign w:val="bottom"/>
            <w:shd w:val="clear" w:color="auto" w:fill="CCEEFF"/>
          </w:tcPr>
          <w:p>
            <w:pPr>
              <w:spacing w:after="0"/>
              <w:rPr>
                <w:sz w:val="11"/>
                <w:szCs w:val="11"/>
                <w:color w:val="auto"/>
              </w:rPr>
            </w:pPr>
          </w:p>
        </w:tc>
        <w:tc>
          <w:tcPr>
            <w:tcW w:w="18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INVESTMENT</w:t>
            </w:r>
          </w:p>
        </w:tc>
        <w:tc>
          <w:tcPr>
            <w:tcW w:w="60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NET</w:t>
            </w: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NET</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INVESTMENT</w:t>
            </w:r>
          </w:p>
        </w:tc>
        <w:tc>
          <w:tcPr>
            <w:tcW w:w="520" w:type="dxa"/>
            <w:vAlign w:val="bottom"/>
            <w:shd w:val="clear" w:color="auto" w:fill="CCEEFF"/>
          </w:tcPr>
          <w:p>
            <w:pPr>
              <w:jc w:val="center"/>
              <w:ind w:right="68"/>
              <w:spacing w:after="0" w:line="135" w:lineRule="exact"/>
              <w:rPr>
                <w:sz w:val="20"/>
                <w:szCs w:val="20"/>
                <w:color w:val="auto"/>
              </w:rPr>
            </w:pPr>
            <w:r>
              <w:rPr>
                <w:rFonts w:ascii="Arial" w:cs="Arial" w:eastAsia="Arial" w:hAnsi="Arial"/>
                <w:sz w:val="14"/>
                <w:szCs w:val="14"/>
                <w:b w:val="1"/>
                <w:bCs w:val="1"/>
                <w:color w:val="auto"/>
              </w:rPr>
              <w:t>NET</w:t>
            </w: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INVESTMENT</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7"/>
              </w:rPr>
              <w:t>IRR</w:t>
            </w:r>
            <w:r>
              <w:rPr>
                <w:rFonts w:ascii="Arial" w:cs="Arial" w:eastAsia="Arial" w:hAnsi="Arial"/>
                <w:sz w:val="18"/>
                <w:szCs w:val="18"/>
                <w:b w:val="1"/>
                <w:bCs w:val="1"/>
                <w:color w:val="auto"/>
                <w:w w:val="97"/>
                <w:vertAlign w:val="superscript"/>
              </w:rPr>
              <w:t>(7)</w:t>
            </w:r>
          </w:p>
        </w:tc>
        <w:tc>
          <w:tcPr>
            <w:tcW w:w="0" w:type="dxa"/>
            <w:vAlign w:val="bottom"/>
          </w:tcPr>
          <w:p>
            <w:pPr>
              <w:spacing w:after="0"/>
              <w:rPr>
                <w:sz w:val="1"/>
                <w:szCs w:val="1"/>
                <w:color w:val="auto"/>
              </w:rPr>
            </w:pPr>
          </w:p>
        </w:tc>
      </w:tr>
      <w:tr>
        <w:trPr>
          <w:trHeight w:val="189"/>
        </w:trPr>
        <w:tc>
          <w:tcPr>
            <w:tcW w:w="142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STRATEGY</w:t>
            </w:r>
            <w:r>
              <w:rPr>
                <w:rFonts w:ascii="Arial" w:cs="Arial" w:eastAsia="Arial" w:hAnsi="Arial"/>
                <w:sz w:val="18"/>
                <w:szCs w:val="18"/>
                <w:b w:val="1"/>
                <w:bCs w:val="1"/>
                <w:color w:val="auto"/>
                <w:vertAlign w:val="superscript"/>
              </w:rPr>
              <w:t>(1,3)</w:t>
            </w:r>
          </w:p>
        </w:tc>
        <w:tc>
          <w:tcPr>
            <w:tcW w:w="940" w:type="dxa"/>
            <w:vAlign w:val="bottom"/>
            <w:shd w:val="clear" w:color="auto" w:fill="CCEEFF"/>
          </w:tcPr>
          <w:p>
            <w:pPr>
              <w:jc w:val="center"/>
              <w:ind w:left="228"/>
              <w:spacing w:after="0" w:line="189" w:lineRule="exact"/>
              <w:rPr>
                <w:sz w:val="20"/>
                <w:szCs w:val="20"/>
                <w:color w:val="auto"/>
              </w:rPr>
            </w:pPr>
            <w:r>
              <w:rPr>
                <w:rFonts w:ascii="Arial" w:cs="Arial" w:eastAsia="Arial" w:hAnsi="Arial"/>
                <w:sz w:val="14"/>
                <w:szCs w:val="14"/>
                <w:b w:val="1"/>
                <w:bCs w:val="1"/>
                <w:color w:val="auto"/>
                <w:w w:val="92"/>
              </w:rPr>
              <w:t>IRR</w:t>
            </w:r>
            <w:r>
              <w:rPr>
                <w:rFonts w:ascii="Arial" w:cs="Arial" w:eastAsia="Arial" w:hAnsi="Arial"/>
                <w:sz w:val="18"/>
                <w:szCs w:val="18"/>
                <w:b w:val="1"/>
                <w:bCs w:val="1"/>
                <w:color w:val="auto"/>
                <w:w w:val="92"/>
                <w:vertAlign w:val="superscript"/>
              </w:rPr>
              <w:t>(2)</w:t>
            </w:r>
          </w:p>
        </w:tc>
        <w:tc>
          <w:tcPr>
            <w:tcW w:w="760" w:type="dxa"/>
            <w:vAlign w:val="bottom"/>
            <w:gridSpan w:val="2"/>
            <w:shd w:val="clear" w:color="auto" w:fill="CCEEFF"/>
          </w:tcPr>
          <w:p>
            <w:pPr>
              <w:jc w:val="center"/>
              <w:ind w:right="80"/>
              <w:spacing w:after="0" w:line="189" w:lineRule="exact"/>
              <w:rPr>
                <w:sz w:val="20"/>
                <w:szCs w:val="20"/>
                <w:color w:val="auto"/>
              </w:rPr>
            </w:pPr>
            <w:r>
              <w:rPr>
                <w:rFonts w:ascii="Arial" w:cs="Arial" w:eastAsia="Arial" w:hAnsi="Arial"/>
                <w:sz w:val="14"/>
                <w:szCs w:val="14"/>
                <w:b w:val="1"/>
                <w:bCs w:val="1"/>
                <w:color w:val="auto"/>
                <w:w w:val="99"/>
              </w:rPr>
              <w:t>TVM</w:t>
            </w:r>
            <w:r>
              <w:rPr>
                <w:rFonts w:ascii="Arial" w:cs="Arial" w:eastAsia="Arial" w:hAnsi="Arial"/>
                <w:sz w:val="18"/>
                <w:szCs w:val="18"/>
                <w:b w:val="1"/>
                <w:bCs w:val="1"/>
                <w:color w:val="auto"/>
                <w:w w:val="99"/>
                <w:vertAlign w:val="superscript"/>
              </w:rPr>
              <w:t>(2)</w:t>
            </w:r>
          </w:p>
        </w:tc>
        <w:tc>
          <w:tcPr>
            <w:tcW w:w="184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STRATEGY</w:t>
            </w:r>
            <w:r>
              <w:rPr>
                <w:rFonts w:ascii="Arial" w:cs="Arial" w:eastAsia="Arial" w:hAnsi="Arial"/>
                <w:sz w:val="18"/>
                <w:szCs w:val="18"/>
                <w:b w:val="1"/>
                <w:bCs w:val="1"/>
                <w:color w:val="auto"/>
                <w:vertAlign w:val="superscript"/>
              </w:rPr>
              <w:t>(3,4)</w:t>
            </w:r>
          </w:p>
        </w:tc>
        <w:tc>
          <w:tcPr>
            <w:tcW w:w="600" w:type="dxa"/>
            <w:vAlign w:val="bottom"/>
            <w:shd w:val="clear" w:color="auto" w:fill="CCEEFF"/>
          </w:tcPr>
          <w:p>
            <w:pPr>
              <w:jc w:val="center"/>
              <w:spacing w:after="0" w:line="189" w:lineRule="exact"/>
              <w:rPr>
                <w:sz w:val="20"/>
                <w:szCs w:val="20"/>
                <w:color w:val="auto"/>
              </w:rPr>
            </w:pPr>
            <w:r>
              <w:rPr>
                <w:rFonts w:ascii="Arial" w:cs="Arial" w:eastAsia="Arial" w:hAnsi="Arial"/>
                <w:sz w:val="14"/>
                <w:szCs w:val="14"/>
                <w:b w:val="1"/>
                <w:bCs w:val="1"/>
                <w:color w:val="auto"/>
                <w:w w:val="97"/>
              </w:rPr>
              <w:t>IRR</w:t>
            </w:r>
            <w:r>
              <w:rPr>
                <w:rFonts w:ascii="Arial" w:cs="Arial" w:eastAsia="Arial" w:hAnsi="Arial"/>
                <w:sz w:val="18"/>
                <w:szCs w:val="18"/>
                <w:b w:val="1"/>
                <w:bCs w:val="1"/>
                <w:color w:val="auto"/>
                <w:w w:val="97"/>
                <w:vertAlign w:val="superscript"/>
              </w:rPr>
              <w:t>(2)</w:t>
            </w:r>
          </w:p>
        </w:tc>
        <w:tc>
          <w:tcPr>
            <w:tcW w:w="680" w:type="dxa"/>
            <w:vAlign w:val="bottom"/>
            <w:shd w:val="clear" w:color="auto" w:fill="CCEEFF"/>
          </w:tcPr>
          <w:p>
            <w:pPr>
              <w:jc w:val="center"/>
              <w:spacing w:after="0" w:line="189" w:lineRule="exact"/>
              <w:rPr>
                <w:sz w:val="20"/>
                <w:szCs w:val="20"/>
                <w:color w:val="auto"/>
              </w:rPr>
            </w:pPr>
            <w:r>
              <w:rPr>
                <w:rFonts w:ascii="Arial" w:cs="Arial" w:eastAsia="Arial" w:hAnsi="Arial"/>
                <w:sz w:val="14"/>
                <w:szCs w:val="14"/>
                <w:b w:val="1"/>
                <w:bCs w:val="1"/>
                <w:color w:val="auto"/>
                <w:w w:val="99"/>
              </w:rPr>
              <w:t>TVM</w:t>
            </w:r>
            <w:r>
              <w:rPr>
                <w:rFonts w:ascii="Arial" w:cs="Arial" w:eastAsia="Arial" w:hAnsi="Arial"/>
                <w:sz w:val="18"/>
                <w:szCs w:val="18"/>
                <w:b w:val="1"/>
                <w:bCs w:val="1"/>
                <w:color w:val="auto"/>
                <w:w w:val="99"/>
                <w:vertAlign w:val="superscript"/>
              </w:rPr>
              <w:t>(2)</w:t>
            </w:r>
          </w:p>
        </w:tc>
        <w:tc>
          <w:tcPr>
            <w:tcW w:w="100" w:type="dxa"/>
            <w:vAlign w:val="bottom"/>
            <w:shd w:val="clear" w:color="auto" w:fill="CCEEFF"/>
          </w:tcPr>
          <w:p>
            <w:pPr>
              <w:spacing w:after="0"/>
              <w:rPr>
                <w:sz w:val="16"/>
                <w:szCs w:val="16"/>
                <w:color w:val="auto"/>
              </w:rPr>
            </w:pPr>
          </w:p>
        </w:tc>
        <w:tc>
          <w:tcPr>
            <w:tcW w:w="188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STRATEGY</w:t>
            </w:r>
            <w:r>
              <w:rPr>
                <w:rFonts w:ascii="Arial" w:cs="Arial" w:eastAsia="Arial" w:hAnsi="Arial"/>
                <w:sz w:val="18"/>
                <w:szCs w:val="18"/>
                <w:b w:val="1"/>
                <w:bCs w:val="1"/>
                <w:color w:val="auto"/>
                <w:vertAlign w:val="superscript"/>
              </w:rPr>
              <w:t>(3,5)</w:t>
            </w:r>
          </w:p>
        </w:tc>
        <w:tc>
          <w:tcPr>
            <w:tcW w:w="620" w:type="dxa"/>
            <w:vAlign w:val="bottom"/>
            <w:gridSpan w:val="2"/>
            <w:shd w:val="clear" w:color="auto" w:fill="CCEEFF"/>
          </w:tcPr>
          <w:p>
            <w:pPr>
              <w:jc w:val="center"/>
              <w:ind w:right="240"/>
              <w:spacing w:after="0" w:line="189" w:lineRule="exact"/>
              <w:rPr>
                <w:sz w:val="20"/>
                <w:szCs w:val="20"/>
                <w:color w:val="auto"/>
              </w:rPr>
            </w:pPr>
            <w:r>
              <w:rPr>
                <w:rFonts w:ascii="Arial" w:cs="Arial" w:eastAsia="Arial" w:hAnsi="Arial"/>
                <w:sz w:val="14"/>
                <w:szCs w:val="14"/>
                <w:b w:val="1"/>
                <w:bCs w:val="1"/>
                <w:color w:val="auto"/>
                <w:w w:val="97"/>
              </w:rPr>
              <w:t>IRR</w:t>
            </w:r>
            <w:r>
              <w:rPr>
                <w:rFonts w:ascii="Arial" w:cs="Arial" w:eastAsia="Arial" w:hAnsi="Arial"/>
                <w:sz w:val="18"/>
                <w:szCs w:val="18"/>
                <w:b w:val="1"/>
                <w:bCs w:val="1"/>
                <w:color w:val="auto"/>
                <w:w w:val="97"/>
                <w:vertAlign w:val="superscript"/>
              </w:rPr>
              <w:t>(2)</w:t>
            </w:r>
          </w:p>
        </w:tc>
        <w:tc>
          <w:tcPr>
            <w:tcW w:w="180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STRATEGY</w:t>
            </w:r>
            <w:r>
              <w:rPr>
                <w:rFonts w:ascii="Arial" w:cs="Arial" w:eastAsia="Arial" w:hAnsi="Arial"/>
                <w:sz w:val="18"/>
                <w:szCs w:val="18"/>
                <w:b w:val="1"/>
                <w:bCs w:val="1"/>
                <w:color w:val="auto"/>
                <w:vertAlign w:val="superscript"/>
              </w:rPr>
              <w:t>(3,7)</w:t>
            </w: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Primaries</w:t>
            </w:r>
          </w:p>
        </w:tc>
        <w:tc>
          <w:tcPr>
            <w:tcW w:w="940" w:type="dxa"/>
            <w:vAlign w:val="bottom"/>
            <w:tcBorders>
              <w:top w:val="single" w:sz="8" w:color="auto"/>
              <w:bottom w:val="single" w:sz="8" w:color="auto"/>
            </w:tcBorders>
          </w:tcPr>
          <w:p>
            <w:pPr>
              <w:jc w:val="center"/>
              <w:ind w:left="228"/>
              <w:spacing w:after="0"/>
              <w:rPr>
                <w:sz w:val="20"/>
                <w:szCs w:val="20"/>
                <w:color w:val="auto"/>
              </w:rPr>
            </w:pPr>
            <w:r>
              <w:rPr>
                <w:rFonts w:ascii="Arial" w:cs="Arial" w:eastAsia="Arial" w:hAnsi="Arial"/>
                <w:sz w:val="14"/>
                <w:szCs w:val="14"/>
                <w:color w:val="auto"/>
                <w:w w:val="90"/>
              </w:rPr>
              <w:t>17.8%</w:t>
            </w: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0"/>
              </w:rPr>
              <w:t>1.6x</w:t>
            </w:r>
          </w:p>
        </w:tc>
        <w:tc>
          <w:tcPr>
            <w:tcW w:w="80" w:type="dxa"/>
            <w:vAlign w:val="bottom"/>
            <w:tcBorders>
              <w:bottom w:val="single" w:sz="8" w:color="CCEEFF"/>
            </w:tcBorders>
          </w:tcPr>
          <w:p>
            <w:pPr>
              <w:spacing w:after="0"/>
              <w:rPr>
                <w:sz w:val="15"/>
                <w:szCs w:val="15"/>
                <w:color w:val="auto"/>
              </w:rPr>
            </w:pPr>
          </w:p>
        </w:tc>
        <w:tc>
          <w:tcPr>
            <w:tcW w:w="1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98"/>
              </w:rPr>
              <w:t>Core/Core+ fund investments</w:t>
            </w: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3"/>
              </w:rPr>
              <w:t>8.0%</w:t>
            </w: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8"/>
              </w:rPr>
              <w:t>1.4x</w:t>
            </w:r>
          </w:p>
        </w:tc>
        <w:tc>
          <w:tcPr>
            <w:tcW w:w="100" w:type="dxa"/>
            <w:vAlign w:val="bottom"/>
            <w:tcBorders>
              <w:bottom w:val="single" w:sz="8" w:color="CCEEFF"/>
            </w:tcBorders>
          </w:tcPr>
          <w:p>
            <w:pPr>
              <w:spacing w:after="0"/>
              <w:rPr>
                <w:sz w:val="15"/>
                <w:szCs w:val="15"/>
                <w:color w:val="auto"/>
              </w:rPr>
            </w:pPr>
          </w:p>
        </w:tc>
        <w:tc>
          <w:tcPr>
            <w:tcW w:w="18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Primaries</w:t>
            </w:r>
          </w:p>
        </w:tc>
        <w:tc>
          <w:tcPr>
            <w:tcW w:w="520" w:type="dxa"/>
            <w:vAlign w:val="bottom"/>
            <w:tcBorders>
              <w:top w:val="single" w:sz="8" w:color="auto"/>
              <w:bottom w:val="single" w:sz="8" w:color="auto"/>
            </w:tcBorders>
          </w:tcPr>
          <w:p>
            <w:pPr>
              <w:jc w:val="center"/>
              <w:ind w:right="68"/>
              <w:spacing w:after="0"/>
              <w:rPr>
                <w:sz w:val="20"/>
                <w:szCs w:val="20"/>
                <w:color w:val="auto"/>
              </w:rPr>
            </w:pPr>
            <w:r>
              <w:rPr>
                <w:rFonts w:ascii="Arial" w:cs="Arial" w:eastAsia="Arial" w:hAnsi="Arial"/>
                <w:sz w:val="14"/>
                <w:szCs w:val="14"/>
                <w:color w:val="auto"/>
                <w:w w:val="93"/>
              </w:rPr>
              <w:t>9.2%</w:t>
            </w:r>
          </w:p>
        </w:tc>
        <w:tc>
          <w:tcPr>
            <w:tcW w:w="100" w:type="dxa"/>
            <w:vAlign w:val="bottom"/>
            <w:tcBorders>
              <w:bottom w:val="single" w:sz="8" w:color="CCEEFF"/>
            </w:tcBorders>
          </w:tcPr>
          <w:p>
            <w:pPr>
              <w:spacing w:after="0"/>
              <w:rPr>
                <w:sz w:val="15"/>
                <w:szCs w:val="15"/>
                <w:color w:val="auto"/>
              </w:rPr>
            </w:pPr>
          </w:p>
        </w:tc>
        <w:tc>
          <w:tcPr>
            <w:tcW w:w="1800" w:type="dxa"/>
            <w:vAlign w:val="bottom"/>
            <w:tcBorders>
              <w:top w:val="single" w:sz="8" w:color="auto"/>
              <w:bottom w:val="single" w:sz="8" w:color="auto"/>
            </w:tcBorders>
          </w:tcPr>
          <w:p>
            <w:pPr>
              <w:ind w:left="20"/>
              <w:spacing w:after="0" w:line="182" w:lineRule="exact"/>
              <w:rPr>
                <w:sz w:val="20"/>
                <w:szCs w:val="20"/>
                <w:color w:val="auto"/>
              </w:rPr>
            </w:pPr>
            <w:r>
              <w:rPr>
                <w:rFonts w:ascii="Arial" w:cs="Arial" w:eastAsia="Arial" w:hAnsi="Arial"/>
                <w:sz w:val="14"/>
                <w:szCs w:val="14"/>
                <w:color w:val="auto"/>
              </w:rPr>
              <w:t>Direct lending (Gross)</w:t>
            </w:r>
            <w:r>
              <w:rPr>
                <w:rFonts w:ascii="Arial" w:cs="Arial" w:eastAsia="Arial" w:hAnsi="Arial"/>
                <w:sz w:val="18"/>
                <w:szCs w:val="18"/>
                <w:color w:val="auto"/>
                <w:vertAlign w:val="superscript"/>
              </w:rPr>
              <w:t>(8)</w:t>
            </w: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3"/>
              </w:rPr>
              <w:t>7.3%</w:t>
            </w:r>
          </w:p>
        </w:tc>
        <w:tc>
          <w:tcPr>
            <w:tcW w:w="0" w:type="dxa"/>
            <w:vAlign w:val="bottom"/>
          </w:tcPr>
          <w:p>
            <w:pPr>
              <w:spacing w:after="0"/>
              <w:rPr>
                <w:sz w:val="1"/>
                <w:szCs w:val="1"/>
                <w:color w:val="auto"/>
              </w:rPr>
            </w:pPr>
          </w:p>
        </w:tc>
      </w:tr>
      <w:tr>
        <w:trPr>
          <w:trHeight w:val="128"/>
        </w:trPr>
        <w:tc>
          <w:tcPr>
            <w:tcW w:w="14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Secondaries</w:t>
            </w:r>
          </w:p>
        </w:tc>
        <w:tc>
          <w:tcPr>
            <w:tcW w:w="940" w:type="dxa"/>
            <w:vAlign w:val="bottom"/>
            <w:vMerge w:val="restart"/>
            <w:shd w:val="clear" w:color="auto" w:fill="CCEEFF"/>
          </w:tcPr>
          <w:p>
            <w:pPr>
              <w:jc w:val="center"/>
              <w:ind w:left="228"/>
              <w:spacing w:after="0"/>
              <w:rPr>
                <w:sz w:val="20"/>
                <w:szCs w:val="20"/>
                <w:color w:val="auto"/>
              </w:rPr>
            </w:pPr>
            <w:r>
              <w:rPr>
                <w:rFonts w:ascii="Arial" w:cs="Arial" w:eastAsia="Arial" w:hAnsi="Arial"/>
                <w:sz w:val="14"/>
                <w:szCs w:val="14"/>
                <w:color w:val="auto"/>
                <w:w w:val="90"/>
              </w:rPr>
              <w:t>19.7%</w:t>
            </w: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1.5x</w:t>
            </w:r>
          </w:p>
        </w:tc>
        <w:tc>
          <w:tcPr>
            <w:tcW w:w="80" w:type="dxa"/>
            <w:vAlign w:val="bottom"/>
            <w:vMerge w:val="restart"/>
            <w:shd w:val="clear" w:color="auto" w:fill="CCEEFF"/>
          </w:tcPr>
          <w:p>
            <w:pPr>
              <w:spacing w:after="0"/>
              <w:rPr>
                <w:sz w:val="11"/>
                <w:szCs w:val="11"/>
                <w:color w:val="auto"/>
              </w:rPr>
            </w:pPr>
          </w:p>
        </w:tc>
        <w:tc>
          <w:tcPr>
            <w:tcW w:w="18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Value-add/opportunistic fund</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9.2%</w:t>
            </w: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8"/>
              </w:rPr>
              <w:t>1.3x</w:t>
            </w:r>
          </w:p>
        </w:tc>
        <w:tc>
          <w:tcPr>
            <w:tcW w:w="100" w:type="dxa"/>
            <w:vAlign w:val="bottom"/>
            <w:shd w:val="clear" w:color="auto" w:fill="CCEEFF"/>
          </w:tcPr>
          <w:p>
            <w:pPr>
              <w:spacing w:after="0"/>
              <w:rPr>
                <w:sz w:val="11"/>
                <w:szCs w:val="11"/>
                <w:color w:val="auto"/>
              </w:rPr>
            </w:pPr>
          </w:p>
        </w:tc>
        <w:tc>
          <w:tcPr>
            <w:tcW w:w="18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Secondaries</w:t>
            </w:r>
          </w:p>
        </w:tc>
        <w:tc>
          <w:tcPr>
            <w:tcW w:w="520" w:type="dxa"/>
            <w:vAlign w:val="bottom"/>
            <w:vMerge w:val="restart"/>
            <w:shd w:val="clear" w:color="auto" w:fill="CCEEFF"/>
          </w:tcPr>
          <w:p>
            <w:pPr>
              <w:jc w:val="center"/>
              <w:ind w:right="68"/>
              <w:spacing w:after="0"/>
              <w:rPr>
                <w:sz w:val="20"/>
                <w:szCs w:val="20"/>
                <w:color w:val="auto"/>
              </w:rPr>
            </w:pPr>
            <w:r>
              <w:rPr>
                <w:rFonts w:ascii="Arial" w:cs="Arial" w:eastAsia="Arial" w:hAnsi="Arial"/>
                <w:sz w:val="14"/>
                <w:szCs w:val="14"/>
                <w:color w:val="auto"/>
                <w:w w:val="95"/>
              </w:rPr>
              <w:t>12.8%</w:t>
            </w:r>
          </w:p>
        </w:tc>
        <w:tc>
          <w:tcPr>
            <w:tcW w:w="100" w:type="dxa"/>
            <w:vAlign w:val="bottom"/>
            <w:shd w:val="clear" w:color="auto" w:fill="CCEEFF"/>
          </w:tcPr>
          <w:p>
            <w:pPr>
              <w:spacing w:after="0"/>
              <w:rPr>
                <w:sz w:val="11"/>
                <w:szCs w:val="11"/>
                <w:color w:val="auto"/>
              </w:rPr>
            </w:pPr>
          </w:p>
        </w:tc>
        <w:tc>
          <w:tcPr>
            <w:tcW w:w="18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Distressed debt (Gross)</w:t>
            </w:r>
            <w:r>
              <w:rPr>
                <w:rFonts w:ascii="Arial" w:cs="Arial" w:eastAsia="Arial" w:hAnsi="Arial"/>
                <w:sz w:val="18"/>
                <w:szCs w:val="18"/>
                <w:color w:val="auto"/>
                <w:vertAlign w:val="superscript"/>
              </w:rPr>
              <w:t>(8)</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9.4%</w:t>
            </w:r>
          </w:p>
        </w:tc>
        <w:tc>
          <w:tcPr>
            <w:tcW w:w="0" w:type="dxa"/>
            <w:vAlign w:val="bottom"/>
          </w:tcPr>
          <w:p>
            <w:pPr>
              <w:spacing w:after="0"/>
              <w:rPr>
                <w:sz w:val="1"/>
                <w:szCs w:val="1"/>
                <w:color w:val="auto"/>
              </w:rPr>
            </w:pPr>
          </w:p>
        </w:tc>
      </w:tr>
      <w:tr>
        <w:trPr>
          <w:trHeight w:val="189"/>
        </w:trPr>
        <w:tc>
          <w:tcPr>
            <w:tcW w:w="1420" w:type="dxa"/>
            <w:vAlign w:val="bottom"/>
            <w:tcBorders>
              <w:bottom w:val="single" w:sz="8" w:color="auto"/>
            </w:tcBorders>
            <w:vMerge w:val="continue"/>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investments</w:t>
            </w: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80" w:type="dxa"/>
            <w:vAlign w:val="bottom"/>
            <w:tcBorders>
              <w:bottom w:val="single" w:sz="8" w:color="auto"/>
            </w:tcBorders>
            <w:vMerge w:val="continue"/>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0" w:type="dxa"/>
            <w:vAlign w:val="bottom"/>
            <w:tcBorders>
              <w:bottom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420" w:type="dxa"/>
            <w:vAlign w:val="bottom"/>
            <w:vMerge w:val="restart"/>
          </w:tcPr>
          <w:p>
            <w:pPr>
              <w:ind w:left="20"/>
              <w:spacing w:after="0"/>
              <w:rPr>
                <w:sz w:val="20"/>
                <w:szCs w:val="20"/>
                <w:color w:val="auto"/>
              </w:rPr>
            </w:pPr>
            <w:r>
              <w:rPr>
                <w:rFonts w:ascii="Arial" w:cs="Arial" w:eastAsia="Arial" w:hAnsi="Arial"/>
                <w:sz w:val="14"/>
                <w:szCs w:val="14"/>
                <w:color w:val="auto"/>
              </w:rPr>
              <w:t>Co-investments</w:t>
            </w:r>
          </w:p>
        </w:tc>
        <w:tc>
          <w:tcPr>
            <w:tcW w:w="940" w:type="dxa"/>
            <w:vAlign w:val="bottom"/>
            <w:vMerge w:val="restart"/>
          </w:tcPr>
          <w:p>
            <w:pPr>
              <w:jc w:val="center"/>
              <w:ind w:left="228"/>
              <w:spacing w:after="0"/>
              <w:rPr>
                <w:sz w:val="20"/>
                <w:szCs w:val="20"/>
                <w:color w:val="auto"/>
              </w:rPr>
            </w:pPr>
            <w:r>
              <w:rPr>
                <w:rFonts w:ascii="Arial" w:cs="Arial" w:eastAsia="Arial" w:hAnsi="Arial"/>
                <w:sz w:val="14"/>
                <w:szCs w:val="14"/>
                <w:color w:val="auto"/>
                <w:w w:val="90"/>
              </w:rPr>
              <w:t>24.2%</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0"/>
              </w:rPr>
              <w:t>1.8x</w:t>
            </w:r>
          </w:p>
        </w:tc>
        <w:tc>
          <w:tcPr>
            <w:tcW w:w="1840" w:type="dxa"/>
            <w:vAlign w:val="bottom"/>
          </w:tcPr>
          <w:p>
            <w:pPr>
              <w:ind w:left="20"/>
              <w:spacing w:after="0" w:line="129" w:lineRule="exact"/>
              <w:rPr>
                <w:sz w:val="20"/>
                <w:szCs w:val="20"/>
                <w:color w:val="auto"/>
              </w:rPr>
            </w:pPr>
            <w:r>
              <w:rPr>
                <w:rFonts w:ascii="Arial" w:cs="Arial" w:eastAsia="Arial" w:hAnsi="Arial"/>
                <w:sz w:val="14"/>
                <w:szCs w:val="14"/>
                <w:color w:val="auto"/>
              </w:rPr>
              <w:t>Real estate debt fund</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w w:val="93"/>
              </w:rPr>
              <w:t>6.2%</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8"/>
              </w:rPr>
              <w:t>1.1x</w:t>
            </w:r>
          </w:p>
        </w:tc>
        <w:tc>
          <w:tcPr>
            <w:tcW w:w="100" w:type="dxa"/>
            <w:vAlign w:val="bottom"/>
          </w:tcPr>
          <w:p>
            <w:pPr>
              <w:spacing w:after="0"/>
              <w:rPr>
                <w:sz w:val="11"/>
                <w:szCs w:val="11"/>
                <w:color w:val="auto"/>
              </w:rPr>
            </w:pPr>
          </w:p>
        </w:tc>
        <w:tc>
          <w:tcPr>
            <w:tcW w:w="1880" w:type="dxa"/>
            <w:vAlign w:val="bottom"/>
            <w:vMerge w:val="restart"/>
          </w:tcPr>
          <w:p>
            <w:pPr>
              <w:ind w:left="20"/>
              <w:spacing w:after="0"/>
              <w:rPr>
                <w:sz w:val="20"/>
                <w:szCs w:val="20"/>
                <w:color w:val="auto"/>
              </w:rPr>
            </w:pPr>
            <w:r>
              <w:rPr>
                <w:rFonts w:ascii="Arial" w:cs="Arial" w:eastAsia="Arial" w:hAnsi="Arial"/>
                <w:sz w:val="14"/>
                <w:szCs w:val="14"/>
                <w:color w:val="auto"/>
              </w:rPr>
              <w:t>Co-investments</w:t>
            </w:r>
            <w:r>
              <w:rPr>
                <w:rFonts w:ascii="Arial" w:cs="Arial" w:eastAsia="Arial" w:hAnsi="Arial"/>
                <w:sz w:val="18"/>
                <w:szCs w:val="18"/>
                <w:color w:val="auto"/>
                <w:vertAlign w:val="superscript"/>
              </w:rPr>
              <w:t>(6)</w:t>
            </w:r>
          </w:p>
        </w:tc>
        <w:tc>
          <w:tcPr>
            <w:tcW w:w="520" w:type="dxa"/>
            <w:vAlign w:val="bottom"/>
            <w:vMerge w:val="restart"/>
          </w:tcPr>
          <w:p>
            <w:pPr>
              <w:jc w:val="center"/>
              <w:ind w:right="68"/>
              <w:spacing w:after="0"/>
              <w:rPr>
                <w:sz w:val="20"/>
                <w:szCs w:val="20"/>
                <w:color w:val="auto"/>
              </w:rPr>
            </w:pPr>
            <w:r>
              <w:rPr>
                <w:rFonts w:ascii="Arial" w:cs="Arial" w:eastAsia="Arial" w:hAnsi="Arial"/>
                <w:sz w:val="14"/>
                <w:szCs w:val="14"/>
                <w:color w:val="auto"/>
                <w:w w:val="93"/>
              </w:rPr>
              <w:t>7.8%</w:t>
            </w:r>
          </w:p>
        </w:tc>
        <w:tc>
          <w:tcPr>
            <w:tcW w:w="100" w:type="dxa"/>
            <w:vAlign w:val="bottom"/>
          </w:tcPr>
          <w:p>
            <w:pPr>
              <w:spacing w:after="0"/>
              <w:rPr>
                <w:sz w:val="11"/>
                <w:szCs w:val="11"/>
                <w:color w:val="auto"/>
              </w:rPr>
            </w:pPr>
          </w:p>
        </w:tc>
        <w:tc>
          <w:tcPr>
            <w:tcW w:w="1800" w:type="dxa"/>
            <w:vAlign w:val="bottom"/>
            <w:vMerge w:val="restart"/>
          </w:tcPr>
          <w:p>
            <w:pPr>
              <w:ind w:left="20"/>
              <w:spacing w:after="0"/>
              <w:rPr>
                <w:sz w:val="20"/>
                <w:szCs w:val="20"/>
                <w:color w:val="auto"/>
              </w:rPr>
            </w:pPr>
            <w:r>
              <w:rPr>
                <w:rFonts w:ascii="Arial" w:cs="Arial" w:eastAsia="Arial" w:hAnsi="Arial"/>
                <w:sz w:val="14"/>
                <w:szCs w:val="14"/>
                <w:color w:val="auto"/>
              </w:rPr>
              <w:t>Other (Gross)</w:t>
            </w:r>
            <w:r>
              <w:rPr>
                <w:rFonts w:ascii="Arial" w:cs="Arial" w:eastAsia="Arial" w:hAnsi="Arial"/>
                <w:sz w:val="18"/>
                <w:szCs w:val="18"/>
                <w:color w:val="auto"/>
                <w:vertAlign w:val="superscript"/>
              </w:rPr>
              <w:t>(8,9)</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w w:val="93"/>
              </w:rPr>
              <w:t>9.1%</w:t>
            </w:r>
          </w:p>
        </w:tc>
        <w:tc>
          <w:tcPr>
            <w:tcW w:w="0" w:type="dxa"/>
            <w:vAlign w:val="bottom"/>
          </w:tcPr>
          <w:p>
            <w:pPr>
              <w:spacing w:after="0"/>
              <w:rPr>
                <w:sz w:val="1"/>
                <w:szCs w:val="1"/>
                <w:color w:val="auto"/>
              </w:rPr>
            </w:pPr>
          </w:p>
        </w:tc>
      </w:tr>
      <w:tr>
        <w:trPr>
          <w:trHeight w:val="189"/>
        </w:trPr>
        <w:tc>
          <w:tcPr>
            <w:tcW w:w="14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840" w:type="dxa"/>
            <w:vAlign w:val="bottom"/>
          </w:tcPr>
          <w:p>
            <w:pPr>
              <w:ind w:left="20"/>
              <w:spacing w:after="0"/>
              <w:rPr>
                <w:sz w:val="20"/>
                <w:szCs w:val="20"/>
                <w:color w:val="auto"/>
              </w:rPr>
            </w:pPr>
            <w:r>
              <w:rPr>
                <w:rFonts w:ascii="Arial" w:cs="Arial" w:eastAsia="Arial" w:hAnsi="Arial"/>
                <w:sz w:val="14"/>
                <w:szCs w:val="14"/>
                <w:color w:val="auto"/>
              </w:rPr>
              <w:t>investments</w:t>
            </w:r>
          </w:p>
        </w:tc>
        <w:tc>
          <w:tcPr>
            <w:tcW w:w="6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42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4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Value-add/opportunistic</w:t>
            </w:r>
          </w:p>
        </w:tc>
        <w:tc>
          <w:tcPr>
            <w:tcW w:w="60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15.0%</w:t>
            </w:r>
          </w:p>
        </w:tc>
        <w:tc>
          <w:tcPr>
            <w:tcW w:w="68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8"/>
              </w:rPr>
              <w:t>1.3x</w:t>
            </w:r>
          </w:p>
        </w:tc>
        <w:tc>
          <w:tcPr>
            <w:tcW w:w="100" w:type="dxa"/>
            <w:vAlign w:val="bottom"/>
            <w:tcBorders>
              <w:top w:val="single" w:sz="8" w:color="CCEEFF"/>
            </w:tcBorders>
            <w:shd w:val="clear" w:color="auto" w:fill="CCEEFF"/>
          </w:tcPr>
          <w:p>
            <w:pPr>
              <w:spacing w:after="0"/>
              <w:rPr>
                <w:sz w:val="11"/>
                <w:szCs w:val="11"/>
                <w:color w:val="auto"/>
              </w:rPr>
            </w:pPr>
          </w:p>
        </w:tc>
        <w:tc>
          <w:tcPr>
            <w:tcW w:w="18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Private debt gross track</w:t>
            </w:r>
          </w:p>
        </w:tc>
        <w:tc>
          <w:tcPr>
            <w:tcW w:w="60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8.2%</w:t>
            </w:r>
          </w:p>
        </w:tc>
        <w:tc>
          <w:tcPr>
            <w:tcW w:w="0" w:type="dxa"/>
            <w:vAlign w:val="bottom"/>
          </w:tcPr>
          <w:p>
            <w:pPr>
              <w:spacing w:after="0"/>
              <w:rPr>
                <w:sz w:val="1"/>
                <w:szCs w:val="1"/>
                <w:color w:val="auto"/>
              </w:rPr>
            </w:pPr>
          </w:p>
        </w:tc>
      </w:tr>
      <w:tr>
        <w:trPr>
          <w:trHeight w:val="189"/>
        </w:trPr>
        <w:tc>
          <w:tcPr>
            <w:tcW w:w="14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96"/>
              </w:rPr>
              <w:t>secondaries &amp; co-investments</w:t>
            </w: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record</w:t>
            </w:r>
            <w:r>
              <w:rPr>
                <w:rFonts w:ascii="Arial" w:cs="Arial" w:eastAsia="Arial" w:hAnsi="Arial"/>
                <w:sz w:val="18"/>
                <w:szCs w:val="18"/>
                <w:b w:val="1"/>
                <w:bCs w:val="1"/>
                <w:color w:val="auto"/>
                <w:vertAlign w:val="superscript"/>
              </w:rPr>
              <w:t>(8)</w:t>
            </w: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Private debt net track</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w w:val="93"/>
              </w:rPr>
              <w:t>7.4%</w:t>
            </w:r>
          </w:p>
        </w:tc>
        <w:tc>
          <w:tcPr>
            <w:tcW w:w="0" w:type="dxa"/>
            <w:vAlign w:val="bottom"/>
          </w:tcPr>
          <w:p>
            <w:pPr>
              <w:spacing w:after="0"/>
              <w:rPr>
                <w:sz w:val="1"/>
                <w:szCs w:val="1"/>
                <w:color w:val="auto"/>
              </w:rPr>
            </w:pPr>
          </w:p>
        </w:tc>
      </w:tr>
      <w:tr>
        <w:trPr>
          <w:trHeight w:val="188"/>
        </w:trPr>
        <w:tc>
          <w:tcPr>
            <w:tcW w:w="1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record</w:t>
            </w: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ind w:left="660" w:right="20" w:hanging="652"/>
        <w:spacing w:after="0" w:line="250" w:lineRule="auto"/>
        <w:tabs>
          <w:tab w:leader="none" w:pos="654"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Private Equity includes 1,147 investments totaling $107.8 billion of capital commitments and excludes (i) two advisory co-investments and 125 client-directed investments, totaling $100.0 million and $11.0 billion, respectively, of capital commitments, (ii) investments for which StepStone does not provide monitoring and reporting services to the client that made the investment. Investment returns are calculated on a constant currency adjusted reporting basis converting non-USD investment cash flows and NAVs to USD using the foreign currency exchange rate corresponding to each client’s first cash flow date.</w:t>
      </w:r>
    </w:p>
    <w:p>
      <w:pPr>
        <w:spacing w:after="0" w:line="1" w:lineRule="exact"/>
        <w:rPr>
          <w:rFonts w:ascii="Arial" w:cs="Arial" w:eastAsia="Arial" w:hAnsi="Arial"/>
          <w:sz w:val="18"/>
          <w:szCs w:val="18"/>
          <w:color w:val="auto"/>
        </w:rPr>
      </w:pPr>
    </w:p>
    <w:p>
      <w:pPr>
        <w:ind w:left="660" w:right="180" w:hanging="652"/>
        <w:spacing w:after="0" w:line="250" w:lineRule="auto"/>
        <w:tabs>
          <w:tab w:leader="none" w:pos="654"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IRR and Net TVM are presented solely for illustrative purposes and do not represent actual returns received by any investor in any of the StepStone Funds represented above. StepStone fees and expenses are based on the following assumptions (management fees represent an annual rate):</w:t>
      </w:r>
    </w:p>
    <w:p>
      <w:pPr>
        <w:spacing w:after="0" w:line="1" w:lineRule="exact"/>
        <w:rPr>
          <w:rFonts w:ascii="Arial" w:cs="Arial" w:eastAsia="Arial" w:hAnsi="Arial"/>
          <w:sz w:val="18"/>
          <w:szCs w:val="18"/>
          <w:color w:val="auto"/>
        </w:rPr>
      </w:pPr>
    </w:p>
    <w:p>
      <w:pPr>
        <w:ind w:left="1300" w:right="360" w:hanging="644"/>
        <w:spacing w:after="0" w:line="250" w:lineRule="auto"/>
        <w:tabs>
          <w:tab w:leader="none" w:pos="1287" w:val="left"/>
        </w:tabs>
        <w:numPr>
          <w:ilvl w:val="1"/>
          <w:numId w:val="28"/>
        </w:numPr>
        <w:rPr>
          <w:rFonts w:ascii="Arial" w:cs="Arial" w:eastAsia="Arial" w:hAnsi="Arial"/>
          <w:sz w:val="18"/>
          <w:szCs w:val="18"/>
          <w:color w:val="auto"/>
        </w:rPr>
      </w:pPr>
      <w:r>
        <w:rPr>
          <w:rFonts w:ascii="Arial" w:cs="Arial" w:eastAsia="Arial" w:hAnsi="Arial"/>
          <w:sz w:val="18"/>
          <w:szCs w:val="18"/>
          <w:color w:val="auto"/>
        </w:rPr>
        <w:t>Primaries: 25 basis points of net invested capital for management fee, 5 basis points of capital commitments for fund expenses, and 1 basis point of capital commitments drawn down in the first cash flow quarter for organizational costs.</w:t>
      </w:r>
    </w:p>
    <w:p>
      <w:pPr>
        <w:ind w:left="1300" w:right="40" w:hanging="644"/>
        <w:spacing w:after="0" w:line="281" w:lineRule="auto"/>
        <w:tabs>
          <w:tab w:leader="none" w:pos="1296" w:val="left"/>
        </w:tabs>
        <w:numPr>
          <w:ilvl w:val="1"/>
          <w:numId w:val="28"/>
        </w:numPr>
        <w:rPr>
          <w:rFonts w:ascii="Arial" w:cs="Arial" w:eastAsia="Arial" w:hAnsi="Arial"/>
          <w:sz w:val="16"/>
          <w:szCs w:val="16"/>
          <w:color w:val="auto"/>
        </w:rPr>
      </w:pPr>
      <w:r>
        <w:rPr>
          <w:rFonts w:ascii="Arial" w:cs="Arial" w:eastAsia="Arial" w:hAnsi="Arial"/>
          <w:sz w:val="16"/>
          <w:szCs w:val="16"/>
          <w:color w:val="auto"/>
        </w:rPr>
        <w:t>Secondaries: 125 basis points (60 basis points for Infrastructure) on capital commitments in years 1 through 4 for management fee. In year 5, management fees step down to 90% of the previous year’s fee. Secondaries also include 5 basis points of capital commitments for fund expenses and 1 basis point of capital commitments drawn down in the first cash flow quarter for organizational costs. Secondaries also include 12.5% of paid and unrealized carry (15.0% of paid and unrealized carry for Real Estate), with an 8% preferred return hurdle.</w:t>
      </w:r>
    </w:p>
    <w:p>
      <w:pPr>
        <w:spacing w:after="0" w:line="2" w:lineRule="exact"/>
        <w:rPr>
          <w:rFonts w:ascii="Arial" w:cs="Arial" w:eastAsia="Arial" w:hAnsi="Arial"/>
          <w:sz w:val="16"/>
          <w:szCs w:val="16"/>
          <w:color w:val="auto"/>
        </w:rPr>
      </w:pPr>
    </w:p>
    <w:p>
      <w:pPr>
        <w:jc w:val="both"/>
        <w:ind w:left="1300" w:right="60" w:hanging="644"/>
        <w:spacing w:after="0" w:line="281" w:lineRule="auto"/>
        <w:tabs>
          <w:tab w:leader="none" w:pos="1292" w:val="left"/>
        </w:tabs>
        <w:numPr>
          <w:ilvl w:val="1"/>
          <w:numId w:val="28"/>
        </w:numPr>
        <w:rPr>
          <w:rFonts w:ascii="Arial" w:cs="Arial" w:eastAsia="Arial" w:hAnsi="Arial"/>
          <w:sz w:val="16"/>
          <w:szCs w:val="16"/>
          <w:color w:val="auto"/>
        </w:rPr>
      </w:pPr>
      <w:r>
        <w:rPr>
          <w:rFonts w:ascii="Arial" w:cs="Arial" w:eastAsia="Arial" w:hAnsi="Arial"/>
          <w:sz w:val="16"/>
          <w:szCs w:val="16"/>
          <w:color w:val="auto"/>
        </w:rPr>
        <w:t>Co-investments: 100 basis points on net committed capital for management fee, 5 basis points of capital commitments for fund expenses, and 1 basis point of capital commitments drawn down in the first cash flow quarter for organizational costs. Co-investments also include</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10.0% of paid and unrealized carry (15.0% of paid and unrealized carry for Real Estate), with an 8% preferred return hurdle.</w:t>
      </w:r>
    </w:p>
    <w:p>
      <w:pPr>
        <w:spacing w:after="0" w:line="9" w:lineRule="exact"/>
        <w:rPr>
          <w:sz w:val="20"/>
          <w:szCs w:val="20"/>
          <w:color w:val="auto"/>
        </w:rPr>
      </w:pPr>
    </w:p>
    <w:p>
      <w:pPr>
        <w:ind w:left="660" w:right="420"/>
        <w:spacing w:after="0" w:line="253" w:lineRule="auto"/>
        <w:rPr>
          <w:sz w:val="20"/>
          <w:szCs w:val="20"/>
          <w:color w:val="auto"/>
        </w:rPr>
      </w:pPr>
      <w:r>
        <w:rPr>
          <w:rFonts w:ascii="Arial" w:cs="Arial" w:eastAsia="Arial" w:hAnsi="Arial"/>
          <w:sz w:val="18"/>
          <w:szCs w:val="18"/>
          <w:color w:val="auto"/>
        </w:rPr>
        <w:t>Net IRR and Net TVM for certain investments may have been impacted by StepStone’s or the underlying fund manager’s use of subscription backed credit facilities by such vehicles. Reinvested/recycled amounts increase contributed capital. Investment returns reflect NAV data for underlying investments as of March 31, 2021, as reported by underlying managers up to 115 days following March 31, 2021. For investment returns where NAV data is not available by 115 days following March 31, 2021, such NAVs are adjusted for cash activity following the last available reported NAV.</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44" w:lineRule="exact"/>
        <w:rPr>
          <w:sz w:val="20"/>
          <w:szCs w:val="20"/>
          <w:color w:val="auto"/>
        </w:rPr>
      </w:pPr>
    </w:p>
    <w:p>
      <w:pPr>
        <w:ind w:left="660" w:right="40" w:hanging="652"/>
        <w:spacing w:after="0" w:line="254" w:lineRule="auto"/>
        <w:tabs>
          <w:tab w:leader="none" w:pos="654"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Investments of former clients are included in performance summary past the client termination date until such time as StepStone stops receiving current investment data (quarterly valuations and cash flows) for the investment. At that point, StepStone will then ‘liquidate’ the fund by entering a distribution amount equal to the last reported NAV, thus ending its contribution to the track record as of that date. Historical performance contribution will be maintained up until the ‘liquidation’ date.</w:t>
      </w:r>
    </w:p>
    <w:p>
      <w:pPr>
        <w:spacing w:after="0" w:line="2" w:lineRule="exact"/>
        <w:rPr>
          <w:rFonts w:ascii="Arial" w:cs="Arial" w:eastAsia="Arial" w:hAnsi="Arial"/>
          <w:sz w:val="18"/>
          <w:szCs w:val="18"/>
          <w:color w:val="auto"/>
        </w:rPr>
      </w:pPr>
    </w:p>
    <w:p>
      <w:pPr>
        <w:ind w:left="660" w:right="100" w:hanging="652"/>
        <w:spacing w:after="0" w:line="265" w:lineRule="auto"/>
        <w:tabs>
          <w:tab w:leader="none" w:pos="654"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Real Estate includes 395 investments totaling $60.6 billion of capital commitments and excludes (i) 35 client-directed investments, totaling $4.4 billion of capital commitments, (ii) three secondary core/core+ investments, totaling $181.4 million, (iii) four advisory fund investments totaling $462.7 million, and (iv) investments for which StepStone does not provide monitoring and reporting services to the client that made the investment. Investment returns are calculated on a constant currency adjusted reporting basis converting non-USD investment cash flows and NAVs to USD using the foreign currency exchange rate corresponding to each client’s first cash flow date. Includes the discretionary track record of Courtland Partners, Ltd., which StepStone acquired on April 1, 2018 (the “Courtland acquisition”).</w:t>
      </w:r>
    </w:p>
    <w:p>
      <w:pPr>
        <w:ind w:left="660" w:right="20" w:hanging="652"/>
        <w:spacing w:after="0" w:line="250" w:lineRule="auto"/>
        <w:tabs>
          <w:tab w:leader="none" w:pos="654"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Infrastructure includes 136 investments totaling $25.5 billion of capital commitments and excludes (i) approximately 11 infrastructure investments made by the Partnership prior to the formation of the Infrastructure subsidiary in 2013 or made prior to the Courtland acquisition, and 11 client-directed investments, totaling $501.9 million and $836.9 million, respectively, of capital commitments, and (ii) investments for which StepStone does not provide monitoring and reporting services to the client that made the investment. Investment returns are calculated on a constant currency adjusted reporting basis converting non-USD investment cash flows and NAVs to USD using the foreign currency exchange rate corresponding to each client’s first cash flow date.</w:t>
      </w:r>
    </w:p>
    <w:p>
      <w:pPr>
        <w:spacing w:after="0" w:line="2" w:lineRule="exact"/>
        <w:rPr>
          <w:rFonts w:ascii="Arial" w:cs="Arial" w:eastAsia="Arial" w:hAnsi="Arial"/>
          <w:sz w:val="18"/>
          <w:szCs w:val="18"/>
          <w:color w:val="auto"/>
        </w:rPr>
      </w:pPr>
    </w:p>
    <w:p>
      <w:pPr>
        <w:ind w:left="640" w:hanging="632"/>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asset management investments.</w:t>
      </w:r>
    </w:p>
    <w:p>
      <w:pPr>
        <w:spacing w:after="0" w:line="9" w:lineRule="exact"/>
        <w:rPr>
          <w:rFonts w:ascii="Arial" w:cs="Arial" w:eastAsia="Arial" w:hAnsi="Arial"/>
          <w:sz w:val="18"/>
          <w:szCs w:val="18"/>
          <w:color w:val="auto"/>
        </w:rPr>
      </w:pPr>
    </w:p>
    <w:p>
      <w:pPr>
        <w:ind w:left="660" w:hanging="652"/>
        <w:spacing w:after="0" w:line="265" w:lineRule="auto"/>
        <w:tabs>
          <w:tab w:leader="none" w:pos="654"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Private Debt includes 554 investments totaling $26.8 billion of capital commitments and excludes (i) 23 client-directed investments, totaling $1.5 billion of capital commitments, and (ii) investments for which StepStone does not provide monitoring and reporting services to the client that made the investment. Investment returns are calculated on a constant currency adjusted reporting basis converting non-USD investment cash flows and NAVs to USD using the foreign currency exchange rate corresponding to each client’s first cash flow date. IRR is presented solely for illustrative purposes and does not represent actual returns received by any investor in any of the StepStone Funds represented above. StepStone fees and expenses are based on the following assumptions (management fees represent an annual rate): Private Debt fund investments include 65 basis points on the quarterly net asset value for management fee. Net IRR for certain investments may have been impacted by StepStone’s or the underlying fund manager’s use of subscription backed credit facilities by such vehicles. Reinvested/recycled amounts increase contributed capital. Investment returns reflect NAV data for underlying investments as of March 31, 2021, as reported by underlying managers up to 115 days following March 31, 2021. For investment returns where NAV data is not available by 115 days following March 31, 2021, such NAVs are adjusted for cash activity following the last available reported NAV.</w:t>
      </w:r>
    </w:p>
    <w:p>
      <w:pPr>
        <w:spacing w:after="0" w:line="1" w:lineRule="exact"/>
        <w:rPr>
          <w:rFonts w:ascii="Arial" w:cs="Arial" w:eastAsia="Arial" w:hAnsi="Arial"/>
          <w:sz w:val="17"/>
          <w:szCs w:val="17"/>
          <w:color w:val="auto"/>
        </w:rPr>
      </w:pPr>
    </w:p>
    <w:p>
      <w:pPr>
        <w:ind w:left="660" w:right="600" w:hanging="652"/>
        <w:spacing w:after="0" w:line="250" w:lineRule="auto"/>
        <w:tabs>
          <w:tab w:leader="none" w:pos="654"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Subset performance is presented net of fees and expenses charged by the underlying fund manager only (performance results do not reflect StepStone fees and expenses).</w:t>
      </w:r>
    </w:p>
    <w:p>
      <w:pPr>
        <w:ind w:left="660" w:right="300" w:hanging="652"/>
        <w:spacing w:after="0" w:line="260" w:lineRule="auto"/>
        <w:tabs>
          <w:tab w:leader="none" w:pos="654"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includes mezzanine debt, infrastructure debt, collateralized loan obligations, private performing debt, senior debt, fund of funds, leasing, regulatory capital, trade finance and intellectual property/royalty.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Liquidity and Capital Resources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Sources and Uses of Liquidity</w:t>
      </w:r>
    </w:p>
    <w:p>
      <w:pPr>
        <w:spacing w:after="0" w:line="222"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We generate cash primarily from management and advisory fees and realized carried interest allocations. We have historically managed our liquidity and capital resource needs through (a) cash generated from our operating activities, (b) realizations from investment activities, (c) borrowings, interest payments and repayments under credit agreements and other borrowing arrangements, (d) funding capital commitments to our funds, and funding our growth initiatives, including capital expenditures and acquisitions to expand into new businesses.</w:t>
      </w:r>
    </w:p>
    <w:p>
      <w:pPr>
        <w:spacing w:after="0" w:line="161" w:lineRule="exact"/>
        <w:rPr>
          <w:sz w:val="20"/>
          <w:szCs w:val="20"/>
          <w:color w:val="auto"/>
        </w:rPr>
      </w:pPr>
    </w:p>
    <w:p>
      <w:pPr>
        <w:ind w:right="100" w:firstLine="648"/>
        <w:spacing w:after="0" w:line="250" w:lineRule="auto"/>
        <w:rPr>
          <w:sz w:val="20"/>
          <w:szCs w:val="20"/>
          <w:color w:val="auto"/>
        </w:rPr>
      </w:pPr>
      <w:r>
        <w:rPr>
          <w:rFonts w:ascii="Arial" w:cs="Arial" w:eastAsia="Arial" w:hAnsi="Arial"/>
          <w:sz w:val="20"/>
          <w:szCs w:val="20"/>
          <w:color w:val="auto"/>
        </w:rPr>
        <w:t>As of June 30, 2021, we had $222.6 million of cash, cash equivalents and restricted cash and $1,155.6 million of investments in StepStone Funds, including $1,072.7 million of accrued carried interest allocations, against $562.5 million in accrued carried interest-related compensation payable. As of June 30, 2021, we had no debt obligations outstanding.</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41" w:lineRule="exact"/>
        <w:rPr>
          <w:sz w:val="20"/>
          <w:szCs w:val="20"/>
          <w:color w:val="auto"/>
        </w:rPr>
      </w:pPr>
    </w:p>
    <w:p>
      <w:pPr>
        <w:ind w:right="80" w:firstLine="648"/>
        <w:spacing w:after="0" w:line="259" w:lineRule="auto"/>
        <w:rPr>
          <w:sz w:val="20"/>
          <w:szCs w:val="20"/>
          <w:color w:val="auto"/>
        </w:rPr>
      </w:pPr>
      <w:r>
        <w:rPr>
          <w:rFonts w:ascii="Arial" w:cs="Arial" w:eastAsia="Arial" w:hAnsi="Arial"/>
          <w:sz w:val="19"/>
          <w:szCs w:val="19"/>
          <w:color w:val="auto"/>
        </w:rPr>
        <w:t>Ongoing sources of cash include (a) management and advisory fees, which are collected monthly or quarterly, (b) carried interest allocations and incentive fees, which are volatile and largely unpredictable as to amount and timing; and (c) distributions from our investments in the StepStone Funds. We use cash flow from operations and distributions from our investments in the StepStone Funds to pay compensation and related expenses, general and administrative expenses, income taxes, capital expenditures, dividends to our stockholders and distributions to holders of Partnership units, and to make investments in the StepStone Funds. We believe we will have sufficient cash to meet our obligations for the next 12 months.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Cash Flows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our cash flows attributable to operating, investing and financing activities: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w w:val="97"/>
              </w:rPr>
              <w:t>Three Months Ended June 30,</w:t>
            </w:r>
          </w:p>
        </w:tc>
      </w:tr>
      <w:tr>
        <w:trPr>
          <w:trHeight w:val="223"/>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2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75,123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28,921</w:t>
            </w: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(5,660)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(1,610)</w:t>
            </w:r>
          </w:p>
        </w:tc>
      </w:tr>
      <w:tr>
        <w:trPr>
          <w:trHeight w:val="22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(26,629)</w:t>
            </w:r>
          </w:p>
        </w:tc>
      </w:tr>
      <w:tr>
        <w:trPr>
          <w:trHeight w:val="230"/>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r>
      <w:tr>
        <w:trPr>
          <w:trHeight w:val="248"/>
        </w:trPr>
        <w:tc>
          <w:tcPr>
            <w:tcW w:w="7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increase in cash, cash equivalents and restricted cash</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38,728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Operating Activities</w:t>
      </w:r>
    </w:p>
    <w:p>
      <w:pPr>
        <w:spacing w:after="0" w:line="216" w:lineRule="exact"/>
        <w:rPr>
          <w:sz w:val="20"/>
          <w:szCs w:val="20"/>
          <w:color w:val="auto"/>
        </w:rPr>
      </w:pPr>
    </w:p>
    <w:p>
      <w:pPr>
        <w:jc w:val="both"/>
        <w:ind w:right="880" w:firstLine="648"/>
        <w:spacing w:after="0" w:line="385" w:lineRule="auto"/>
        <w:rPr>
          <w:sz w:val="20"/>
          <w:szCs w:val="20"/>
          <w:color w:val="auto"/>
        </w:rPr>
      </w:pPr>
      <w:r>
        <w:rPr>
          <w:rFonts w:ascii="Arial" w:cs="Arial" w:eastAsia="Arial" w:hAnsi="Arial"/>
          <w:sz w:val="16"/>
          <w:szCs w:val="16"/>
          <w:color w:val="auto"/>
        </w:rPr>
        <w:t>Operating activities provided $75.1 million and $28.9 million of cash for the three months ended June 30, 2021 and 2020, respectively. For the three months ended June 30, 2021 and 2020, respectively, these amounts primarily consisted of the following:</w:t>
      </w:r>
    </w:p>
    <w:p>
      <w:pPr>
        <w:spacing w:after="0" w:line="85" w:lineRule="exact"/>
        <w:rPr>
          <w:sz w:val="20"/>
          <w:szCs w:val="20"/>
          <w:color w:val="auto"/>
        </w:rPr>
      </w:pPr>
    </w:p>
    <w:p>
      <w:pPr>
        <w:ind w:left="980" w:right="300" w:hanging="324"/>
        <w:spacing w:after="0" w:line="287" w:lineRule="auto"/>
        <w:tabs>
          <w:tab w:leader="none" w:pos="968" w:val="left"/>
        </w:tabs>
        <w:numPr>
          <w:ilvl w:val="0"/>
          <w:numId w:val="30"/>
        </w:numPr>
        <w:rPr>
          <w:rFonts w:ascii="Arial" w:cs="Arial" w:eastAsia="Arial" w:hAnsi="Arial"/>
          <w:sz w:val="19"/>
          <w:szCs w:val="19"/>
          <w:color w:val="auto"/>
        </w:rPr>
      </w:pPr>
      <w:r>
        <w:rPr>
          <w:rFonts w:ascii="Arial" w:cs="Arial" w:eastAsia="Arial" w:hAnsi="Arial"/>
          <w:sz w:val="19"/>
          <w:szCs w:val="19"/>
          <w:color w:val="auto"/>
        </w:rPr>
        <w:t>net income, after adjustments for non-cash items (including unrealized carried interest allocation, unrealized performance fee-related compensation, and unrealized investment income), of $49.6 million and $17.3 million; and</w:t>
      </w:r>
    </w:p>
    <w:p>
      <w:pPr>
        <w:spacing w:after="0" w:line="152" w:lineRule="exact"/>
        <w:rPr>
          <w:rFonts w:ascii="Arial" w:cs="Arial" w:eastAsia="Arial" w:hAnsi="Arial"/>
          <w:sz w:val="19"/>
          <w:szCs w:val="19"/>
          <w:color w:val="auto"/>
        </w:rPr>
      </w:pPr>
    </w:p>
    <w:p>
      <w:pPr>
        <w:ind w:left="960" w:hanging="304"/>
        <w:spacing w:after="0"/>
        <w:tabs>
          <w:tab w:leader="none" w:pos="9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net change in operating assets and liabilities of $25.6 million and $11.6 million.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Investing Activities</w:t>
      </w:r>
    </w:p>
    <w:p>
      <w:pPr>
        <w:spacing w:after="0" w:line="216" w:lineRule="exact"/>
        <w:rPr>
          <w:sz w:val="20"/>
          <w:szCs w:val="20"/>
          <w:color w:val="auto"/>
        </w:rPr>
      </w:pPr>
    </w:p>
    <w:p>
      <w:pPr>
        <w:ind w:right="160" w:firstLine="648"/>
        <w:spacing w:after="0" w:line="260" w:lineRule="auto"/>
        <w:rPr>
          <w:sz w:val="20"/>
          <w:szCs w:val="20"/>
          <w:color w:val="auto"/>
        </w:rPr>
      </w:pPr>
      <w:r>
        <w:rPr>
          <w:rFonts w:ascii="Arial" w:cs="Arial" w:eastAsia="Arial" w:hAnsi="Arial"/>
          <w:sz w:val="20"/>
          <w:szCs w:val="20"/>
          <w:color w:val="auto"/>
        </w:rPr>
        <w:t>Investing activities used $5.7 million and $1.6 million of cash for the three months ended June 30, 2021 and 2020, respectively, and primarily consisted of the following amounts:</w:t>
      </w:r>
    </w:p>
    <w:p>
      <w:pPr>
        <w:spacing w:after="0" w:line="177" w:lineRule="exact"/>
        <w:rPr>
          <w:sz w:val="20"/>
          <w:szCs w:val="20"/>
          <w:color w:val="auto"/>
        </w:rPr>
      </w:pPr>
    </w:p>
    <w:p>
      <w:pPr>
        <w:ind w:left="960" w:hanging="304"/>
        <w:spacing w:after="0"/>
        <w:tabs>
          <w:tab w:leader="none" w:pos="9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net contributions to investments of $4.5 million and $1.3 million; and</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purchases of fixed assets of $1.2 million and $0.3 million.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Financing Activities</w:t>
      </w:r>
    </w:p>
    <w:p>
      <w:pPr>
        <w:spacing w:after="0" w:line="216" w:lineRule="exact"/>
        <w:rPr>
          <w:sz w:val="20"/>
          <w:szCs w:val="20"/>
          <w:color w:val="auto"/>
        </w:rPr>
      </w:pPr>
    </w:p>
    <w:p>
      <w:pPr>
        <w:ind w:right="240" w:firstLine="648"/>
        <w:spacing w:after="0" w:line="260" w:lineRule="auto"/>
        <w:rPr>
          <w:sz w:val="20"/>
          <w:szCs w:val="20"/>
          <w:color w:val="auto"/>
        </w:rPr>
      </w:pPr>
      <w:r>
        <w:rPr>
          <w:rFonts w:ascii="Arial" w:cs="Arial" w:eastAsia="Arial" w:hAnsi="Arial"/>
          <w:sz w:val="20"/>
          <w:szCs w:val="20"/>
          <w:color w:val="auto"/>
        </w:rPr>
        <w:t>Financing activities used $30.5 million and $26.6 million of cash for the three months ended June 30, 2021 and 2020, respectively, and primarily consisted of the following:</w:t>
      </w:r>
    </w:p>
    <w:p>
      <w:pPr>
        <w:spacing w:after="0" w:line="177" w:lineRule="exact"/>
        <w:rPr>
          <w:sz w:val="20"/>
          <w:szCs w:val="20"/>
          <w:color w:val="auto"/>
        </w:rPr>
      </w:pPr>
    </w:p>
    <w:p>
      <w:pPr>
        <w:ind w:left="960" w:hanging="304"/>
        <w:spacing w:after="0"/>
        <w:tabs>
          <w:tab w:leader="none" w:pos="9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sale of non-controlling interests of $0 million and $3.3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payment of deferred offering costs of $1.1 million, $0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payments on term loan of $0 million and $0.4 million; and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5" w:name="page56"/>
    <w:bookmarkEnd w:id="55"/>
    <w:p>
      <w:pPr>
        <w:spacing w:after="0" w:line="141" w:lineRule="exact"/>
        <w:rPr>
          <w:sz w:val="20"/>
          <w:szCs w:val="20"/>
          <w:color w:val="auto"/>
        </w:rPr>
      </w:pPr>
    </w:p>
    <w:p>
      <w:pPr>
        <w:ind w:left="960" w:hanging="304"/>
        <w:spacing w:after="0"/>
        <w:tabs>
          <w:tab w:leader="none" w:pos="9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distributions to non-controlling interests of $29.5 million and $29.3 million.</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Equity Transactions</w:t>
      </w:r>
    </w:p>
    <w:p>
      <w:pPr>
        <w:spacing w:after="0" w:line="222" w:lineRule="exact"/>
        <w:rPr>
          <w:sz w:val="20"/>
          <w:szCs w:val="20"/>
          <w:color w:val="auto"/>
        </w:rPr>
      </w:pPr>
    </w:p>
    <w:p>
      <w:pPr>
        <w:jc w:val="both"/>
        <w:ind w:right="180" w:firstLine="648"/>
        <w:spacing w:after="0" w:line="250" w:lineRule="auto"/>
        <w:rPr>
          <w:sz w:val="20"/>
          <w:szCs w:val="20"/>
          <w:color w:val="auto"/>
        </w:rPr>
      </w:pPr>
      <w:r>
        <w:rPr>
          <w:rFonts w:ascii="Arial" w:cs="Arial" w:eastAsia="Arial" w:hAnsi="Arial"/>
          <w:sz w:val="20"/>
          <w:szCs w:val="20"/>
          <w:color w:val="auto"/>
        </w:rPr>
        <w:t>In June 2020, StepStone Group Real Assets LP (“SRA”) completed a transaction to repurchase partnership interests in SRA from a former partner for approximately $3.3 million, and subsequently sold an equal number of partnership interests to certain employees of SRA for approximately $3.3 million, resulting in no net proceeds to SRA.</w:t>
      </w:r>
    </w:p>
    <w:p>
      <w:pPr>
        <w:spacing w:after="0" w:line="186" w:lineRule="exact"/>
        <w:rPr>
          <w:sz w:val="20"/>
          <w:szCs w:val="20"/>
          <w:color w:val="auto"/>
        </w:rPr>
      </w:pPr>
    </w:p>
    <w:p>
      <w:pPr>
        <w:jc w:val="both"/>
        <w:ind w:right="140" w:firstLine="648"/>
        <w:spacing w:after="0" w:line="250" w:lineRule="auto"/>
        <w:rPr>
          <w:sz w:val="20"/>
          <w:szCs w:val="20"/>
          <w:color w:val="auto"/>
        </w:rPr>
      </w:pPr>
      <w:r>
        <w:rPr>
          <w:rFonts w:ascii="Arial" w:cs="Arial" w:eastAsia="Arial" w:hAnsi="Arial"/>
          <w:sz w:val="20"/>
          <w:szCs w:val="20"/>
          <w:color w:val="auto"/>
        </w:rPr>
        <w:t>In connection with the consummation of the IPO, we issued new partnership interests to certain StepStone professionals in SRA in exchange for their partnership interests in SRA, which increased our interest in SRA to approximately 49% and decreased the interest of the StepStone professionals in SRA to approximately 51%.</w:t>
      </w:r>
    </w:p>
    <w:p>
      <w:pPr>
        <w:spacing w:after="0" w:line="186"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auto"/>
        </w:rPr>
        <w:t>In March 2021, we conducted an underwritten public offering of 9,200,000 shares of Class A common stock, including 1,200,000 shares pursuant to the full exercise of the underwriters’ option to purchase additional shares, sold by selling stockholders at a public offering price of $29.50 per share. In connection with the offering, we issued 9,200,000 shares of Class A common stock to the selling stockholders in exchange for 9,200,000 Class B units. A corresponding number of shares of Class B common stock were automatically redeemed at par value and canceled in connection with such exchange. We did not receive any proceeds from the sale of shares by the selling stockholders.</w:t>
      </w:r>
    </w:p>
    <w:p>
      <w:pPr>
        <w:spacing w:after="0" w:line="165" w:lineRule="exact"/>
        <w:rPr>
          <w:sz w:val="20"/>
          <w:szCs w:val="20"/>
          <w:color w:val="auto"/>
        </w:rPr>
      </w:pPr>
    </w:p>
    <w:p>
      <w:pPr>
        <w:ind w:firstLine="648"/>
        <w:spacing w:after="0" w:line="291" w:lineRule="auto"/>
        <w:rPr>
          <w:sz w:val="20"/>
          <w:szCs w:val="20"/>
          <w:color w:val="auto"/>
        </w:rPr>
      </w:pPr>
      <w:r>
        <w:rPr>
          <w:rFonts w:ascii="Arial" w:cs="Arial" w:eastAsia="Arial" w:hAnsi="Arial"/>
          <w:sz w:val="18"/>
          <w:szCs w:val="18"/>
          <w:color w:val="auto"/>
        </w:rPr>
        <w:t>In June 2021, we issued 1,898,438 shares of Class A common stock to certain limited partners of the Partnership in exchange for 1,898,438 Class B units. A corresponding number of shares of Class B common stock were automatically redeemed at par value and canceled in connection with such exchange and a corresponding number of Class A units of the Partnership were issued to the Company.</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Future Sources and Uses of Liquidity</w:t>
      </w:r>
    </w:p>
    <w:p>
      <w:pPr>
        <w:spacing w:after="0" w:line="222" w:lineRule="exact"/>
        <w:rPr>
          <w:sz w:val="20"/>
          <w:szCs w:val="20"/>
          <w:color w:val="auto"/>
        </w:rPr>
      </w:pPr>
    </w:p>
    <w:p>
      <w:pPr>
        <w:ind w:right="60" w:firstLine="648"/>
        <w:spacing w:after="0" w:line="250" w:lineRule="auto"/>
        <w:rPr>
          <w:sz w:val="20"/>
          <w:szCs w:val="20"/>
          <w:color w:val="auto"/>
        </w:rPr>
      </w:pPr>
      <w:r>
        <w:rPr>
          <w:rFonts w:ascii="Arial" w:cs="Arial" w:eastAsia="Arial" w:hAnsi="Arial"/>
          <w:sz w:val="20"/>
          <w:szCs w:val="20"/>
          <w:color w:val="auto"/>
        </w:rPr>
        <w:t>In the future, we may issue additional equity or debt with the objective of increasing our available capital. We believe that we will be able to continue to meet our current and long-term liquidity and capital requirements through our cash flows from operating activities, existing cash and cash equivalents, and our ability to obtain future financing.</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Dividend and Distribution Policy</w:t>
      </w:r>
    </w:p>
    <w:p>
      <w:pPr>
        <w:spacing w:after="0" w:line="216" w:lineRule="exact"/>
        <w:rPr>
          <w:sz w:val="20"/>
          <w:szCs w:val="20"/>
          <w:color w:val="auto"/>
        </w:rPr>
      </w:pPr>
    </w:p>
    <w:p>
      <w:pPr>
        <w:ind w:right="600" w:firstLine="648"/>
        <w:spacing w:after="0" w:line="260" w:lineRule="auto"/>
        <w:rPr>
          <w:sz w:val="20"/>
          <w:szCs w:val="20"/>
          <w:color w:val="auto"/>
        </w:rPr>
      </w:pPr>
      <w:r>
        <w:rPr>
          <w:rFonts w:ascii="Arial" w:cs="Arial" w:eastAsia="Arial" w:hAnsi="Arial"/>
          <w:sz w:val="20"/>
          <w:szCs w:val="20"/>
          <w:color w:val="auto"/>
        </w:rPr>
        <w:t>On June 15, 2021, we announced a dividend of $0.07 per share of Class A common stock, which was paid on July 15, 2021 to holders of record at the close of business on June 30, 2021.</w:t>
      </w:r>
    </w:p>
    <w:p>
      <w:pPr>
        <w:spacing w:after="0" w:line="177" w:lineRule="exact"/>
        <w:rPr>
          <w:sz w:val="20"/>
          <w:szCs w:val="20"/>
          <w:color w:val="auto"/>
        </w:rPr>
      </w:pPr>
    </w:p>
    <w:p>
      <w:pPr>
        <w:ind w:right="540" w:firstLine="648"/>
        <w:spacing w:after="0" w:line="260" w:lineRule="auto"/>
        <w:rPr>
          <w:sz w:val="20"/>
          <w:szCs w:val="20"/>
          <w:color w:val="auto"/>
        </w:rPr>
      </w:pPr>
      <w:r>
        <w:rPr>
          <w:rFonts w:ascii="Arial" w:cs="Arial" w:eastAsia="Arial" w:hAnsi="Arial"/>
          <w:sz w:val="20"/>
          <w:szCs w:val="20"/>
          <w:color w:val="auto"/>
        </w:rPr>
        <w:t>On August 10 2021, we announced a dividend of $0.07 per share of Class A common stock, payable on September 15, 2021 to holders of record as of the close of business on August 31, 2021.</w:t>
      </w:r>
    </w:p>
    <w:p>
      <w:pPr>
        <w:spacing w:after="0" w:line="177" w:lineRule="exact"/>
        <w:rPr>
          <w:sz w:val="20"/>
          <w:szCs w:val="20"/>
          <w:color w:val="auto"/>
        </w:rPr>
      </w:pPr>
    </w:p>
    <w:p>
      <w:pPr>
        <w:ind w:right="100" w:firstLine="648"/>
        <w:spacing w:after="0" w:line="243" w:lineRule="auto"/>
        <w:rPr>
          <w:sz w:val="20"/>
          <w:szCs w:val="20"/>
          <w:color w:val="auto"/>
        </w:rPr>
      </w:pPr>
      <w:r>
        <w:rPr>
          <w:rFonts w:ascii="Arial" w:cs="Arial" w:eastAsia="Arial" w:hAnsi="Arial"/>
          <w:sz w:val="20"/>
          <w:szCs w:val="20"/>
          <w:color w:val="auto"/>
        </w:rPr>
        <w:t>We may pay additional dividends to holders of our Class A common stock in the future. The declaration and payment by us of any future dividends to Class A stockholders is at the sole discretion of our board of directors. Subject to funds being legally available, we will cause the Partnership to make pro rata distributions to its limited partners, including us, in amounts sufficient to make payment of applicable income and other taxes, to make payment under the Tax Receivable Agreements, and to make payment for corporate and other general expenses. Because our board of directors may determine to pay or not pay dividends to our Class A stockholders, our Class A stockholders may not necessarily receive dividend distributions relating to our excess distributions, even if the Partnership makes excess distributions to us.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4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Tax Receivable Agreements</w:t>
      </w:r>
    </w:p>
    <w:p>
      <w:pPr>
        <w:spacing w:after="0" w:line="216" w:lineRule="exact"/>
        <w:rPr>
          <w:sz w:val="20"/>
          <w:szCs w:val="20"/>
          <w:color w:val="auto"/>
        </w:rPr>
      </w:pPr>
    </w:p>
    <w:p>
      <w:pPr>
        <w:ind w:right="80" w:firstLine="648"/>
        <w:spacing w:after="0" w:line="273" w:lineRule="auto"/>
        <w:rPr>
          <w:sz w:val="20"/>
          <w:szCs w:val="20"/>
          <w:color w:val="auto"/>
        </w:rPr>
      </w:pPr>
      <w:r>
        <w:rPr>
          <w:rFonts w:ascii="Arial" w:cs="Arial" w:eastAsia="Arial" w:hAnsi="Arial"/>
          <w:sz w:val="18"/>
          <w:szCs w:val="18"/>
          <w:color w:val="auto"/>
        </w:rPr>
        <w:t>We have entered into an Exchanges Tax Receivable Agreement with the partners of the Partnership as of the date of the IPO and a Reorganization Tax Receivable Agreement with certain pre-IPO institutional investors (collectively, the “Tax Receivable Agreements”). The Tax Receivable Agreements provide for payment by SSG to these continuing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continuing partner’s and institutional investor’s Partnership units in connection with the Reorganization and IPO and (ii) in the case of the Exchanges Tax Receivable Agreement, any payments SSG makes under the Exchanges Tax Receivable Agreement (including tax benefits related to imputed interest). SSG will retain the benefit of the remaining 15% of these net cash tax savings under both Tax Receivable Agreements.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Off-Balance Sheet Arrangements</w:t>
      </w:r>
    </w:p>
    <w:p>
      <w:pPr>
        <w:spacing w:after="0" w:line="222" w:lineRule="exact"/>
        <w:rPr>
          <w:sz w:val="20"/>
          <w:szCs w:val="20"/>
          <w:color w:val="auto"/>
        </w:rPr>
      </w:pPr>
    </w:p>
    <w:p>
      <w:pPr>
        <w:ind w:right="340" w:firstLine="648"/>
        <w:spacing w:after="0" w:line="246" w:lineRule="auto"/>
        <w:rPr>
          <w:sz w:val="20"/>
          <w:szCs w:val="20"/>
          <w:color w:val="auto"/>
        </w:rPr>
      </w:pPr>
      <w:r>
        <w:rPr>
          <w:rFonts w:ascii="Arial" w:cs="Arial" w:eastAsia="Arial" w:hAnsi="Arial"/>
          <w:sz w:val="20"/>
          <w:szCs w:val="20"/>
          <w:color w:val="auto"/>
        </w:rPr>
        <w:t>We do not have any off-balance sheet arrangements that would expose us to any liability or require us to fund losses or guarantee target returns to clients in our funds that are not reflected in our condensed consolidated financial statements. See notes 4 and 13, respectively, to our condensed consolidated financial statements included elsewhere in this quarterly report for information on variable interest entities and commitments and contingencies.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Critical Accounting Policies</w:t>
      </w:r>
    </w:p>
    <w:p>
      <w:pPr>
        <w:spacing w:after="0" w:line="222"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We prepare our condensed consolidated financial statements in accordance with GAAP. In applying many of these accounting principles, we need to make assumptions, estimates and judgments that affect the reported amounts of assets, liabilities, revenues and expenses in our condensed consolidated financial statements. We base our estimates and judgments on historical experience and other assumptions that we believe are reasonable under the circumstances. These assumptions, estimates and judgments, however, are both subjective and subject to change, and actual amounts may differ from our assumptions and estimates. If actual amounts are ultimately different from our estimates, the revisions are included in our results of operations for the period in which the actual amounts become known.</w:t>
      </w:r>
    </w:p>
    <w:p>
      <w:pPr>
        <w:spacing w:after="0" w:line="165" w:lineRule="exact"/>
        <w:rPr>
          <w:sz w:val="20"/>
          <w:szCs w:val="20"/>
          <w:color w:val="auto"/>
        </w:rPr>
      </w:pPr>
    </w:p>
    <w:p>
      <w:pPr>
        <w:ind w:right="100" w:firstLine="648"/>
        <w:spacing w:after="0" w:line="385" w:lineRule="auto"/>
        <w:rPr>
          <w:sz w:val="20"/>
          <w:szCs w:val="20"/>
          <w:color w:val="auto"/>
        </w:rPr>
      </w:pPr>
      <w:r>
        <w:rPr>
          <w:rFonts w:ascii="Arial" w:cs="Arial" w:eastAsia="Arial" w:hAnsi="Arial"/>
          <w:sz w:val="16"/>
          <w:szCs w:val="16"/>
          <w:color w:val="auto"/>
        </w:rPr>
        <w:t>See note 2 to our condensed consolidated financial statements included elsewhere in this quarterly report, and note 2 to our audited consolidated financial statements in our Form 10-K for the year ended March 31, 2021 for a summary of our significant accounting policies.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Recent Accounting Developments</w:t>
      </w:r>
    </w:p>
    <w:p>
      <w:pPr>
        <w:spacing w:after="0" w:line="222" w:lineRule="exact"/>
        <w:rPr>
          <w:sz w:val="20"/>
          <w:szCs w:val="20"/>
          <w:color w:val="auto"/>
        </w:rPr>
      </w:pPr>
    </w:p>
    <w:p>
      <w:pPr>
        <w:ind w:right="200" w:firstLine="648"/>
        <w:spacing w:after="0" w:line="260" w:lineRule="auto"/>
        <w:rPr>
          <w:sz w:val="20"/>
          <w:szCs w:val="20"/>
          <w:color w:val="auto"/>
        </w:rPr>
      </w:pPr>
      <w:r>
        <w:rPr>
          <w:rFonts w:ascii="Arial" w:cs="Arial" w:eastAsia="Arial" w:hAnsi="Arial"/>
          <w:sz w:val="20"/>
          <w:szCs w:val="20"/>
          <w:color w:val="auto"/>
        </w:rPr>
        <w:t>Information regarding recent accounting developments and their effects to us can be found in note 2 to our condensed consolidated financial statements included elsewhere in this quarterly report.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22" w:lineRule="exact"/>
        <w:rPr>
          <w:sz w:val="20"/>
          <w:szCs w:val="20"/>
          <w:color w:val="auto"/>
        </w:rPr>
      </w:pPr>
    </w:p>
    <w:p>
      <w:pPr>
        <w:ind w:right="160" w:firstLine="648"/>
        <w:spacing w:after="0" w:line="260" w:lineRule="auto"/>
        <w:rPr>
          <w:sz w:val="20"/>
          <w:szCs w:val="20"/>
          <w:color w:val="auto"/>
        </w:rPr>
      </w:pPr>
      <w:r>
        <w:rPr>
          <w:rFonts w:ascii="Arial" w:cs="Arial" w:eastAsia="Arial" w:hAnsi="Arial"/>
          <w:sz w:val="19"/>
          <w:szCs w:val="19"/>
          <w:color w:val="auto"/>
        </w:rPr>
        <w:t>In the normal course of business, we are exposed to a broad range of risks inherent in the financial markets in which we participate, including price risk, interest-rate risk, access to and cost of financing risk, liquidity risk, counterparty risk and foreign exchange-rate risk. Potentially negative effects of these risks may be mitigated to a certain extent by those aspects of our investment approach, investment strategies, fundraising practices or other business activities that are designed to benefit, either in relative or absolute terms, from periods of economic weakness, tighter credit markets or financial market dislocations.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7" w:name="page58"/>
    <w:bookmarkEnd w:id="57"/>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Market Risk</w:t>
      </w:r>
    </w:p>
    <w:p>
      <w:pPr>
        <w:spacing w:after="0" w:line="222" w:lineRule="exact"/>
        <w:rPr>
          <w:sz w:val="20"/>
          <w:szCs w:val="20"/>
          <w:color w:val="auto"/>
        </w:rPr>
      </w:pPr>
    </w:p>
    <w:p>
      <w:pPr>
        <w:ind w:right="60" w:firstLine="648"/>
        <w:spacing w:after="0" w:line="250" w:lineRule="auto"/>
        <w:rPr>
          <w:sz w:val="20"/>
          <w:szCs w:val="20"/>
          <w:color w:val="auto"/>
        </w:rPr>
      </w:pPr>
      <w:r>
        <w:rPr>
          <w:rFonts w:ascii="Arial" w:cs="Arial" w:eastAsia="Arial" w:hAnsi="Arial"/>
          <w:sz w:val="20"/>
          <w:szCs w:val="20"/>
          <w:color w:val="auto"/>
        </w:rPr>
        <w:t>Our predominant exposure to market risk is related to our role as general partner or investment manager for our focused commingled funds and SMAs and the sensitivities to movements in the fair value of their investments, which may adversely affect our performance fee revenues and investment income.</w:t>
      </w:r>
    </w:p>
    <w:p>
      <w:pPr>
        <w:spacing w:after="0" w:line="186" w:lineRule="exact"/>
        <w:rPr>
          <w:sz w:val="20"/>
          <w:szCs w:val="20"/>
          <w:color w:val="auto"/>
        </w:rPr>
      </w:pPr>
    </w:p>
    <w:p>
      <w:pPr>
        <w:ind w:right="40" w:firstLine="648"/>
        <w:spacing w:after="0" w:line="328" w:lineRule="auto"/>
        <w:rPr>
          <w:sz w:val="20"/>
          <w:szCs w:val="20"/>
          <w:color w:val="auto"/>
        </w:rPr>
      </w:pPr>
      <w:r>
        <w:rPr>
          <w:rFonts w:ascii="Arial" w:cs="Arial" w:eastAsia="Arial" w:hAnsi="Arial"/>
          <w:sz w:val="16"/>
          <w:szCs w:val="16"/>
          <w:color w:val="auto"/>
        </w:rPr>
        <w:t>Our management fee and advisory fee revenue is only marginally affected by changes in investment values because our management fees are generally based on commitments or net invested capital and our advisory fees are fixed. As of June 30, 2021, NAV-based management fees represented approximately 2% of total net management and advisory fees. We estimate that a 10% decline in market values of the investments held in our funds as of June 30, 2021 would result in an approximate $0.7 million decrease to annual management fees.</w:t>
      </w:r>
    </w:p>
    <w:p>
      <w:pPr>
        <w:spacing w:after="0" w:line="128"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The fair value of the financial assets and liabilities of our focused commingled funds and SMAs may fluctuate in response to changes in the fair value of a fund’s underlying investments, foreign currency exchange rates, commodity prices and interest rates. The effect of these risks is as follows:</w:t>
      </w:r>
    </w:p>
    <w:p>
      <w:pPr>
        <w:spacing w:after="0" w:line="186" w:lineRule="exact"/>
        <w:rPr>
          <w:sz w:val="20"/>
          <w:szCs w:val="20"/>
          <w:color w:val="auto"/>
        </w:rPr>
      </w:pPr>
    </w:p>
    <w:p>
      <w:pPr>
        <w:ind w:left="660" w:right="240" w:hanging="328"/>
        <w:spacing w:after="0" w:line="263" w:lineRule="auto"/>
        <w:tabs>
          <w:tab w:leader="none" w:pos="648" w:val="left"/>
        </w:tabs>
        <w:numPr>
          <w:ilvl w:val="0"/>
          <w:numId w:val="34"/>
        </w:numPr>
        <w:rPr>
          <w:rFonts w:ascii="Arial" w:cs="Arial" w:eastAsia="Arial" w:hAnsi="Arial"/>
          <w:sz w:val="19"/>
          <w:szCs w:val="19"/>
          <w:color w:val="auto"/>
        </w:rPr>
      </w:pPr>
      <w:r>
        <w:rPr>
          <w:rFonts w:ascii="Arial" w:cs="Arial" w:eastAsia="Arial" w:hAnsi="Arial"/>
          <w:sz w:val="19"/>
          <w:szCs w:val="19"/>
          <w:color w:val="auto"/>
        </w:rPr>
        <w:t>Incentive fees from our funds are not materially affected by changes in the fair value of unrealized investments because they are based on realized gains and subject to achievement of performance criteria rather than on the fair value of the fund’s assets prior to realization. As of June 30, 2021, we had $16.8 million of deferred incentive fee revenue recorded in accounts payable, accrued expenses and other liabilities in the condensed consolidated balance sheets.</w:t>
      </w:r>
    </w:p>
    <w:p>
      <w:pPr>
        <w:spacing w:after="0" w:line="176" w:lineRule="exact"/>
        <w:rPr>
          <w:rFonts w:ascii="Arial" w:cs="Arial" w:eastAsia="Arial" w:hAnsi="Arial"/>
          <w:sz w:val="19"/>
          <w:szCs w:val="19"/>
          <w:color w:val="auto"/>
        </w:rPr>
      </w:pPr>
    </w:p>
    <w:p>
      <w:pPr>
        <w:ind w:left="660" w:hanging="328"/>
        <w:spacing w:after="0" w:line="307" w:lineRule="auto"/>
        <w:tabs>
          <w:tab w:leader="none" w:pos="648"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earn carried interest allocation revenue from certain of the StepStone Funds based on cumulative fund performance to date, subject to specified performance criteria. Our carried interest allocation is affected by changes in market factors. However, the degree of impact will vary depending on several factors, including but not limited to (i) the performance criteria for each individual fund in relation to how that fund’s results of operations are affected by changes in market factors; (ii) whether such performance criteria are annual or over the life of the fund; (iii) to the extent applicable, the previous performance of each fund in relation to its performance criteria; and (iv) whether each funds’ performance related distributions are subject to contingent repayment. As a result, the impact of changes in market factors on carried interest allocation revenue will vary widely from fund to fund. An overall decrease of 10% in the general equity markets would not necessarily drive the same impact on our funds’ valuations, as many of our investments in our funds are illiquid and do not trade on any exchange. Additionally, as a large percentage of our carried interest allocation revenues are paid to employees as carried interest-related compensation, the overall net impact to our income would be mitigated by lower compensation payments. As of June 30, 2021, the maximum amount of carried interest allocation subject to contingent repayment was an estimated $129.9 million, net of tax, assuming the fair value of all investments was zero, a possibility that we view as remote.</w:t>
      </w:r>
    </w:p>
    <w:p>
      <w:pPr>
        <w:spacing w:after="0" w:line="381" w:lineRule="exact"/>
        <w:rPr>
          <w:rFonts w:ascii="Arial" w:cs="Arial" w:eastAsia="Arial" w:hAnsi="Arial"/>
          <w:sz w:val="16"/>
          <w:szCs w:val="16"/>
          <w:color w:val="auto"/>
        </w:rPr>
      </w:pPr>
    </w:p>
    <w:p>
      <w:pPr>
        <w:ind w:left="660" w:right="80" w:hanging="328"/>
        <w:spacing w:after="0" w:line="269" w:lineRule="auto"/>
        <w:tabs>
          <w:tab w:leader="none" w:pos="648" w:val="left"/>
        </w:tabs>
        <w:numPr>
          <w:ilvl w:val="0"/>
          <w:numId w:val="34"/>
        </w:numPr>
        <w:rPr>
          <w:rFonts w:ascii="Arial" w:cs="Arial" w:eastAsia="Arial" w:hAnsi="Arial"/>
          <w:sz w:val="19"/>
          <w:szCs w:val="19"/>
          <w:color w:val="auto"/>
        </w:rPr>
      </w:pPr>
      <w:r>
        <w:rPr>
          <w:rFonts w:ascii="Arial" w:cs="Arial" w:eastAsia="Arial" w:hAnsi="Arial"/>
          <w:sz w:val="19"/>
          <w:szCs w:val="19"/>
          <w:color w:val="auto"/>
        </w:rPr>
        <w:t>Investment income changes in relation to realized and unrealized gains and losses of the underlying investments in our funds in which we have a general partner commitment. Based on investments held as of June 30, 2021, we estimate that a 10% decline in fair value of the investments would result in a $8.3 million decrease in the amount of income.</w:t>
      </w:r>
    </w:p>
    <w:p>
      <w:pPr>
        <w:spacing w:after="0" w:line="163"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b w:val="1"/>
          <w:bCs w:val="1"/>
          <w:color w:val="auto"/>
        </w:rPr>
        <w:t>Exchange Rate Risk</w:t>
      </w:r>
    </w:p>
    <w:p>
      <w:pPr>
        <w:spacing w:after="0" w:line="222"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Our business is affected by movements in the exchange rate between the U.S. dollar and non-U.S. dollar currencies in respect of revenues and expenses of our foreign offices that are denominated in non-U.S. dollar currencies and cash and other balances we hold in non-functional currencies. The amount of revenues and expenses attributable to our foreign offices is not material in relation to our U.S. offices. Therefore, changes in exchange rates are not expected to materially affect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41" w:lineRule="exact"/>
        <w:rPr>
          <w:sz w:val="20"/>
          <w:szCs w:val="20"/>
          <w:color w:val="auto"/>
        </w:rPr>
      </w:pPr>
    </w:p>
    <w:p>
      <w:pPr>
        <w:ind w:right="60" w:firstLine="648"/>
        <w:spacing w:after="0" w:line="244" w:lineRule="auto"/>
        <w:rPr>
          <w:sz w:val="20"/>
          <w:szCs w:val="20"/>
          <w:color w:val="auto"/>
        </w:rPr>
      </w:pPr>
      <w:r>
        <w:rPr>
          <w:rFonts w:ascii="Arial" w:cs="Arial" w:eastAsia="Arial" w:hAnsi="Arial"/>
          <w:sz w:val="20"/>
          <w:szCs w:val="20"/>
          <w:color w:val="auto"/>
        </w:rPr>
        <w:t>Certain of our focused commingled funds and SMAs hold investments denominated in non-U.S. dollar currencies that may be affected by movements in the exchange rate between the U.S. dollar and foreign currencies, which could affect investment performance. The currency exposure related to investments in foreign currency assets is limited to our general partner interest, which is typically no more than one percent of total capital commitments. Changes in exchange rates are not expected to materially affect our condensed consolidated financial statements.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Interest Rate Risk</w:t>
      </w:r>
    </w:p>
    <w:p>
      <w:pPr>
        <w:spacing w:after="0" w:line="222" w:lineRule="exact"/>
        <w:rPr>
          <w:sz w:val="20"/>
          <w:szCs w:val="20"/>
          <w:color w:val="auto"/>
        </w:rPr>
      </w:pPr>
    </w:p>
    <w:p>
      <w:pPr>
        <w:jc w:val="both"/>
        <w:ind w:right="160" w:firstLine="648"/>
        <w:spacing w:after="0" w:line="250" w:lineRule="auto"/>
        <w:rPr>
          <w:sz w:val="20"/>
          <w:szCs w:val="20"/>
          <w:color w:val="auto"/>
        </w:rPr>
      </w:pPr>
      <w:r>
        <w:rPr>
          <w:rFonts w:ascii="Arial" w:cs="Arial" w:eastAsia="Arial" w:hAnsi="Arial"/>
          <w:sz w:val="20"/>
          <w:szCs w:val="20"/>
          <w:color w:val="auto"/>
        </w:rPr>
        <w:t>As of June 30, 2021, there were no debt obligations outstanding. Of the $222.6 million of cash, cash equivalents and restricted cash as of June 30, 2021, we estimate that interest income would increase by $2.2 million on an annualized basis as a result of a 100 basis point increase in interest rates.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Credit Risk</w:t>
      </w:r>
    </w:p>
    <w:p>
      <w:pPr>
        <w:spacing w:after="0" w:line="222" w:lineRule="exact"/>
        <w:rPr>
          <w:sz w:val="20"/>
          <w:szCs w:val="20"/>
          <w:color w:val="auto"/>
        </w:rPr>
      </w:pPr>
    </w:p>
    <w:p>
      <w:pPr>
        <w:jc w:val="both"/>
        <w:ind w:right="120" w:firstLine="648"/>
        <w:spacing w:after="0" w:line="278" w:lineRule="auto"/>
        <w:rPr>
          <w:sz w:val="20"/>
          <w:szCs w:val="20"/>
          <w:color w:val="auto"/>
        </w:rPr>
      </w:pPr>
      <w:r>
        <w:rPr>
          <w:rFonts w:ascii="Arial" w:cs="Arial" w:eastAsia="Arial" w:hAnsi="Arial"/>
          <w:sz w:val="18"/>
          <w:szCs w:val="18"/>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Item 4. Controls and Procedures.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Disclosure Controls and Procedures</w:t>
      </w:r>
    </w:p>
    <w:p>
      <w:pPr>
        <w:spacing w:after="0" w:line="216" w:lineRule="exact"/>
        <w:rPr>
          <w:sz w:val="20"/>
          <w:szCs w:val="20"/>
          <w:color w:val="auto"/>
        </w:rPr>
      </w:pPr>
    </w:p>
    <w:p>
      <w:pPr>
        <w:ind w:firstLine="648"/>
        <w:spacing w:after="0" w:line="255" w:lineRule="auto"/>
        <w:rPr>
          <w:sz w:val="20"/>
          <w:szCs w:val="20"/>
          <w:color w:val="auto"/>
        </w:rPr>
      </w:pPr>
      <w:r>
        <w:rPr>
          <w:rFonts w:ascii="Arial" w:cs="Arial" w:eastAsia="Arial" w:hAnsi="Arial"/>
          <w:sz w:val="19"/>
          <w:szCs w:val="19"/>
          <w:color w:val="auto"/>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Co-Chief Executive Officers and Chief Financial Officer, as appropriate, to allow timely decisions regarding required disclosure.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spacing w:after="0" w:line="190" w:lineRule="exact"/>
        <w:rPr>
          <w:sz w:val="20"/>
          <w:szCs w:val="20"/>
          <w:color w:val="auto"/>
        </w:rPr>
      </w:pPr>
    </w:p>
    <w:p>
      <w:pPr>
        <w:ind w:right="20" w:firstLine="648"/>
        <w:spacing w:after="0" w:line="273" w:lineRule="auto"/>
        <w:rPr>
          <w:sz w:val="20"/>
          <w:szCs w:val="20"/>
          <w:color w:val="auto"/>
        </w:rPr>
      </w:pPr>
      <w:r>
        <w:rPr>
          <w:rFonts w:ascii="Arial" w:cs="Arial" w:eastAsia="Arial" w:hAnsi="Arial"/>
          <w:sz w:val="18"/>
          <w:szCs w:val="18"/>
          <w:color w:val="auto"/>
        </w:rPr>
        <w:t>Our management, under the supervision and with the participation of our Co-Chief Executive Officers and Chief Financial Officer, evaluated the effectiveness of our disclosure controls and procedures pursuant to Rule 13a-15 under the Exchange Act as of the end of the period covered by this report. Based on that evaluation, our Co-Chief Executive Officers and Chief Financial Officer have concluded that, as of the end of the period covered by this report, our disclosure controls and procedures (as defined in Rule 13a-15(e) under the Exchange Act) are effective to provide reasonable assurance that information that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Co-Chief Executive Officers and Chief Financial Officer,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9" w:name="page60"/>
    <w:bookmarkEnd w:id="59"/>
    <w:p>
      <w:pPr>
        <w:spacing w:after="0" w:line="14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Changes in Internal Controls over Financial Reporting</w:t>
      </w:r>
    </w:p>
    <w:p>
      <w:pPr>
        <w:spacing w:after="0" w:line="216" w:lineRule="exact"/>
        <w:rPr>
          <w:sz w:val="20"/>
          <w:szCs w:val="20"/>
          <w:color w:val="auto"/>
        </w:rPr>
      </w:pPr>
    </w:p>
    <w:p>
      <w:pPr>
        <w:ind w:right="40" w:firstLine="648"/>
        <w:spacing w:after="0" w:line="250" w:lineRule="auto"/>
        <w:rPr>
          <w:sz w:val="20"/>
          <w:szCs w:val="20"/>
          <w:color w:val="auto"/>
        </w:rPr>
      </w:pPr>
      <w:r>
        <w:rPr>
          <w:rFonts w:ascii="Arial" w:cs="Arial" w:eastAsia="Arial" w:hAnsi="Arial"/>
          <w:sz w:val="20"/>
          <w:szCs w:val="20"/>
          <w:color w:val="auto"/>
        </w:rPr>
        <w:t>There have been no changes in our internal control over financial reporting (as such term is defined in Rules 13a-15(f) and 15d-15(f) under the Exchange Act) during our most recent quarter ended June 30, 2021, that have materially affected, or are reasonably likely to materially affect, our internal control over financial reporting.</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PART II—OTHER INFORMATION</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Item 1. Legal Proceedings.</w:t>
      </w:r>
    </w:p>
    <w:p>
      <w:pPr>
        <w:spacing w:after="0" w:line="222" w:lineRule="exact"/>
        <w:rPr>
          <w:sz w:val="20"/>
          <w:szCs w:val="20"/>
          <w:color w:val="auto"/>
        </w:rPr>
      </w:pPr>
    </w:p>
    <w:p>
      <w:pPr>
        <w:jc w:val="both"/>
        <w:ind w:right="580" w:firstLine="648"/>
        <w:spacing w:after="0" w:line="250" w:lineRule="auto"/>
        <w:rPr>
          <w:sz w:val="20"/>
          <w:szCs w:val="20"/>
          <w:color w:val="auto"/>
        </w:rPr>
      </w:pPr>
      <w:r>
        <w:rPr>
          <w:rFonts w:ascii="Arial" w:cs="Arial" w:eastAsia="Arial" w:hAnsi="Arial"/>
          <w:sz w:val="20"/>
          <w:szCs w:val="20"/>
          <w:color w:val="auto"/>
        </w:rPr>
        <w:t>The information required with respect to this item can be found under the heading “Litigation” in note 13, Commitments and Contingencies, to our condensed consolidated financial statements included elsewhere in this quarterly report, and such information is incorporated by reference into this Item 1.</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Item 1A. Risk Factors.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There have been no material changes from the risk factors previously disclosed in Part 1, Item 1A of our annual report on Form 10-K for the fiscal year ended March 31, 2021.</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Item 3. Defaults Upon Senior Securities.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Item 4. Mine Safety Disclosures.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Item 5. Other Information.</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0" w:name="page61"/>
    <w:bookmarkEnd w:id="60"/>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Item 6. Exhibits.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38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w w:val="92"/>
              </w:rPr>
              <w:t>Incorporated By Reference</w:t>
            </w:r>
          </w:p>
        </w:tc>
        <w:tc>
          <w:tcPr>
            <w:tcW w:w="10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2"/>
            <w:vMerge w:val="continue"/>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Exhibit No.</w:t>
            </w:r>
          </w:p>
        </w:tc>
        <w:tc>
          <w:tcPr>
            <w:tcW w:w="4720" w:type="dxa"/>
            <w:vAlign w:val="bottom"/>
            <w:tcBorders>
              <w:bottom w:val="single" w:sz="8" w:color="auto"/>
            </w:tcBorders>
            <w:gridSpan w:val="21"/>
          </w:tcPr>
          <w:p>
            <w:pPr>
              <w:spacing w:after="0"/>
              <w:rPr>
                <w:sz w:val="20"/>
                <w:szCs w:val="20"/>
                <w:color w:val="auto"/>
              </w:rPr>
            </w:pPr>
            <w:r>
              <w:rPr>
                <w:rFonts w:ascii="Arial" w:cs="Arial" w:eastAsia="Arial" w:hAnsi="Arial"/>
                <w:sz w:val="18"/>
                <w:szCs w:val="18"/>
                <w:b w:val="1"/>
                <w:bCs w:val="1"/>
                <w:color w:val="auto"/>
              </w:rPr>
              <w:t>Description of Exhibit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Form</w:t>
            </w:r>
          </w:p>
        </w:tc>
        <w:tc>
          <w:tcPr>
            <w:tcW w:w="10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Exhibit</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Filing Date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60" w:type="dxa"/>
            <w:vAlign w:val="bottom"/>
            <w:gridSpan w:val="2"/>
          </w:tcPr>
          <w:p>
            <w:pPr>
              <w:ind w:left="20"/>
              <w:spacing w:after="0" w:line="182" w:lineRule="exact"/>
              <w:rPr>
                <w:rFonts w:ascii="Arial" w:cs="Arial" w:eastAsia="Arial" w:hAnsi="Arial"/>
                <w:sz w:val="18"/>
                <w:szCs w:val="18"/>
                <w:color w:val="0000FF"/>
                <w:w w:val="87"/>
              </w:rPr>
            </w:pPr>
            <w:hyperlink r:id="rId80">
              <w:r>
                <w:rPr>
                  <w:rFonts w:ascii="Arial" w:cs="Arial" w:eastAsia="Arial" w:hAnsi="Arial"/>
                  <w:sz w:val="18"/>
                  <w:szCs w:val="18"/>
                  <w:color w:val="0000FF"/>
                  <w:w w:val="87"/>
                </w:rPr>
                <w:t>2.</w:t>
              </w:r>
              <w:r>
                <w:rPr>
                  <w:rFonts w:ascii="Arial" w:cs="Arial" w:eastAsia="Arial" w:hAnsi="Arial"/>
                  <w:sz w:val="18"/>
                  <w:szCs w:val="18"/>
                  <w:u w:val="single" w:color="auto"/>
                  <w:color w:val="0000FF"/>
                  <w:w w:val="87"/>
                </w:rPr>
                <w:t>1</w:t>
              </w:r>
            </w:hyperlink>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720" w:type="dxa"/>
            <w:vAlign w:val="bottom"/>
            <w:gridSpan w:val="21"/>
          </w:tcPr>
          <w:p>
            <w:pPr>
              <w:spacing w:after="0" w:line="182" w:lineRule="exact"/>
              <w:rPr>
                <w:rFonts w:ascii="Arial" w:cs="Arial" w:eastAsia="Arial" w:hAnsi="Arial"/>
                <w:sz w:val="18"/>
                <w:szCs w:val="18"/>
                <w:color w:val="0000FF"/>
                <w:w w:val="99"/>
              </w:rPr>
            </w:pPr>
            <w:hyperlink r:id="rId80">
              <w:r>
                <w:rPr>
                  <w:rFonts w:ascii="Arial" w:cs="Arial" w:eastAsia="Arial" w:hAnsi="Arial"/>
                  <w:sz w:val="18"/>
                  <w:szCs w:val="18"/>
                  <w:color w:val="0000FF"/>
                  <w:w w:val="99"/>
                </w:rPr>
                <w:t>Transaction Agreement, dated July 7, 2021, by and among,</w:t>
              </w:r>
            </w:hyperlink>
          </w:p>
        </w:tc>
        <w:tc>
          <w:tcPr>
            <w:tcW w:w="8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4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0"/>
              </w:rPr>
            </w:pPr>
            <w:hyperlink r:id="rId80">
              <w:r>
                <w:rPr>
                  <w:rFonts w:ascii="Arial" w:cs="Arial" w:eastAsia="Arial" w:hAnsi="Arial"/>
                  <w:sz w:val="18"/>
                  <w:szCs w:val="18"/>
                  <w:color w:val="0000FF"/>
                  <w:w w:val="90"/>
                </w:rPr>
                <w:t>StepStone Group Inc., StepStone Group LP, certain wholly</w:t>
              </w:r>
            </w:hyperlink>
          </w:p>
        </w:tc>
        <w:tc>
          <w:tcPr>
            <w:tcW w:w="60" w:type="dxa"/>
            <w:vAlign w:val="bottom"/>
            <w:tcBorders>
              <w:bottom w:val="single" w:sz="8" w:color="0000FF"/>
            </w:tcBorders>
          </w:tcPr>
          <w:p>
            <w:pPr>
              <w:jc w:val="right"/>
              <w:spacing w:after="0" w:line="155" w:lineRule="exact"/>
              <w:rPr>
                <w:rFonts w:ascii="Arial" w:cs="Arial" w:eastAsia="Arial" w:hAnsi="Arial"/>
                <w:sz w:val="16"/>
                <w:szCs w:val="16"/>
                <w:color w:val="0000FF"/>
                <w:w w:val="74"/>
              </w:rPr>
            </w:pPr>
            <w:hyperlink r:id="rId80">
              <w:r>
                <w:rPr>
                  <w:rFonts w:ascii="Arial" w:cs="Arial" w:eastAsia="Arial" w:hAnsi="Arial"/>
                  <w:sz w:val="16"/>
                  <w:szCs w:val="16"/>
                  <w:color w:val="0000FF"/>
                  <w:w w:val="74"/>
                </w:rPr>
                <w:t>-</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300" w:type="dxa"/>
            <w:vAlign w:val="bottom"/>
            <w:tcBorders>
              <w:bottom w:val="single" w:sz="8" w:color="0000FF"/>
            </w:tcBorders>
            <w:gridSpan w:val="11"/>
          </w:tcPr>
          <w:p>
            <w:pPr>
              <w:spacing w:after="0" w:line="156" w:lineRule="exact"/>
              <w:rPr>
                <w:rFonts w:ascii="Arial" w:cs="Arial" w:eastAsia="Arial" w:hAnsi="Arial"/>
                <w:sz w:val="18"/>
                <w:szCs w:val="18"/>
                <w:color w:val="0000FF"/>
                <w:w w:val="88"/>
              </w:rPr>
            </w:pPr>
            <w:hyperlink r:id="rId80">
              <w:r>
                <w:rPr>
                  <w:rFonts w:ascii="Arial" w:cs="Arial" w:eastAsia="Arial" w:hAnsi="Arial"/>
                  <w:sz w:val="18"/>
                  <w:szCs w:val="18"/>
                  <w:color w:val="0000FF"/>
                  <w:w w:val="88"/>
                </w:rPr>
                <w:t>owned subsidiaries of StepStone Group LP, the sellers party</w:t>
              </w:r>
            </w:hyperlink>
          </w:p>
        </w:tc>
        <w:tc>
          <w:tcPr>
            <w:tcW w:w="20" w:type="dxa"/>
            <w:vAlign w:val="bottom"/>
            <w:tcBorders>
              <w:bottom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720" w:type="dxa"/>
            <w:vAlign w:val="bottom"/>
            <w:gridSpan w:val="21"/>
          </w:tcPr>
          <w:p>
            <w:pPr>
              <w:spacing w:after="0" w:line="156" w:lineRule="exact"/>
              <w:rPr>
                <w:rFonts w:ascii="Arial" w:cs="Arial" w:eastAsia="Arial" w:hAnsi="Arial"/>
                <w:sz w:val="18"/>
                <w:szCs w:val="18"/>
                <w:color w:val="0000FF"/>
                <w:w w:val="93"/>
              </w:rPr>
            </w:pPr>
            <w:hyperlink r:id="rId80">
              <w:r>
                <w:rPr>
                  <w:rFonts w:ascii="Arial" w:cs="Arial" w:eastAsia="Arial" w:hAnsi="Arial"/>
                  <w:sz w:val="18"/>
                  <w:szCs w:val="18"/>
                  <w:color w:val="0000FF"/>
                  <w:w w:val="93"/>
                </w:rPr>
                <w:t>thereto, Greenspring Associates, Inc. and certain of its affiliates</w:t>
              </w:r>
            </w:hyperlink>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58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80">
              <w:r>
                <w:rPr>
                  <w:rFonts w:ascii="Arial" w:cs="Arial" w:eastAsia="Arial" w:hAnsi="Arial"/>
                  <w:sz w:val="18"/>
                  <w:szCs w:val="18"/>
                  <w:color w:val="0000FF"/>
                </w:rPr>
                <w:t>and Shareholder Representative Services LLC, as Seller</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5"/>
              </w:rPr>
              <w:t>2.1</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2"/>
              </w:rPr>
              <w:t>7/07/2021</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0"/>
              </w:rPr>
              <w:t>001-39510</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2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80">
              <w:r>
                <w:rPr>
                  <w:rFonts w:ascii="Arial" w:cs="Arial" w:eastAsia="Arial" w:hAnsi="Arial"/>
                  <w:sz w:val="18"/>
                  <w:szCs w:val="18"/>
                  <w:color w:val="0000FF"/>
                </w:rPr>
                <w:t>Representative.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0" w:type="dxa"/>
            <w:vAlign w:val="bottom"/>
            <w:gridSpan w:val="2"/>
          </w:tcPr>
          <w:p>
            <w:pPr>
              <w:ind w:left="20"/>
              <w:spacing w:after="0"/>
              <w:rPr>
                <w:rFonts w:ascii="Arial" w:cs="Arial" w:eastAsia="Arial" w:hAnsi="Arial"/>
                <w:sz w:val="18"/>
                <w:szCs w:val="18"/>
                <w:color w:val="0000FF"/>
                <w:w w:val="87"/>
              </w:rPr>
            </w:pPr>
            <w:hyperlink r:id="rId81">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720" w:type="dxa"/>
            <w:vAlign w:val="bottom"/>
            <w:gridSpan w:val="21"/>
          </w:tcPr>
          <w:p>
            <w:pPr>
              <w:spacing w:after="0"/>
              <w:rPr>
                <w:rFonts w:ascii="Arial" w:cs="Arial" w:eastAsia="Arial" w:hAnsi="Arial"/>
                <w:sz w:val="18"/>
                <w:szCs w:val="18"/>
                <w:color w:val="0000FF"/>
                <w:w w:val="91"/>
              </w:rPr>
            </w:pPr>
            <w:hyperlink r:id="rId81">
              <w:r>
                <w:rPr>
                  <w:rFonts w:ascii="Arial" w:cs="Arial" w:eastAsia="Arial" w:hAnsi="Arial"/>
                  <w:sz w:val="18"/>
                  <w:szCs w:val="18"/>
                  <w:color w:val="0000FF"/>
                  <w:w w:val="91"/>
                </w:rPr>
                <w:t>Amended and Restated Certificate of Incorporation of StepStone</w:t>
              </w:r>
            </w:hyperlink>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5"/>
              </w:rPr>
              <w:t>3.1</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2"/>
              </w:rPr>
              <w:t>9/18/2020</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0"/>
              </w:rPr>
              <w:t>001-39510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r:id="rId81">
              <w:r>
                <w:rPr>
                  <w:rFonts w:ascii="Arial" w:cs="Arial" w:eastAsia="Arial" w:hAnsi="Arial"/>
                  <w:sz w:val="18"/>
                  <w:szCs w:val="18"/>
                  <w:color w:val="0000FF"/>
                  <w:w w:val="90"/>
                </w:rPr>
                <w:t>Group Inc.</w:t>
              </w:r>
            </w:hyperlink>
          </w:p>
        </w:tc>
        <w:tc>
          <w:tcPr>
            <w:tcW w:w="3900" w:type="dxa"/>
            <w:vAlign w:val="bottom"/>
            <w:tcBorders>
              <w:top w:val="single" w:sz="8" w:color="0000FF"/>
            </w:tcBorders>
            <w:gridSpan w:val="18"/>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60" w:type="dxa"/>
            <w:vAlign w:val="bottom"/>
            <w:gridSpan w:val="2"/>
          </w:tcPr>
          <w:p>
            <w:pPr>
              <w:ind w:left="20"/>
              <w:spacing w:after="0"/>
              <w:rPr>
                <w:rFonts w:ascii="Arial" w:cs="Arial" w:eastAsia="Arial" w:hAnsi="Arial"/>
                <w:sz w:val="18"/>
                <w:szCs w:val="18"/>
                <w:color w:val="0000FF"/>
                <w:w w:val="87"/>
              </w:rPr>
            </w:pPr>
            <w:hyperlink r:id="rId82">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60" w:type="dxa"/>
            <w:vAlign w:val="bottom"/>
            <w:tcBorders>
              <w:bottom w:val="single" w:sz="8" w:color="0000FF"/>
            </w:tcBorders>
            <w:gridSpan w:val="9"/>
          </w:tcPr>
          <w:p>
            <w:pPr>
              <w:spacing w:after="0"/>
              <w:rPr>
                <w:rFonts w:ascii="Arial" w:cs="Arial" w:eastAsia="Arial" w:hAnsi="Arial"/>
                <w:sz w:val="18"/>
                <w:szCs w:val="18"/>
                <w:color w:val="0000FF"/>
                <w:w w:val="89"/>
              </w:rPr>
            </w:pPr>
            <w:hyperlink r:id="rId82">
              <w:r>
                <w:rPr>
                  <w:rFonts w:ascii="Arial" w:cs="Arial" w:eastAsia="Arial" w:hAnsi="Arial"/>
                  <w:sz w:val="18"/>
                  <w:szCs w:val="18"/>
                  <w:color w:val="0000FF"/>
                  <w:w w:val="89"/>
                </w:rPr>
                <w:t>Amended and Restated Bylaws of StepStone Group Inc.</w:t>
              </w:r>
            </w:hyperlink>
          </w:p>
        </w:tc>
        <w:tc>
          <w:tcPr>
            <w:tcW w:w="660" w:type="dxa"/>
            <w:vAlign w:val="bottom"/>
            <w:gridSpan w:val="12"/>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9/18/2020</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001-39510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20" w:type="dxa"/>
            <w:vAlign w:val="bottom"/>
            <w:gridSpan w:val="4"/>
          </w:tcPr>
          <w:p>
            <w:pPr>
              <w:ind w:left="20"/>
              <w:spacing w:after="0"/>
              <w:rPr>
                <w:rFonts w:ascii="Arial" w:cs="Arial" w:eastAsia="Arial" w:hAnsi="Arial"/>
                <w:sz w:val="18"/>
                <w:szCs w:val="18"/>
                <w:color w:val="0000FF"/>
              </w:rPr>
            </w:pPr>
            <w:hyperlink r:id="rId83">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4720" w:type="dxa"/>
            <w:vAlign w:val="bottom"/>
            <w:gridSpan w:val="21"/>
          </w:tcPr>
          <w:p>
            <w:pPr>
              <w:spacing w:after="0"/>
              <w:rPr>
                <w:rFonts w:ascii="Arial" w:cs="Arial" w:eastAsia="Arial" w:hAnsi="Arial"/>
                <w:sz w:val="18"/>
                <w:szCs w:val="18"/>
                <w:color w:val="0000FF"/>
                <w:w w:val="98"/>
              </w:rPr>
            </w:pPr>
            <w:hyperlink r:id="rId83">
              <w:r>
                <w:rPr>
                  <w:rFonts w:ascii="Arial" w:cs="Arial" w:eastAsia="Arial" w:hAnsi="Arial"/>
                  <w:sz w:val="18"/>
                  <w:szCs w:val="18"/>
                  <w:color w:val="0000FF"/>
                  <w:w w:val="98"/>
                </w:rPr>
                <w:t>Commitment Letter, dated as of July 7, 2021, by and among</w:t>
              </w:r>
            </w:hyperlink>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1"/>
              </w:rPr>
              <w:t>10.1</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2"/>
              </w:rPr>
              <w:t>7/07/2021</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0"/>
              </w:rPr>
              <w:t>001-39510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04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89"/>
              </w:rPr>
            </w:pPr>
            <w:hyperlink r:id="rId83">
              <w:r>
                <w:rPr>
                  <w:rFonts w:ascii="Arial" w:cs="Arial" w:eastAsia="Arial" w:hAnsi="Arial"/>
                  <w:sz w:val="18"/>
                  <w:szCs w:val="18"/>
                  <w:color w:val="0000FF"/>
                  <w:w w:val="89"/>
                </w:rPr>
                <w:t>StepStone Group Inc. and JP Morgan Chase Bank, N.A.</w:t>
              </w:r>
            </w:hyperlink>
          </w:p>
        </w:tc>
        <w:tc>
          <w:tcPr>
            <w:tcW w:w="280" w:type="dxa"/>
            <w:vAlign w:val="bottom"/>
            <w:tcBorders>
              <w:top w:val="single" w:sz="8" w:color="0000FF"/>
            </w:tcBorders>
            <w:gridSpan w:val="4"/>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3"/>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4720" w:type="dxa"/>
            <w:vAlign w:val="bottom"/>
            <w:gridSpan w:val="21"/>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Certification of Co-Chief Executive Officer pursuant to Rule</w:t>
              </w:r>
            </w:hyperlink>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tcBorders>
              <w:right w:val="single" w:sz="8" w:color="0000FF"/>
            </w:tcBorders>
            <w:gridSpan w:val="7"/>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720" w:type="dxa"/>
            <w:vAlign w:val="bottom"/>
            <w:gridSpan w:val="21"/>
          </w:tcPr>
          <w:p>
            <w:pPr>
              <w:spacing w:after="0" w:line="156" w:lineRule="exact"/>
              <w:rPr>
                <w:rFonts w:ascii="Arial" w:cs="Arial" w:eastAsia="Arial" w:hAnsi="Arial"/>
                <w:sz w:val="18"/>
                <w:szCs w:val="18"/>
                <w:color w:val="0000FF"/>
                <w:w w:val="90"/>
              </w:rPr>
            </w:pPr>
            <w:hyperlink w:anchor="page63">
              <w:r>
                <w:rPr>
                  <w:rFonts w:ascii="Arial" w:cs="Arial" w:eastAsia="Arial" w:hAnsi="Arial"/>
                  <w:sz w:val="18"/>
                  <w:szCs w:val="18"/>
                  <w:color w:val="0000FF"/>
                  <w:w w:val="90"/>
                </w:rPr>
                <w:t>13a-14(a) and Rule 15d-14(a) of the Securities Exchange Act, as</w:t>
              </w:r>
            </w:hyperlink>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w:anchor="page63">
              <w:r>
                <w:rPr>
                  <w:rFonts w:ascii="Arial" w:cs="Arial" w:eastAsia="Arial" w:hAnsi="Arial"/>
                  <w:sz w:val="18"/>
                  <w:szCs w:val="18"/>
                  <w:color w:val="0000FF"/>
                </w:rPr>
                <w:t>amended</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gridSpan w:val="4"/>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3"/>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4720" w:type="dxa"/>
            <w:vAlign w:val="bottom"/>
            <w:gridSpan w:val="21"/>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Certification of Co-Chief Executive Officer pursuant to Rule</w:t>
              </w:r>
            </w:hyperlink>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0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tcBorders>
              <w:right w:val="single" w:sz="8" w:color="0000FF"/>
            </w:tcBorders>
            <w:gridSpan w:val="7"/>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720" w:type="dxa"/>
            <w:vAlign w:val="bottom"/>
            <w:gridSpan w:val="21"/>
          </w:tcPr>
          <w:p>
            <w:pPr>
              <w:spacing w:after="0" w:line="156" w:lineRule="exact"/>
              <w:rPr>
                <w:rFonts w:ascii="Arial" w:cs="Arial" w:eastAsia="Arial" w:hAnsi="Arial"/>
                <w:sz w:val="18"/>
                <w:szCs w:val="18"/>
                <w:color w:val="0000FF"/>
                <w:w w:val="90"/>
              </w:rPr>
            </w:pPr>
            <w:hyperlink w:anchor="page64">
              <w:r>
                <w:rPr>
                  <w:rFonts w:ascii="Arial" w:cs="Arial" w:eastAsia="Arial" w:hAnsi="Arial"/>
                  <w:sz w:val="18"/>
                  <w:szCs w:val="18"/>
                  <w:color w:val="0000FF"/>
                  <w:w w:val="90"/>
                </w:rPr>
                <w:t>13a-14(a) and Rule 15d-14(a) of the Securities Exchange Act, as</w:t>
              </w:r>
            </w:hyperlink>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w:anchor="page64">
              <w:r>
                <w:rPr>
                  <w:rFonts w:ascii="Arial" w:cs="Arial" w:eastAsia="Arial" w:hAnsi="Arial"/>
                  <w:sz w:val="18"/>
                  <w:szCs w:val="18"/>
                  <w:color w:val="0000FF"/>
                </w:rPr>
                <w:t>amended</w:t>
              </w:r>
            </w:hyperlink>
          </w:p>
        </w:tc>
        <w:tc>
          <w:tcPr>
            <w:tcW w:w="6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gridSpan w:val="4"/>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20" w:type="dxa"/>
            <w:vAlign w:val="bottom"/>
            <w:gridSpan w:val="4"/>
          </w:tcPr>
          <w:p>
            <w:pPr>
              <w:ind w:left="20"/>
              <w:spacing w:after="0"/>
              <w:rPr>
                <w:rFonts w:ascii="Arial" w:cs="Arial" w:eastAsia="Arial" w:hAnsi="Arial"/>
                <w:sz w:val="18"/>
                <w:szCs w:val="18"/>
                <w:color w:val="0000FF"/>
              </w:rPr>
            </w:pPr>
            <w:hyperlink w:anchor="page65">
              <w:r>
                <w:rPr>
                  <w:rFonts w:ascii="Arial" w:cs="Arial" w:eastAsia="Arial" w:hAnsi="Arial"/>
                  <w:sz w:val="18"/>
                  <w:szCs w:val="18"/>
                  <w:color w:val="0000FF"/>
                </w:rPr>
                <w:t>31.</w:t>
              </w:r>
              <w:r>
                <w:rPr>
                  <w:rFonts w:ascii="Arial" w:cs="Arial" w:eastAsia="Arial" w:hAnsi="Arial"/>
                  <w:sz w:val="18"/>
                  <w:szCs w:val="18"/>
                  <w:u w:val="single" w:color="auto"/>
                  <w:color w:val="0000FF"/>
                </w:rPr>
                <w:t>3</w:t>
              </w:r>
            </w:hyperlink>
          </w:p>
        </w:tc>
        <w:tc>
          <w:tcPr>
            <w:tcW w:w="4720" w:type="dxa"/>
            <w:vAlign w:val="bottom"/>
            <w:gridSpan w:val="21"/>
          </w:tcPr>
          <w:p>
            <w:pPr>
              <w:spacing w:after="0"/>
              <w:rPr>
                <w:rFonts w:ascii="Arial" w:cs="Arial" w:eastAsia="Arial" w:hAnsi="Arial"/>
                <w:sz w:val="18"/>
                <w:szCs w:val="18"/>
                <w:color w:val="0000FF"/>
                <w:w w:val="98"/>
              </w:rPr>
            </w:pPr>
            <w:hyperlink w:anchor="page65">
              <w:r>
                <w:rPr>
                  <w:rFonts w:ascii="Arial" w:cs="Arial" w:eastAsia="Arial" w:hAnsi="Arial"/>
                  <w:sz w:val="18"/>
                  <w:szCs w:val="18"/>
                  <w:color w:val="0000FF"/>
                  <w:w w:val="98"/>
                </w:rPr>
                <w:t>Certification of Chief Financial Officer pursuant to Rule 13a-</w:t>
              </w:r>
            </w:hyperlink>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420" w:type="dxa"/>
            <w:vAlign w:val="bottom"/>
            <w:tcBorders>
              <w:top w:val="single" w:sz="8" w:color="0000FF"/>
            </w:tcBorders>
            <w:gridSpan w:val="14"/>
          </w:tcPr>
          <w:p>
            <w:pPr>
              <w:spacing w:after="0" w:line="156" w:lineRule="exact"/>
              <w:rPr>
                <w:rFonts w:ascii="Arial" w:cs="Arial" w:eastAsia="Arial" w:hAnsi="Arial"/>
                <w:sz w:val="18"/>
                <w:szCs w:val="18"/>
                <w:color w:val="0000FF"/>
                <w:w w:val="91"/>
              </w:rPr>
            </w:pPr>
            <w:hyperlink w:anchor="page65">
              <w:r>
                <w:rPr>
                  <w:rFonts w:ascii="Arial" w:cs="Arial" w:eastAsia="Arial" w:hAnsi="Arial"/>
                  <w:sz w:val="18"/>
                  <w:szCs w:val="18"/>
                  <w:color w:val="0000FF"/>
                  <w:w w:val="91"/>
                </w:rPr>
                <w:t>14(a) and Rule 15d-14(a) of the Securities Exchange Act, as</w:t>
              </w:r>
            </w:hyperlink>
          </w:p>
        </w:tc>
        <w:tc>
          <w:tcPr>
            <w:tcW w:w="1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4"/>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38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w:anchor="page65">
              <w:r>
                <w:rPr>
                  <w:rFonts w:ascii="Arial" w:cs="Arial" w:eastAsia="Arial" w:hAnsi="Arial"/>
                  <w:sz w:val="18"/>
                  <w:szCs w:val="18"/>
                  <w:color w:val="0000FF"/>
                </w:rPr>
                <w:t>amended</w:t>
              </w:r>
            </w:hyperlink>
          </w:p>
        </w:tc>
        <w:tc>
          <w:tcPr>
            <w:tcW w:w="1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4"/>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gridSpan w:val="4"/>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20" w:type="dxa"/>
            <w:vAlign w:val="bottom"/>
            <w:gridSpan w:val="4"/>
          </w:tcPr>
          <w:p>
            <w:pPr>
              <w:ind w:left="20"/>
              <w:spacing w:after="0"/>
              <w:rPr>
                <w:rFonts w:ascii="Arial" w:cs="Arial" w:eastAsia="Arial" w:hAnsi="Arial"/>
                <w:sz w:val="18"/>
                <w:szCs w:val="18"/>
                <w:color w:val="0000FF"/>
              </w:rPr>
            </w:pPr>
            <w:hyperlink w:anchor="page66">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4720" w:type="dxa"/>
            <w:vAlign w:val="bottom"/>
            <w:gridSpan w:val="21"/>
          </w:tcPr>
          <w:p>
            <w:pPr>
              <w:spacing w:after="0"/>
              <w:rPr>
                <w:rFonts w:ascii="Arial" w:cs="Arial" w:eastAsia="Arial" w:hAnsi="Arial"/>
                <w:sz w:val="18"/>
                <w:szCs w:val="18"/>
                <w:color w:val="0000FF"/>
                <w:w w:val="95"/>
              </w:rPr>
            </w:pPr>
            <w:hyperlink w:anchor="page66">
              <w:r>
                <w:rPr>
                  <w:rFonts w:ascii="Arial" w:cs="Arial" w:eastAsia="Arial" w:hAnsi="Arial"/>
                  <w:sz w:val="18"/>
                  <w:szCs w:val="18"/>
                  <w:color w:val="0000FF"/>
                  <w:w w:val="95"/>
                </w:rPr>
                <w:t>Certification of Co-Chief Executive Officer pursuant to Section</w:t>
              </w:r>
            </w:hyperlink>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28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w:anchor="page66">
              <w:r>
                <w:rPr>
                  <w:rFonts w:ascii="Arial" w:cs="Arial" w:eastAsia="Arial" w:hAnsi="Arial"/>
                  <w:sz w:val="18"/>
                  <w:szCs w:val="18"/>
                  <w:color w:val="0000FF"/>
                  <w:w w:val="90"/>
                </w:rPr>
                <w:t>906 of the Sarbanes-Oxley Act of 2002</w:t>
              </w:r>
            </w:hyperlink>
          </w:p>
        </w:tc>
        <w:tc>
          <w:tcPr>
            <w:tcW w:w="1760" w:type="dxa"/>
            <w:vAlign w:val="bottom"/>
            <w:tcBorders>
              <w:top w:val="single" w:sz="8" w:color="0000FF"/>
            </w:tcBorders>
            <w:gridSpan w:val="11"/>
          </w:tcPr>
          <w:p>
            <w:pPr>
              <w:spacing w:after="0"/>
              <w:rPr>
                <w:sz w:val="13"/>
                <w:szCs w:val="13"/>
                <w:color w:val="auto"/>
              </w:rPr>
            </w:pPr>
          </w:p>
        </w:tc>
        <w:tc>
          <w:tcPr>
            <w:tcW w:w="120" w:type="dxa"/>
            <w:vAlign w:val="bottom"/>
            <w:gridSpan w:val="4"/>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20" w:type="dxa"/>
            <w:vAlign w:val="bottom"/>
            <w:gridSpan w:val="4"/>
          </w:tcPr>
          <w:p>
            <w:pPr>
              <w:ind w:left="20"/>
              <w:spacing w:after="0"/>
              <w:rPr>
                <w:rFonts w:ascii="Arial" w:cs="Arial" w:eastAsia="Arial" w:hAnsi="Arial"/>
                <w:sz w:val="18"/>
                <w:szCs w:val="18"/>
                <w:color w:val="0000FF"/>
              </w:rPr>
            </w:pPr>
            <w:hyperlink w:anchor="page67">
              <w:r>
                <w:rPr>
                  <w:rFonts w:ascii="Arial" w:cs="Arial" w:eastAsia="Arial" w:hAnsi="Arial"/>
                  <w:sz w:val="18"/>
                  <w:szCs w:val="18"/>
                  <w:color w:val="0000FF"/>
                </w:rPr>
                <w:t>32.</w:t>
              </w:r>
              <w:r>
                <w:rPr>
                  <w:rFonts w:ascii="Arial" w:cs="Arial" w:eastAsia="Arial" w:hAnsi="Arial"/>
                  <w:sz w:val="18"/>
                  <w:szCs w:val="18"/>
                  <w:u w:val="single" w:color="auto"/>
                  <w:color w:val="0000FF"/>
                </w:rPr>
                <w:t>2</w:t>
              </w:r>
            </w:hyperlink>
          </w:p>
        </w:tc>
        <w:tc>
          <w:tcPr>
            <w:tcW w:w="4720" w:type="dxa"/>
            <w:vAlign w:val="bottom"/>
            <w:gridSpan w:val="21"/>
          </w:tcPr>
          <w:p>
            <w:pPr>
              <w:spacing w:after="0"/>
              <w:rPr>
                <w:rFonts w:ascii="Arial" w:cs="Arial" w:eastAsia="Arial" w:hAnsi="Arial"/>
                <w:sz w:val="18"/>
                <w:szCs w:val="18"/>
                <w:color w:val="0000FF"/>
                <w:w w:val="95"/>
              </w:rPr>
            </w:pPr>
            <w:hyperlink w:anchor="page67">
              <w:r>
                <w:rPr>
                  <w:rFonts w:ascii="Arial" w:cs="Arial" w:eastAsia="Arial" w:hAnsi="Arial"/>
                  <w:sz w:val="18"/>
                  <w:szCs w:val="18"/>
                  <w:color w:val="0000FF"/>
                  <w:w w:val="95"/>
                </w:rPr>
                <w:t>Certification of Co-Chief Executive Officer pursuant to Section</w:t>
              </w:r>
            </w:hyperlink>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60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w:anchor="page67">
              <w:r>
                <w:rPr>
                  <w:rFonts w:ascii="Arial" w:cs="Arial" w:eastAsia="Arial" w:hAnsi="Arial"/>
                  <w:sz w:val="18"/>
                  <w:szCs w:val="18"/>
                  <w:color w:val="0000FF"/>
                </w:rPr>
                <w:t>906 of the Sarbanes-Oxley Act of 2002</w:t>
              </w:r>
            </w:hyperlink>
          </w:p>
        </w:tc>
        <w:tc>
          <w:tcPr>
            <w:tcW w:w="120" w:type="dxa"/>
            <w:vAlign w:val="bottom"/>
            <w:gridSpan w:val="4"/>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gridSpan w:val="4"/>
          </w:tcPr>
          <w:p>
            <w:pPr>
              <w:spacing w:after="0" w:line="20" w:lineRule="exact"/>
              <w:rPr>
                <w:sz w:val="1"/>
                <w:szCs w:val="1"/>
                <w:color w:val="auto"/>
              </w:rPr>
            </w:pPr>
          </w:p>
        </w:tc>
        <w:tc>
          <w:tcPr>
            <w:tcW w:w="250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40" w:type="dxa"/>
            <w:vAlign w:val="bottom"/>
            <w:gridSpan w:val="10"/>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gridSpan w:val="4"/>
          </w:tcPr>
          <w:p>
            <w:pPr>
              <w:ind w:left="20"/>
              <w:spacing w:after="0"/>
              <w:rPr>
                <w:rFonts w:ascii="Arial" w:cs="Arial" w:eastAsia="Arial" w:hAnsi="Arial"/>
                <w:sz w:val="18"/>
                <w:szCs w:val="18"/>
                <w:color w:val="0000FF"/>
              </w:rPr>
            </w:pPr>
            <w:hyperlink w:anchor="page68">
              <w:r>
                <w:rPr>
                  <w:rFonts w:ascii="Arial" w:cs="Arial" w:eastAsia="Arial" w:hAnsi="Arial"/>
                  <w:sz w:val="18"/>
                  <w:szCs w:val="18"/>
                  <w:color w:val="0000FF"/>
                </w:rPr>
                <w:t>32.</w:t>
              </w:r>
              <w:r>
                <w:rPr>
                  <w:rFonts w:ascii="Arial" w:cs="Arial" w:eastAsia="Arial" w:hAnsi="Arial"/>
                  <w:sz w:val="18"/>
                  <w:szCs w:val="18"/>
                  <w:u w:val="single" w:color="auto"/>
                  <w:color w:val="0000FF"/>
                </w:rPr>
                <w:t>3</w:t>
              </w:r>
            </w:hyperlink>
          </w:p>
        </w:tc>
        <w:tc>
          <w:tcPr>
            <w:tcW w:w="4720" w:type="dxa"/>
            <w:vAlign w:val="bottom"/>
            <w:gridSpan w:val="21"/>
          </w:tcPr>
          <w:p>
            <w:pPr>
              <w:spacing w:after="0"/>
              <w:rPr>
                <w:rFonts w:ascii="Arial" w:cs="Arial" w:eastAsia="Arial" w:hAnsi="Arial"/>
                <w:sz w:val="18"/>
                <w:szCs w:val="18"/>
                <w:color w:val="0000FF"/>
                <w:w w:val="95"/>
              </w:rPr>
            </w:pPr>
            <w:hyperlink w:anchor="page68">
              <w:r>
                <w:rPr>
                  <w:rFonts w:ascii="Arial" w:cs="Arial" w:eastAsia="Arial" w:hAnsi="Arial"/>
                  <w:sz w:val="18"/>
                  <w:szCs w:val="18"/>
                  <w:color w:val="0000FF"/>
                  <w:w w:val="95"/>
                </w:rPr>
                <w:t>Certification of Chief Financial Officer pursuant to Section 906</w:t>
              </w:r>
            </w:hyperlink>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56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w:anchor="page68">
              <w:r>
                <w:rPr>
                  <w:rFonts w:ascii="Arial" w:cs="Arial" w:eastAsia="Arial" w:hAnsi="Arial"/>
                  <w:sz w:val="18"/>
                  <w:szCs w:val="18"/>
                  <w:color w:val="0000FF"/>
                </w:rPr>
                <w:t>of the Sarbanes-Oxley Act of 2002</w:t>
              </w:r>
            </w:hyperlink>
          </w:p>
        </w:tc>
        <w:tc>
          <w:tcPr>
            <w:tcW w:w="160" w:type="dxa"/>
            <w:vAlign w:val="bottom"/>
            <w:gridSpan w:val="6"/>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1220" w:right="5320" w:hanging="1194"/>
        <w:spacing w:after="0" w:line="231" w:lineRule="auto"/>
        <w:tabs>
          <w:tab w:leader="none" w:pos="12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following financial information from our Quarterly Report on Form 10-Q for the quarter ended June 30, 2021 formatted in Inline XBRL (Extensible Business Reporting Language): (i) the Condensed Consolidated Balance Sheets; (ii) the Condensed Consolidated Statements of Income; (iii) the Condensed Consolidated Statements of Comprehensive Income; (iv) the Condensed Consolidated Statements of Stockholders’ Equity; (v)</w:t>
      </w:r>
    </w:p>
    <w:tbl>
      <w:tblPr>
        <w:tblLayout w:type="fixed"/>
        <w:tblInd w:w="20" w:type="dxa"/>
        <w:tblCellMar>
          <w:top w:w="0" w:type="dxa"/>
          <w:left w:w="0" w:type="dxa"/>
          <w:bottom w:w="0" w:type="dxa"/>
          <w:right w:w="0" w:type="dxa"/>
        </w:tblCellMar>
      </w:tblPr>
      <w:tr>
        <w:trPr>
          <w:trHeight w:val="165"/>
        </w:trPr>
        <w:tc>
          <w:tcPr>
            <w:tcW w:w="740" w:type="dxa"/>
            <w:vAlign w:val="bottom"/>
          </w:tcPr>
          <w:p>
            <w:pPr>
              <w:spacing w:after="0"/>
              <w:rPr>
                <w:sz w:val="14"/>
                <w:szCs w:val="14"/>
                <w:color w:val="auto"/>
              </w:rPr>
            </w:pPr>
          </w:p>
        </w:tc>
        <w:tc>
          <w:tcPr>
            <w:tcW w:w="7500" w:type="dxa"/>
            <w:vAlign w:val="bottom"/>
          </w:tcPr>
          <w:p>
            <w:pPr>
              <w:ind w:left="460"/>
              <w:spacing w:after="0" w:line="165" w:lineRule="exact"/>
              <w:rPr>
                <w:sz w:val="20"/>
                <w:szCs w:val="20"/>
                <w:color w:val="auto"/>
              </w:rPr>
            </w:pPr>
            <w:r>
              <w:rPr>
                <w:rFonts w:ascii="Arial" w:cs="Arial" w:eastAsia="Arial" w:hAnsi="Arial"/>
                <w:sz w:val="18"/>
                <w:szCs w:val="18"/>
                <w:color w:val="auto"/>
              </w:rPr>
              <w:t>the Condensed Consolidated Statements of Cash Flows; and (vi)</w:t>
            </w:r>
          </w:p>
        </w:tc>
        <w:tc>
          <w:tcPr>
            <w:tcW w:w="2520" w:type="dxa"/>
            <w:vAlign w:val="bottom"/>
            <w:vMerge w:val="restart"/>
          </w:tcPr>
          <w:p>
            <w:pPr>
              <w:ind w:left="23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740" w:type="dxa"/>
            <w:vAlign w:val="bottom"/>
          </w:tcPr>
          <w:p>
            <w:pPr>
              <w:spacing w:after="0"/>
              <w:rPr>
                <w:sz w:val="19"/>
                <w:szCs w:val="19"/>
                <w:color w:val="auto"/>
              </w:rPr>
            </w:pPr>
          </w:p>
        </w:tc>
        <w:tc>
          <w:tcPr>
            <w:tcW w:w="7500" w:type="dxa"/>
            <w:vAlign w:val="bottom"/>
          </w:tcPr>
          <w:p>
            <w:pPr>
              <w:ind w:left="460"/>
              <w:spacing w:after="0"/>
              <w:rPr>
                <w:sz w:val="20"/>
                <w:szCs w:val="20"/>
                <w:color w:val="auto"/>
              </w:rPr>
            </w:pPr>
            <w:r>
              <w:rPr>
                <w:rFonts w:ascii="Arial" w:cs="Arial" w:eastAsia="Arial" w:hAnsi="Arial"/>
                <w:sz w:val="18"/>
                <w:szCs w:val="18"/>
                <w:color w:val="auto"/>
              </w:rPr>
              <w:t>Notes to Condensed Consolidated Financial Statements.</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40" w:type="dxa"/>
            <w:vAlign w:val="bottom"/>
          </w:tcPr>
          <w:p>
            <w:pPr>
              <w:jc w:val="right"/>
              <w:ind w:right="370"/>
              <w:spacing w:after="0" w:line="176" w:lineRule="exact"/>
              <w:rPr>
                <w:sz w:val="20"/>
                <w:szCs w:val="20"/>
                <w:color w:val="auto"/>
              </w:rPr>
            </w:pPr>
            <w:r>
              <w:rPr>
                <w:rFonts w:ascii="Arial" w:cs="Arial" w:eastAsia="Arial" w:hAnsi="Arial"/>
                <w:sz w:val="18"/>
                <w:szCs w:val="18"/>
                <w:color w:val="auto"/>
                <w:w w:val="86"/>
              </w:rPr>
              <w:t>104</w:t>
            </w:r>
          </w:p>
        </w:tc>
        <w:tc>
          <w:tcPr>
            <w:tcW w:w="7500" w:type="dxa"/>
            <w:vAlign w:val="bottom"/>
          </w:tcPr>
          <w:p>
            <w:pPr>
              <w:ind w:left="460"/>
              <w:spacing w:after="0" w:line="176" w:lineRule="exact"/>
              <w:rPr>
                <w:sz w:val="20"/>
                <w:szCs w:val="20"/>
                <w:color w:val="auto"/>
              </w:rPr>
            </w:pPr>
            <w:r>
              <w:rPr>
                <w:rFonts w:ascii="Arial" w:cs="Arial" w:eastAsia="Arial" w:hAnsi="Arial"/>
                <w:sz w:val="18"/>
                <w:szCs w:val="18"/>
                <w:color w:val="auto"/>
              </w:rPr>
              <w:t>Cover Page Interactive Data File (formatted as Inline XBRL and</w:t>
            </w:r>
          </w:p>
        </w:tc>
        <w:tc>
          <w:tcPr>
            <w:tcW w:w="2520" w:type="dxa"/>
            <w:vAlign w:val="bottom"/>
            <w:vMerge w:val="restart"/>
          </w:tcPr>
          <w:p>
            <w:pPr>
              <w:ind w:left="23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7500" w:type="dxa"/>
            <w:vAlign w:val="bottom"/>
          </w:tcPr>
          <w:p>
            <w:pPr>
              <w:ind w:left="460"/>
              <w:spacing w:after="0"/>
              <w:rPr>
                <w:sz w:val="20"/>
                <w:szCs w:val="20"/>
                <w:color w:val="auto"/>
              </w:rPr>
            </w:pPr>
            <w:r>
              <w:rPr>
                <w:rFonts w:ascii="Arial" w:cs="Arial" w:eastAsia="Arial" w:hAnsi="Arial"/>
                <w:sz w:val="18"/>
                <w:szCs w:val="18"/>
                <w:color w:val="auto"/>
              </w:rPr>
              <w:t>contained in Exhibit 101)</w:t>
            </w:r>
          </w:p>
        </w:tc>
        <w:tc>
          <w:tcPr>
            <w:tcW w:w="2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351" w:lineRule="exact"/>
        <w:rPr>
          <w:sz w:val="20"/>
          <w:szCs w:val="20"/>
          <w:color w:val="auto"/>
        </w:rPr>
      </w:pPr>
    </w:p>
    <w:p>
      <w:pPr>
        <w:jc w:val="center"/>
        <w:ind w:right="-319"/>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 on August 12, 2021</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00"/>
        <w:spacing w:after="0"/>
        <w:rPr>
          <w:sz w:val="20"/>
          <w:szCs w:val="20"/>
          <w:color w:val="auto"/>
        </w:rPr>
      </w:pPr>
      <w:r>
        <w:rPr>
          <w:rFonts w:ascii="Arial" w:cs="Arial" w:eastAsia="Arial" w:hAnsi="Arial"/>
          <w:sz w:val="20"/>
          <w:szCs w:val="20"/>
          <w:b w:val="1"/>
          <w:bCs w:val="1"/>
          <w:color w:val="auto"/>
        </w:rPr>
        <w:t>STEPSTONE GROUP INC.</w:t>
      </w:r>
    </w:p>
    <w:p>
      <w:pPr>
        <w:spacing w:after="0" w:line="289"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By: /s/ Johnny D. Randel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10160</wp:posOffset>
            </wp:positionV>
            <wp:extent cx="36601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3660140" cy="8890"/>
                    </a:xfrm>
                    <a:prstGeom prst="rect">
                      <a:avLst/>
                    </a:prstGeom>
                    <a:noFill/>
                  </pic:spPr>
                </pic:pic>
              </a:graphicData>
            </a:graphic>
          </wp:anchor>
        </w:drawing>
      </w:r>
    </w:p>
    <w:p>
      <w:pPr>
        <w:spacing w:after="0" w:line="7"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Johnny D. Randel</w:t>
      </w:r>
    </w:p>
    <w:p>
      <w:pPr>
        <w:spacing w:after="0" w:line="20"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Chief Financial Officer</w:t>
      </w:r>
    </w:p>
    <w:p>
      <w:pPr>
        <w:spacing w:after="0" w:line="13"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(Principal Financial Officer and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40"/>
          </w:cols>
          <w:pgMar w:left="320" w:top="1440" w:right="639" w:bottom="1440" w:gutter="0" w:footer="0" w:header="0"/>
        </w:sectPr>
      </w:pPr>
    </w:p>
    <w:bookmarkStart w:id="62" w:name="page63"/>
    <w:bookmarkEnd w:id="62"/>
    <w:p>
      <w:pPr>
        <w:jc w:val="right"/>
        <w:spacing w:after="0"/>
        <w:rPr>
          <w:sz w:val="20"/>
          <w:szCs w:val="20"/>
          <w:color w:val="auto"/>
        </w:rPr>
      </w:pPr>
      <w:r>
        <w:rPr>
          <w:rFonts w:ascii="Arial" w:cs="Arial" w:eastAsia="Arial" w:hAnsi="Arial"/>
          <w:sz w:val="20"/>
          <w:szCs w:val="20"/>
          <w:b w:val="1"/>
          <w:bCs w:val="1"/>
          <w:color w:val="auto"/>
        </w:rPr>
        <w:t>EXHIBIT 31.1</w:t>
      </w:r>
    </w:p>
    <w:p>
      <w:pPr>
        <w:spacing w:after="0" w:line="20" w:lineRule="exact"/>
        <w:rPr>
          <w:sz w:val="20"/>
          <w:szCs w:val="20"/>
          <w:color w:val="auto"/>
        </w:rPr>
      </w:pPr>
    </w:p>
    <w:p>
      <w:pPr>
        <w:jc w:val="right"/>
        <w:ind w:right="60"/>
        <w:spacing w:after="0"/>
        <w:rPr>
          <w:sz w:val="20"/>
          <w:szCs w:val="20"/>
          <w:color w:val="auto"/>
        </w:rPr>
      </w:pPr>
      <w:r>
        <w:rPr>
          <w:rFonts w:ascii="Arial" w:cs="Arial" w:eastAsia="Arial" w:hAnsi="Arial"/>
          <w:sz w:val="20"/>
          <w:szCs w:val="20"/>
          <w:b w:val="1"/>
          <w:bCs w:val="1"/>
          <w:color w:val="auto"/>
        </w:rPr>
        <w:t>CERTIFICATION BY THE CHIEF EXECUTIVE OFFICER PURSUANT TO SECTION 302 OF THE SARBANES-OXLEY ACT</w:t>
      </w:r>
    </w:p>
    <w:p>
      <w:pPr>
        <w:jc w:val="center"/>
        <w:spacing w:after="0"/>
        <w:rPr>
          <w:sz w:val="20"/>
          <w:szCs w:val="20"/>
          <w:color w:val="auto"/>
        </w:rPr>
      </w:pPr>
      <w:r>
        <w:rPr>
          <w:rFonts w:ascii="Arial" w:cs="Arial" w:eastAsia="Arial" w:hAnsi="Arial"/>
          <w:sz w:val="20"/>
          <w:szCs w:val="20"/>
          <w:b w:val="1"/>
          <w:bCs w:val="1"/>
          <w:color w:val="auto"/>
        </w:rPr>
        <w:t>OF 2002</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color w:val="auto"/>
        </w:rPr>
        <w:t>I, Monte Brem, certify that:</w:t>
      </w:r>
    </w:p>
    <w:p>
      <w:pPr>
        <w:spacing w:after="0" w:line="216" w:lineRule="exact"/>
        <w:rPr>
          <w:sz w:val="20"/>
          <w:szCs w:val="20"/>
          <w:color w:val="auto"/>
        </w:rPr>
      </w:pPr>
    </w:p>
    <w:p>
      <w:pPr>
        <w:ind w:left="860" w:hanging="204"/>
        <w:spacing w:after="0"/>
        <w:tabs>
          <w:tab w:leader="none" w:pos="8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StepStone Group Inc.;</w:t>
      </w:r>
    </w:p>
    <w:p>
      <w:pPr>
        <w:spacing w:after="0" w:line="215" w:lineRule="exact"/>
        <w:rPr>
          <w:rFonts w:ascii="Arial" w:cs="Arial" w:eastAsia="Arial" w:hAnsi="Arial"/>
          <w:sz w:val="20"/>
          <w:szCs w:val="20"/>
          <w:color w:val="auto"/>
        </w:rPr>
      </w:pPr>
    </w:p>
    <w:p>
      <w:pPr>
        <w:ind w:left="660" w:right="220" w:hanging="4"/>
        <w:spacing w:after="0" w:line="250" w:lineRule="auto"/>
        <w:tabs>
          <w:tab w:leader="none" w:pos="858" w:val="left"/>
        </w:tabs>
        <w:numPr>
          <w:ilvl w:val="0"/>
          <w:numId w:val="3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Arial" w:cs="Arial" w:eastAsia="Arial" w:hAnsi="Arial"/>
          <w:sz w:val="20"/>
          <w:szCs w:val="20"/>
          <w:color w:val="auto"/>
        </w:rPr>
      </w:pPr>
    </w:p>
    <w:p>
      <w:pPr>
        <w:ind w:left="660" w:right="60" w:hanging="4"/>
        <w:spacing w:after="0" w:line="250" w:lineRule="auto"/>
        <w:tabs>
          <w:tab w:leader="none" w:pos="858" w:val="left"/>
        </w:tabs>
        <w:numPr>
          <w:ilvl w:val="0"/>
          <w:numId w:val="36"/>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20"/>
          <w:szCs w:val="20"/>
          <w:color w:val="auto"/>
        </w:rPr>
      </w:pPr>
    </w:p>
    <w:p>
      <w:pPr>
        <w:ind w:left="660" w:right="80" w:hanging="4"/>
        <w:spacing w:after="0" w:line="260" w:lineRule="auto"/>
        <w:tabs>
          <w:tab w:leader="none" w:pos="858"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for the Registrant and have:</w:t>
      </w:r>
    </w:p>
    <w:p>
      <w:pPr>
        <w:spacing w:after="0" w:line="176" w:lineRule="exact"/>
        <w:rPr>
          <w:rFonts w:ascii="Arial" w:cs="Arial" w:eastAsia="Arial" w:hAnsi="Arial"/>
          <w:sz w:val="20"/>
          <w:szCs w:val="20"/>
          <w:color w:val="auto"/>
        </w:rPr>
      </w:pPr>
    </w:p>
    <w:p>
      <w:pPr>
        <w:jc w:val="both"/>
        <w:ind w:left="1300" w:right="20" w:firstLine="4"/>
        <w:spacing w:after="0" w:line="291" w:lineRule="auto"/>
        <w:tabs>
          <w:tab w:leader="none" w:pos="1487"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Arial" w:cs="Arial" w:eastAsia="Arial" w:hAnsi="Arial"/>
          <w:sz w:val="18"/>
          <w:szCs w:val="18"/>
          <w:color w:val="auto"/>
        </w:rPr>
      </w:pPr>
    </w:p>
    <w:p>
      <w:pPr>
        <w:ind w:left="1300" w:right="420" w:firstLine="4"/>
        <w:spacing w:after="0" w:line="250" w:lineRule="auto"/>
        <w:tabs>
          <w:tab w:leader="none" w:pos="1498" w:val="left"/>
        </w:tabs>
        <w:numPr>
          <w:ilvl w:val="1"/>
          <w:numId w:val="36"/>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Arial" w:cs="Arial" w:eastAsia="Arial" w:hAnsi="Arial"/>
          <w:sz w:val="20"/>
          <w:szCs w:val="20"/>
          <w:color w:val="auto"/>
        </w:rPr>
      </w:pPr>
    </w:p>
    <w:p>
      <w:pPr>
        <w:ind w:left="1300" w:right="100" w:firstLine="4"/>
        <w:spacing w:after="0" w:line="250" w:lineRule="auto"/>
        <w:tabs>
          <w:tab w:leader="none" w:pos="1487" w:val="left"/>
        </w:tabs>
        <w:numPr>
          <w:ilvl w:val="1"/>
          <w:numId w:val="36"/>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5" w:lineRule="exact"/>
        <w:rPr>
          <w:rFonts w:ascii="Arial" w:cs="Arial" w:eastAsia="Arial" w:hAnsi="Arial"/>
          <w:sz w:val="20"/>
          <w:szCs w:val="20"/>
          <w:color w:val="auto"/>
        </w:rPr>
      </w:pPr>
    </w:p>
    <w:p>
      <w:pPr>
        <w:ind w:left="660" w:right="100" w:hanging="4"/>
        <w:spacing w:after="0" w:line="250" w:lineRule="auto"/>
        <w:tabs>
          <w:tab w:leader="none" w:pos="858"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20"/>
          <w:szCs w:val="20"/>
          <w:color w:val="auto"/>
        </w:rPr>
      </w:pPr>
    </w:p>
    <w:p>
      <w:pPr>
        <w:ind w:left="1300" w:right="140" w:firstLine="4"/>
        <w:spacing w:after="0" w:line="250" w:lineRule="auto"/>
        <w:tabs>
          <w:tab w:leader="none" w:pos="1487" w:val="left"/>
        </w:tabs>
        <w:numPr>
          <w:ilvl w:val="1"/>
          <w:numId w:val="3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20"/>
          <w:szCs w:val="20"/>
          <w:color w:val="auto"/>
        </w:rPr>
      </w:pPr>
    </w:p>
    <w:p>
      <w:pPr>
        <w:ind w:left="1300" w:right="560" w:firstLine="4"/>
        <w:spacing w:after="0" w:line="260" w:lineRule="auto"/>
        <w:tabs>
          <w:tab w:leader="none" w:pos="1498" w:val="left"/>
        </w:tabs>
        <w:numPr>
          <w:ilvl w:val="1"/>
          <w:numId w:val="3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3480" w:type="dxa"/>
            <w:vAlign w:val="bottom"/>
          </w:tcPr>
          <w:p>
            <w:pPr>
              <w:spacing w:after="0"/>
              <w:rPr>
                <w:sz w:val="20"/>
                <w:szCs w:val="20"/>
                <w:color w:val="auto"/>
              </w:rPr>
            </w:pPr>
            <w:r>
              <w:rPr>
                <w:rFonts w:ascii="Arial" w:cs="Arial" w:eastAsia="Arial" w:hAnsi="Arial"/>
                <w:sz w:val="20"/>
                <w:szCs w:val="20"/>
                <w:color w:val="auto"/>
              </w:rPr>
              <w:t>Date: August 12, 2021</w:t>
            </w:r>
          </w:p>
        </w:tc>
        <w:tc>
          <w:tcPr>
            <w:tcW w:w="7740" w:type="dxa"/>
            <w:vAlign w:val="bottom"/>
            <w:gridSpan w:val="2"/>
          </w:tcPr>
          <w:p>
            <w:pPr>
              <w:ind w:left="1680"/>
              <w:spacing w:after="0"/>
              <w:rPr>
                <w:sz w:val="20"/>
                <w:szCs w:val="20"/>
                <w:color w:val="auto"/>
              </w:rPr>
            </w:pPr>
            <w:r>
              <w:rPr>
                <w:rFonts w:ascii="Arial" w:cs="Arial" w:eastAsia="Arial" w:hAnsi="Arial"/>
                <w:sz w:val="20"/>
                <w:szCs w:val="20"/>
                <w:color w:val="auto"/>
              </w:rPr>
              <w:t>By: /s/ Monte Brem</w:t>
            </w:r>
          </w:p>
        </w:tc>
      </w:tr>
      <w:tr>
        <w:trPr>
          <w:trHeight w:val="233"/>
        </w:trPr>
        <w:tc>
          <w:tcPr>
            <w:tcW w:w="34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76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Monte Brem</w:t>
            </w:r>
          </w:p>
        </w:tc>
      </w:tr>
      <w:tr>
        <w:trPr>
          <w:trHeight w:val="243"/>
        </w:trPr>
        <w:tc>
          <w:tcPr>
            <w:tcW w:w="34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20"/>
                <w:szCs w:val="20"/>
                <w:color w:val="auto"/>
              </w:rPr>
              <w:t>Co-Chief Executive Officer</w:t>
            </w:r>
          </w:p>
        </w:tc>
      </w:tr>
      <w:tr>
        <w:trPr>
          <w:trHeight w:val="250"/>
        </w:trPr>
        <w:tc>
          <w:tcPr>
            <w:tcW w:w="34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20"/>
                <w:szCs w:val="20"/>
                <w:i w:val="1"/>
                <w:iCs w:val="1"/>
                <w:color w:val="auto"/>
              </w:rPr>
              <w:t>(Principal Executive Officer)</w:t>
            </w:r>
          </w:p>
        </w:tc>
      </w:tr>
    </w:tbl>
    <w:p>
      <w:pPr>
        <w:sectPr>
          <w:pgSz w:w="11900" w:h="16838" w:orient="portrait"/>
          <w:cols w:equalWidth="0" w:num="1">
            <w:col w:w="11240"/>
          </w:cols>
          <w:pgMar w:left="320" w:top="118"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20"/>
          <w:szCs w:val="20"/>
          <w:b w:val="1"/>
          <w:bCs w:val="1"/>
          <w:color w:val="auto"/>
        </w:rPr>
        <w:t>EXHIBIT 31.2</w:t>
      </w:r>
    </w:p>
    <w:p>
      <w:pPr>
        <w:spacing w:after="0" w:line="20" w:lineRule="exact"/>
        <w:rPr>
          <w:sz w:val="20"/>
          <w:szCs w:val="20"/>
          <w:color w:val="auto"/>
        </w:rPr>
      </w:pPr>
    </w:p>
    <w:p>
      <w:pPr>
        <w:jc w:val="right"/>
        <w:ind w:right="60"/>
        <w:spacing w:after="0"/>
        <w:rPr>
          <w:sz w:val="20"/>
          <w:szCs w:val="20"/>
          <w:color w:val="auto"/>
        </w:rPr>
      </w:pPr>
      <w:r>
        <w:rPr>
          <w:rFonts w:ascii="Arial" w:cs="Arial" w:eastAsia="Arial" w:hAnsi="Arial"/>
          <w:sz w:val="20"/>
          <w:szCs w:val="20"/>
          <w:b w:val="1"/>
          <w:bCs w:val="1"/>
          <w:color w:val="auto"/>
        </w:rPr>
        <w:t>CERTIFICATION BY THE CHIEF EXECUTIVE OFFICER PURSUANT TO SECTION 302 OF THE SARBANES-OXLEY ACT</w:t>
      </w:r>
    </w:p>
    <w:p>
      <w:pPr>
        <w:jc w:val="center"/>
        <w:spacing w:after="0"/>
        <w:rPr>
          <w:sz w:val="20"/>
          <w:szCs w:val="20"/>
          <w:color w:val="auto"/>
        </w:rPr>
      </w:pPr>
      <w:r>
        <w:rPr>
          <w:rFonts w:ascii="Arial" w:cs="Arial" w:eastAsia="Arial" w:hAnsi="Arial"/>
          <w:sz w:val="20"/>
          <w:szCs w:val="20"/>
          <w:b w:val="1"/>
          <w:bCs w:val="1"/>
          <w:color w:val="auto"/>
        </w:rPr>
        <w:t>OF 2002</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color w:val="auto"/>
        </w:rPr>
        <w:t>I, Scott W. Hart, certify that:</w:t>
      </w:r>
    </w:p>
    <w:p>
      <w:pPr>
        <w:spacing w:after="0" w:line="216" w:lineRule="exact"/>
        <w:rPr>
          <w:sz w:val="20"/>
          <w:szCs w:val="20"/>
          <w:color w:val="auto"/>
        </w:rPr>
      </w:pPr>
    </w:p>
    <w:p>
      <w:pPr>
        <w:ind w:left="860" w:hanging="204"/>
        <w:spacing w:after="0"/>
        <w:tabs>
          <w:tab w:leader="none" w:pos="8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StepStone Group Inc.;</w:t>
      </w:r>
    </w:p>
    <w:p>
      <w:pPr>
        <w:spacing w:after="0" w:line="215" w:lineRule="exact"/>
        <w:rPr>
          <w:rFonts w:ascii="Arial" w:cs="Arial" w:eastAsia="Arial" w:hAnsi="Arial"/>
          <w:sz w:val="20"/>
          <w:szCs w:val="20"/>
          <w:color w:val="auto"/>
        </w:rPr>
      </w:pPr>
    </w:p>
    <w:p>
      <w:pPr>
        <w:ind w:left="660" w:right="220" w:hanging="4"/>
        <w:spacing w:after="0" w:line="250" w:lineRule="auto"/>
        <w:tabs>
          <w:tab w:leader="none" w:pos="858" w:val="left"/>
        </w:tabs>
        <w:numPr>
          <w:ilvl w:val="0"/>
          <w:numId w:val="3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Arial" w:cs="Arial" w:eastAsia="Arial" w:hAnsi="Arial"/>
          <w:sz w:val="20"/>
          <w:szCs w:val="20"/>
          <w:color w:val="auto"/>
        </w:rPr>
      </w:pPr>
    </w:p>
    <w:p>
      <w:pPr>
        <w:ind w:left="660" w:right="60" w:hanging="4"/>
        <w:spacing w:after="0" w:line="250" w:lineRule="auto"/>
        <w:tabs>
          <w:tab w:leader="none" w:pos="858" w:val="left"/>
        </w:tabs>
        <w:numPr>
          <w:ilvl w:val="0"/>
          <w:numId w:val="37"/>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20"/>
          <w:szCs w:val="20"/>
          <w:color w:val="auto"/>
        </w:rPr>
      </w:pPr>
    </w:p>
    <w:p>
      <w:pPr>
        <w:ind w:left="660" w:right="80" w:hanging="4"/>
        <w:spacing w:after="0" w:line="260" w:lineRule="auto"/>
        <w:tabs>
          <w:tab w:leader="none" w:pos="858"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for the Registrant and have:</w:t>
      </w:r>
    </w:p>
    <w:p>
      <w:pPr>
        <w:spacing w:after="0" w:line="176" w:lineRule="exact"/>
        <w:rPr>
          <w:rFonts w:ascii="Arial" w:cs="Arial" w:eastAsia="Arial" w:hAnsi="Arial"/>
          <w:sz w:val="20"/>
          <w:szCs w:val="20"/>
          <w:color w:val="auto"/>
        </w:rPr>
      </w:pPr>
    </w:p>
    <w:p>
      <w:pPr>
        <w:jc w:val="both"/>
        <w:ind w:left="1300" w:right="20" w:firstLine="4"/>
        <w:spacing w:after="0" w:line="291" w:lineRule="auto"/>
        <w:tabs>
          <w:tab w:leader="none" w:pos="1487"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Arial" w:cs="Arial" w:eastAsia="Arial" w:hAnsi="Arial"/>
          <w:sz w:val="18"/>
          <w:szCs w:val="18"/>
          <w:color w:val="auto"/>
        </w:rPr>
      </w:pPr>
    </w:p>
    <w:p>
      <w:pPr>
        <w:ind w:left="1300" w:right="420" w:firstLine="4"/>
        <w:spacing w:after="0" w:line="250" w:lineRule="auto"/>
        <w:tabs>
          <w:tab w:leader="none" w:pos="1498" w:val="left"/>
        </w:tabs>
        <w:numPr>
          <w:ilvl w:val="1"/>
          <w:numId w:val="3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Arial" w:cs="Arial" w:eastAsia="Arial" w:hAnsi="Arial"/>
          <w:sz w:val="20"/>
          <w:szCs w:val="20"/>
          <w:color w:val="auto"/>
        </w:rPr>
      </w:pPr>
    </w:p>
    <w:p>
      <w:pPr>
        <w:ind w:left="1300" w:right="100" w:firstLine="4"/>
        <w:spacing w:after="0" w:line="250" w:lineRule="auto"/>
        <w:tabs>
          <w:tab w:leader="none" w:pos="1487" w:val="left"/>
        </w:tabs>
        <w:numPr>
          <w:ilvl w:val="1"/>
          <w:numId w:val="37"/>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5" w:lineRule="exact"/>
        <w:rPr>
          <w:rFonts w:ascii="Arial" w:cs="Arial" w:eastAsia="Arial" w:hAnsi="Arial"/>
          <w:sz w:val="20"/>
          <w:szCs w:val="20"/>
          <w:color w:val="auto"/>
        </w:rPr>
      </w:pPr>
    </w:p>
    <w:p>
      <w:pPr>
        <w:ind w:left="660" w:right="100" w:hanging="4"/>
        <w:spacing w:after="0" w:line="250" w:lineRule="auto"/>
        <w:tabs>
          <w:tab w:leader="none" w:pos="858"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20"/>
          <w:szCs w:val="20"/>
          <w:color w:val="auto"/>
        </w:rPr>
      </w:pPr>
    </w:p>
    <w:p>
      <w:pPr>
        <w:ind w:left="1300" w:right="140" w:firstLine="4"/>
        <w:spacing w:after="0" w:line="250" w:lineRule="auto"/>
        <w:tabs>
          <w:tab w:leader="none" w:pos="1487" w:val="left"/>
        </w:tabs>
        <w:numPr>
          <w:ilvl w:val="1"/>
          <w:numId w:val="37"/>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20"/>
          <w:szCs w:val="20"/>
          <w:color w:val="auto"/>
        </w:rPr>
      </w:pPr>
    </w:p>
    <w:p>
      <w:pPr>
        <w:ind w:left="1300" w:right="560" w:firstLine="4"/>
        <w:spacing w:after="0" w:line="260" w:lineRule="auto"/>
        <w:tabs>
          <w:tab w:leader="none" w:pos="1498" w:val="left"/>
        </w:tabs>
        <w:numPr>
          <w:ilvl w:val="1"/>
          <w:numId w:val="3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3480" w:type="dxa"/>
            <w:vAlign w:val="bottom"/>
          </w:tcPr>
          <w:p>
            <w:pPr>
              <w:spacing w:after="0"/>
              <w:rPr>
                <w:sz w:val="20"/>
                <w:szCs w:val="20"/>
                <w:color w:val="auto"/>
              </w:rPr>
            </w:pPr>
            <w:r>
              <w:rPr>
                <w:rFonts w:ascii="Arial" w:cs="Arial" w:eastAsia="Arial" w:hAnsi="Arial"/>
                <w:sz w:val="20"/>
                <w:szCs w:val="20"/>
                <w:color w:val="auto"/>
              </w:rPr>
              <w:t>Date: August 12, 2021</w:t>
            </w:r>
          </w:p>
        </w:tc>
        <w:tc>
          <w:tcPr>
            <w:tcW w:w="7740" w:type="dxa"/>
            <w:vAlign w:val="bottom"/>
            <w:gridSpan w:val="2"/>
          </w:tcPr>
          <w:p>
            <w:pPr>
              <w:ind w:left="1680"/>
              <w:spacing w:after="0"/>
              <w:rPr>
                <w:sz w:val="20"/>
                <w:szCs w:val="20"/>
                <w:color w:val="auto"/>
              </w:rPr>
            </w:pPr>
            <w:r>
              <w:rPr>
                <w:rFonts w:ascii="Arial" w:cs="Arial" w:eastAsia="Arial" w:hAnsi="Arial"/>
                <w:sz w:val="20"/>
                <w:szCs w:val="20"/>
                <w:color w:val="auto"/>
              </w:rPr>
              <w:t>By: /s/ Scott W. Hart</w:t>
            </w:r>
          </w:p>
        </w:tc>
      </w:tr>
      <w:tr>
        <w:trPr>
          <w:trHeight w:val="233"/>
        </w:trPr>
        <w:tc>
          <w:tcPr>
            <w:tcW w:w="34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76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Scott W. Hart</w:t>
            </w:r>
          </w:p>
        </w:tc>
      </w:tr>
      <w:tr>
        <w:trPr>
          <w:trHeight w:val="243"/>
        </w:trPr>
        <w:tc>
          <w:tcPr>
            <w:tcW w:w="34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20"/>
                <w:szCs w:val="20"/>
                <w:color w:val="auto"/>
              </w:rPr>
              <w:t>Co-Chief Executive Officer</w:t>
            </w:r>
          </w:p>
        </w:tc>
      </w:tr>
      <w:tr>
        <w:trPr>
          <w:trHeight w:val="250"/>
        </w:trPr>
        <w:tc>
          <w:tcPr>
            <w:tcW w:w="34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20"/>
                <w:szCs w:val="20"/>
                <w:i w:val="1"/>
                <w:iCs w:val="1"/>
                <w:color w:val="auto"/>
              </w:rPr>
              <w:t>(Principal Executive Officer)</w:t>
            </w:r>
          </w:p>
        </w:tc>
      </w:tr>
    </w:tbl>
    <w:p>
      <w:pPr>
        <w:sectPr>
          <w:pgSz w:w="11900" w:h="16838" w:orient="portrait"/>
          <w:cols w:equalWidth="0" w:num="1">
            <w:col w:w="11240"/>
          </w:cols>
          <w:pgMar w:left="320" w:top="118" w:right="339" w:bottom="1440" w:gutter="0" w:footer="0" w:header="0"/>
        </w:sectPr>
      </w:pPr>
    </w:p>
    <w:bookmarkStart w:id="64" w:name="page65"/>
    <w:bookmarkEnd w:id="64"/>
    <w:p>
      <w:pPr>
        <w:ind w:left="10000"/>
        <w:spacing w:after="0"/>
        <w:rPr>
          <w:sz w:val="20"/>
          <w:szCs w:val="20"/>
          <w:color w:val="auto"/>
        </w:rPr>
      </w:pPr>
      <w:r>
        <w:rPr>
          <w:rFonts w:ascii="Arial" w:cs="Arial" w:eastAsia="Arial" w:hAnsi="Arial"/>
          <w:sz w:val="20"/>
          <w:szCs w:val="20"/>
          <w:b w:val="1"/>
          <w:bCs w:val="1"/>
          <w:color w:val="auto"/>
        </w:rPr>
        <w:t>EXHIBIT 31.3</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CERTIFICATION BY THE CHIEF FINANCIAL OFFICER PURSUANT TO SECTION 302 OF THE SARBANES-OXLEY ACT</w:t>
      </w:r>
    </w:p>
    <w:p>
      <w:pPr>
        <w:jc w:val="center"/>
        <w:spacing w:after="0"/>
        <w:rPr>
          <w:sz w:val="20"/>
          <w:szCs w:val="20"/>
          <w:color w:val="auto"/>
        </w:rPr>
      </w:pPr>
      <w:r>
        <w:rPr>
          <w:rFonts w:ascii="Arial" w:cs="Arial" w:eastAsia="Arial" w:hAnsi="Arial"/>
          <w:sz w:val="20"/>
          <w:szCs w:val="20"/>
          <w:b w:val="1"/>
          <w:bCs w:val="1"/>
          <w:color w:val="auto"/>
        </w:rPr>
        <w:t>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color w:val="auto"/>
        </w:rPr>
        <w:t>I, Johnny D. Randel, certify that:</w:t>
      </w:r>
    </w:p>
    <w:p>
      <w:pPr>
        <w:spacing w:after="0" w:line="216" w:lineRule="exact"/>
        <w:rPr>
          <w:sz w:val="20"/>
          <w:szCs w:val="20"/>
          <w:color w:val="auto"/>
        </w:rPr>
      </w:pPr>
    </w:p>
    <w:p>
      <w:pPr>
        <w:ind w:left="860" w:hanging="204"/>
        <w:spacing w:after="0"/>
        <w:tabs>
          <w:tab w:leader="none" w:pos="8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StepStone Group Inc.;</w:t>
      </w:r>
    </w:p>
    <w:p>
      <w:pPr>
        <w:spacing w:after="0" w:line="215" w:lineRule="exact"/>
        <w:rPr>
          <w:rFonts w:ascii="Arial" w:cs="Arial" w:eastAsia="Arial" w:hAnsi="Arial"/>
          <w:sz w:val="20"/>
          <w:szCs w:val="20"/>
          <w:color w:val="auto"/>
        </w:rPr>
      </w:pPr>
    </w:p>
    <w:p>
      <w:pPr>
        <w:ind w:left="660" w:right="220" w:hanging="4"/>
        <w:spacing w:after="0" w:line="250" w:lineRule="auto"/>
        <w:tabs>
          <w:tab w:leader="none" w:pos="858" w:val="left"/>
        </w:tabs>
        <w:numPr>
          <w:ilvl w:val="0"/>
          <w:numId w:val="3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Arial" w:cs="Arial" w:eastAsia="Arial" w:hAnsi="Arial"/>
          <w:sz w:val="20"/>
          <w:szCs w:val="20"/>
          <w:color w:val="auto"/>
        </w:rPr>
      </w:pPr>
    </w:p>
    <w:p>
      <w:pPr>
        <w:ind w:left="660" w:right="60" w:hanging="4"/>
        <w:spacing w:after="0" w:line="250" w:lineRule="auto"/>
        <w:tabs>
          <w:tab w:leader="none" w:pos="858" w:val="left"/>
        </w:tabs>
        <w:numPr>
          <w:ilvl w:val="0"/>
          <w:numId w:val="38"/>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20"/>
          <w:szCs w:val="20"/>
          <w:color w:val="auto"/>
        </w:rPr>
      </w:pPr>
    </w:p>
    <w:p>
      <w:pPr>
        <w:ind w:left="660" w:right="80" w:hanging="4"/>
        <w:spacing w:after="0" w:line="260" w:lineRule="auto"/>
        <w:tabs>
          <w:tab w:leader="none" w:pos="858"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for the Registrant and have:</w:t>
      </w:r>
    </w:p>
    <w:p>
      <w:pPr>
        <w:spacing w:after="0" w:line="176" w:lineRule="exact"/>
        <w:rPr>
          <w:rFonts w:ascii="Arial" w:cs="Arial" w:eastAsia="Arial" w:hAnsi="Arial"/>
          <w:sz w:val="20"/>
          <w:szCs w:val="20"/>
          <w:color w:val="auto"/>
        </w:rPr>
      </w:pPr>
    </w:p>
    <w:p>
      <w:pPr>
        <w:jc w:val="both"/>
        <w:ind w:left="1300" w:right="20" w:firstLine="4"/>
        <w:spacing w:after="0" w:line="291" w:lineRule="auto"/>
        <w:tabs>
          <w:tab w:leader="none" w:pos="1487"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Arial" w:cs="Arial" w:eastAsia="Arial" w:hAnsi="Arial"/>
          <w:sz w:val="18"/>
          <w:szCs w:val="18"/>
          <w:color w:val="auto"/>
        </w:rPr>
      </w:pPr>
    </w:p>
    <w:p>
      <w:pPr>
        <w:ind w:left="1300" w:right="420" w:firstLine="4"/>
        <w:spacing w:after="0" w:line="250" w:lineRule="auto"/>
        <w:tabs>
          <w:tab w:leader="none" w:pos="1498" w:val="left"/>
        </w:tabs>
        <w:numPr>
          <w:ilvl w:val="1"/>
          <w:numId w:val="3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Arial" w:cs="Arial" w:eastAsia="Arial" w:hAnsi="Arial"/>
          <w:sz w:val="20"/>
          <w:szCs w:val="20"/>
          <w:color w:val="auto"/>
        </w:rPr>
      </w:pPr>
    </w:p>
    <w:p>
      <w:pPr>
        <w:ind w:left="1300" w:right="100" w:firstLine="4"/>
        <w:spacing w:after="0" w:line="250" w:lineRule="auto"/>
        <w:tabs>
          <w:tab w:leader="none" w:pos="1487" w:val="left"/>
        </w:tabs>
        <w:numPr>
          <w:ilvl w:val="1"/>
          <w:numId w:val="38"/>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5" w:lineRule="exact"/>
        <w:rPr>
          <w:rFonts w:ascii="Arial" w:cs="Arial" w:eastAsia="Arial" w:hAnsi="Arial"/>
          <w:sz w:val="20"/>
          <w:szCs w:val="20"/>
          <w:color w:val="auto"/>
        </w:rPr>
      </w:pPr>
    </w:p>
    <w:p>
      <w:pPr>
        <w:ind w:left="660" w:right="100" w:hanging="4"/>
        <w:spacing w:after="0" w:line="250" w:lineRule="auto"/>
        <w:tabs>
          <w:tab w:leader="none" w:pos="858"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20"/>
          <w:szCs w:val="20"/>
          <w:color w:val="auto"/>
        </w:rPr>
      </w:pPr>
    </w:p>
    <w:p>
      <w:pPr>
        <w:ind w:left="1300" w:right="140" w:firstLine="4"/>
        <w:spacing w:after="0" w:line="250" w:lineRule="auto"/>
        <w:tabs>
          <w:tab w:leader="none" w:pos="1487" w:val="left"/>
        </w:tabs>
        <w:numPr>
          <w:ilvl w:val="1"/>
          <w:numId w:val="38"/>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20"/>
          <w:szCs w:val="20"/>
          <w:color w:val="auto"/>
        </w:rPr>
      </w:pPr>
    </w:p>
    <w:p>
      <w:pPr>
        <w:ind w:left="1300" w:right="560" w:firstLine="4"/>
        <w:spacing w:after="0" w:line="260" w:lineRule="auto"/>
        <w:tabs>
          <w:tab w:leader="none" w:pos="1498" w:val="left"/>
        </w:tabs>
        <w:numPr>
          <w:ilvl w:val="1"/>
          <w:numId w:val="3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3480" w:type="dxa"/>
            <w:vAlign w:val="bottom"/>
          </w:tcPr>
          <w:p>
            <w:pPr>
              <w:spacing w:after="0"/>
              <w:rPr>
                <w:sz w:val="20"/>
                <w:szCs w:val="20"/>
                <w:color w:val="auto"/>
              </w:rPr>
            </w:pPr>
            <w:r>
              <w:rPr>
                <w:rFonts w:ascii="Arial" w:cs="Arial" w:eastAsia="Arial" w:hAnsi="Arial"/>
                <w:sz w:val="20"/>
                <w:szCs w:val="20"/>
                <w:color w:val="auto"/>
              </w:rPr>
              <w:t>Date: August 12, 2021</w:t>
            </w:r>
          </w:p>
        </w:tc>
        <w:tc>
          <w:tcPr>
            <w:tcW w:w="7740" w:type="dxa"/>
            <w:vAlign w:val="bottom"/>
            <w:gridSpan w:val="2"/>
          </w:tcPr>
          <w:p>
            <w:pPr>
              <w:ind w:left="1680"/>
              <w:spacing w:after="0"/>
              <w:rPr>
                <w:sz w:val="20"/>
                <w:szCs w:val="20"/>
                <w:color w:val="auto"/>
              </w:rPr>
            </w:pPr>
            <w:r>
              <w:rPr>
                <w:rFonts w:ascii="Arial" w:cs="Arial" w:eastAsia="Arial" w:hAnsi="Arial"/>
                <w:sz w:val="20"/>
                <w:szCs w:val="20"/>
                <w:color w:val="auto"/>
              </w:rPr>
              <w:t>By: /s/ Johnny D. Randel</w:t>
            </w:r>
          </w:p>
        </w:tc>
      </w:tr>
      <w:tr>
        <w:trPr>
          <w:trHeight w:val="233"/>
        </w:trPr>
        <w:tc>
          <w:tcPr>
            <w:tcW w:w="34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76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Johnny D. Randel</w:t>
            </w:r>
          </w:p>
        </w:tc>
      </w:tr>
      <w:tr>
        <w:trPr>
          <w:trHeight w:val="243"/>
        </w:trPr>
        <w:tc>
          <w:tcPr>
            <w:tcW w:w="34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20"/>
                <w:szCs w:val="20"/>
                <w:color w:val="auto"/>
              </w:rPr>
              <w:t>Chief Financial Officer</w:t>
            </w:r>
          </w:p>
        </w:tc>
      </w:tr>
      <w:tr>
        <w:trPr>
          <w:trHeight w:val="250"/>
        </w:trPr>
        <w:tc>
          <w:tcPr>
            <w:tcW w:w="34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20"/>
                <w:szCs w:val="20"/>
                <w:i w:val="1"/>
                <w:iCs w:val="1"/>
                <w:color w:val="auto"/>
              </w:rPr>
              <w:t>(Principal Financial Officer)</w:t>
            </w:r>
          </w:p>
        </w:tc>
      </w:tr>
    </w:tbl>
    <w:p>
      <w:pPr>
        <w:sectPr>
          <w:pgSz w:w="11900" w:h="16838" w:orient="portrait"/>
          <w:cols w:equalWidth="0" w:num="1">
            <w:col w:w="11240"/>
          </w:cols>
          <w:pgMar w:left="320" w:top="118"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20"/>
          <w:szCs w:val="20"/>
          <w:b w:val="1"/>
          <w:bCs w:val="1"/>
          <w:color w:val="auto"/>
        </w:rPr>
        <w:t>EXHIBIT 32.1</w:t>
      </w:r>
    </w:p>
    <w:p>
      <w:pPr>
        <w:spacing w:after="0" w:line="20"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CERTIFICATION PURSUANT TO 18 U.S.C. SECTION 1350 AS ADOPTED PURSUANT TO SECTION 906 OF THE</w:t>
      </w:r>
    </w:p>
    <w:p>
      <w:pPr>
        <w:ind w:left="4100"/>
        <w:spacing w:after="0"/>
        <w:rPr>
          <w:sz w:val="20"/>
          <w:szCs w:val="20"/>
          <w:color w:val="auto"/>
        </w:rPr>
      </w:pPr>
      <w:r>
        <w:rPr>
          <w:rFonts w:ascii="Arial" w:cs="Arial" w:eastAsia="Arial" w:hAnsi="Arial"/>
          <w:sz w:val="20"/>
          <w:szCs w:val="20"/>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In connection with the Quarterly Report of StepStone Group Inc. (the “Company”) on Form 10-Q for the three months ended</w:t>
      </w:r>
    </w:p>
    <w:p>
      <w:pPr>
        <w:spacing w:after="0" w:line="16"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June 30, 2021, as filed with the Securities and Exchange Commission (the “SEC”) on or about the date hereof (the “Report”), I, Monte Brem, Co-Chief Executive Officer of the Company certify, pursuant to 18 U.S.C. Section 1350, as adopted pursuant to Section 906 of the Sarbanes-Oxley Act of 2002, that to my knowledge:</w:t>
      </w:r>
    </w:p>
    <w:p>
      <w:pPr>
        <w:spacing w:after="0" w:line="196" w:lineRule="exact"/>
        <w:rPr>
          <w:sz w:val="20"/>
          <w:szCs w:val="20"/>
          <w:color w:val="auto"/>
        </w:rPr>
      </w:pPr>
    </w:p>
    <w:p>
      <w:pPr>
        <w:ind w:left="640" w:hanging="308"/>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8" w:lineRule="exact"/>
        <w:rPr>
          <w:rFonts w:ascii="Arial" w:cs="Arial" w:eastAsia="Arial" w:hAnsi="Arial"/>
          <w:sz w:val="18"/>
          <w:szCs w:val="18"/>
          <w:color w:val="auto"/>
        </w:rPr>
      </w:pPr>
    </w:p>
    <w:p>
      <w:pPr>
        <w:ind w:left="660" w:right="260" w:hanging="328"/>
        <w:spacing w:after="0" w:line="260" w:lineRule="auto"/>
        <w:tabs>
          <w:tab w:leader="none" w:pos="648"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Date: August 12, 2021</w:t>
      </w:r>
    </w:p>
    <w:p>
      <w:pPr>
        <w:spacing w:after="0" w:line="40" w:lineRule="exact"/>
        <w:rPr>
          <w:sz w:val="20"/>
          <w:szCs w:val="20"/>
          <w:color w:val="auto"/>
        </w:rPr>
      </w:pPr>
    </w:p>
    <w:tbl>
      <w:tblPr>
        <w:tblLayout w:type="fixed"/>
        <w:tblInd w:w="5300" w:type="dxa"/>
        <w:tblCellMar>
          <w:top w:w="0" w:type="dxa"/>
          <w:left w:w="0" w:type="dxa"/>
          <w:bottom w:w="0" w:type="dxa"/>
          <w:right w:w="0" w:type="dxa"/>
        </w:tblCellMar>
      </w:tblPr>
      <w:tr>
        <w:trPr>
          <w:trHeight w:val="246"/>
        </w:trPr>
        <w:tc>
          <w:tcPr>
            <w:tcW w:w="320" w:type="dxa"/>
            <w:vAlign w:val="bottom"/>
          </w:tcPr>
          <w:p>
            <w:pPr>
              <w:spacing w:after="0"/>
              <w:rPr>
                <w:sz w:val="20"/>
                <w:szCs w:val="20"/>
                <w:color w:val="auto"/>
              </w:rPr>
            </w:pPr>
            <w:r>
              <w:rPr>
                <w:rFonts w:ascii="Arial" w:cs="Arial" w:eastAsia="Arial" w:hAnsi="Arial"/>
                <w:sz w:val="20"/>
                <w:szCs w:val="20"/>
                <w:color w:val="auto"/>
              </w:rPr>
              <w:t>By:</w:t>
            </w:r>
          </w:p>
        </w:tc>
        <w:tc>
          <w:tcPr>
            <w:tcW w:w="5620" w:type="dxa"/>
            <w:vAlign w:val="bottom"/>
            <w:tcBorders>
              <w:bottom w:val="single" w:sz="8" w:color="auto"/>
            </w:tcBorders>
          </w:tcPr>
          <w:p>
            <w:pPr>
              <w:ind w:left="660"/>
              <w:spacing w:after="0"/>
              <w:rPr>
                <w:sz w:val="20"/>
                <w:szCs w:val="20"/>
                <w:color w:val="auto"/>
              </w:rPr>
            </w:pPr>
            <w:r>
              <w:rPr>
                <w:rFonts w:ascii="Arial" w:cs="Arial" w:eastAsia="Arial" w:hAnsi="Arial"/>
                <w:sz w:val="20"/>
                <w:szCs w:val="20"/>
                <w:color w:val="auto"/>
              </w:rPr>
              <w:t>/s/ Monte Brem</w:t>
            </w:r>
          </w:p>
        </w:tc>
      </w:tr>
      <w:tr>
        <w:trPr>
          <w:trHeight w:val="233"/>
        </w:trPr>
        <w:tc>
          <w:tcPr>
            <w:tcW w:w="320" w:type="dxa"/>
            <w:vAlign w:val="bottom"/>
          </w:tcPr>
          <w:p>
            <w:pPr>
              <w:spacing w:after="0"/>
              <w:rPr>
                <w:sz w:val="20"/>
                <w:szCs w:val="20"/>
                <w:color w:val="auto"/>
              </w:rPr>
            </w:pPr>
          </w:p>
        </w:tc>
        <w:tc>
          <w:tcPr>
            <w:tcW w:w="5620" w:type="dxa"/>
            <w:vAlign w:val="bottom"/>
          </w:tcPr>
          <w:p>
            <w:pPr>
              <w:ind w:left="660"/>
              <w:spacing w:after="0"/>
              <w:rPr>
                <w:sz w:val="20"/>
                <w:szCs w:val="20"/>
                <w:color w:val="auto"/>
              </w:rPr>
            </w:pPr>
            <w:r>
              <w:rPr>
                <w:rFonts w:ascii="Arial" w:cs="Arial" w:eastAsia="Arial" w:hAnsi="Arial"/>
                <w:sz w:val="20"/>
                <w:szCs w:val="20"/>
                <w:color w:val="auto"/>
              </w:rPr>
              <w:t>Monte Brem</w:t>
            </w:r>
          </w:p>
        </w:tc>
      </w:tr>
      <w:tr>
        <w:trPr>
          <w:trHeight w:val="243"/>
        </w:trPr>
        <w:tc>
          <w:tcPr>
            <w:tcW w:w="320" w:type="dxa"/>
            <w:vAlign w:val="bottom"/>
          </w:tcPr>
          <w:p>
            <w:pPr>
              <w:spacing w:after="0"/>
              <w:rPr>
                <w:sz w:val="21"/>
                <w:szCs w:val="21"/>
                <w:color w:val="auto"/>
              </w:rPr>
            </w:pPr>
          </w:p>
        </w:tc>
        <w:tc>
          <w:tcPr>
            <w:tcW w:w="5620" w:type="dxa"/>
            <w:vAlign w:val="bottom"/>
          </w:tcPr>
          <w:p>
            <w:pPr>
              <w:ind w:left="660"/>
              <w:spacing w:after="0"/>
              <w:rPr>
                <w:sz w:val="20"/>
                <w:szCs w:val="20"/>
                <w:color w:val="auto"/>
              </w:rPr>
            </w:pPr>
            <w:r>
              <w:rPr>
                <w:rFonts w:ascii="Arial" w:cs="Arial" w:eastAsia="Arial" w:hAnsi="Arial"/>
                <w:sz w:val="20"/>
                <w:szCs w:val="20"/>
                <w:color w:val="auto"/>
              </w:rPr>
              <w:t>Co-Chief Executive Officer</w:t>
            </w:r>
          </w:p>
        </w:tc>
      </w:tr>
      <w:tr>
        <w:trPr>
          <w:trHeight w:val="250"/>
        </w:trPr>
        <w:tc>
          <w:tcPr>
            <w:tcW w:w="320" w:type="dxa"/>
            <w:vAlign w:val="bottom"/>
          </w:tcPr>
          <w:p>
            <w:pPr>
              <w:spacing w:after="0"/>
              <w:rPr>
                <w:sz w:val="21"/>
                <w:szCs w:val="21"/>
                <w:color w:val="auto"/>
              </w:rPr>
            </w:pPr>
          </w:p>
        </w:tc>
        <w:tc>
          <w:tcPr>
            <w:tcW w:w="5620" w:type="dxa"/>
            <w:vAlign w:val="bottom"/>
          </w:tcPr>
          <w:p>
            <w:pPr>
              <w:ind w:left="660"/>
              <w:spacing w:after="0"/>
              <w:rPr>
                <w:sz w:val="20"/>
                <w:szCs w:val="20"/>
                <w:color w:val="auto"/>
              </w:rPr>
            </w:pPr>
            <w:r>
              <w:rPr>
                <w:rFonts w:ascii="Arial" w:cs="Arial" w:eastAsia="Arial" w:hAnsi="Arial"/>
                <w:sz w:val="20"/>
                <w:szCs w:val="20"/>
                <w:i w:val="1"/>
                <w:iCs w:val="1"/>
                <w:color w:val="auto"/>
              </w:rPr>
              <w:t>(Principal Executive Officer)</w:t>
            </w:r>
          </w:p>
        </w:tc>
      </w:tr>
    </w:tbl>
    <w:p>
      <w:pPr>
        <w:spacing w:after="0" w:line="290" w:lineRule="exact"/>
        <w:rPr>
          <w:sz w:val="20"/>
          <w:szCs w:val="20"/>
          <w:color w:val="auto"/>
        </w:rPr>
      </w:pPr>
    </w:p>
    <w:p>
      <w:pPr>
        <w:ind w:right="340" w:firstLine="648"/>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the Company and will be retained by the Company and furnished to the SEC or its staff on request.</w:t>
      </w:r>
    </w:p>
    <w:p>
      <w:pPr>
        <w:sectPr>
          <w:pgSz w:w="11900" w:h="16838" w:orient="portrait"/>
          <w:cols w:equalWidth="0" w:num="1">
            <w:col w:w="11240"/>
          </w:cols>
          <w:pgMar w:left="320" w:top="118"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20"/>
          <w:szCs w:val="20"/>
          <w:b w:val="1"/>
          <w:bCs w:val="1"/>
          <w:color w:val="auto"/>
        </w:rPr>
        <w:t>EXHIBIT 32.2</w:t>
      </w:r>
    </w:p>
    <w:p>
      <w:pPr>
        <w:spacing w:after="0" w:line="20"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CERTIFICATION PURSUANT TO 18 U.S.C. SECTION 1350 AS ADOPTED PURSUANT TO SECTION 906 OF THE</w:t>
      </w:r>
    </w:p>
    <w:p>
      <w:pPr>
        <w:ind w:left="4100"/>
        <w:spacing w:after="0"/>
        <w:rPr>
          <w:sz w:val="20"/>
          <w:szCs w:val="20"/>
          <w:color w:val="auto"/>
        </w:rPr>
      </w:pPr>
      <w:r>
        <w:rPr>
          <w:rFonts w:ascii="Arial" w:cs="Arial" w:eastAsia="Arial" w:hAnsi="Arial"/>
          <w:sz w:val="20"/>
          <w:szCs w:val="20"/>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400" w:firstLine="648"/>
        <w:spacing w:after="0" w:line="246" w:lineRule="auto"/>
        <w:rPr>
          <w:sz w:val="20"/>
          <w:szCs w:val="20"/>
          <w:color w:val="auto"/>
        </w:rPr>
      </w:pPr>
      <w:r>
        <w:rPr>
          <w:rFonts w:ascii="Arial" w:cs="Arial" w:eastAsia="Arial" w:hAnsi="Arial"/>
          <w:sz w:val="20"/>
          <w:szCs w:val="20"/>
          <w:color w:val="auto"/>
        </w:rPr>
        <w:t>In connection with the Quarterly Report of StepStone Group Inc. (the “Company”) on Form 10-Q for the three months ended June 30, 2021, as filed with the Securities and Exchange Commission (the “SEC”) on or about the date hereof (the “Report”), I, Scott W. Hart, Co-Chief Executive Officer of the Company certify, pursuant to 18 U.S.C. Section 1350, as adopted pursuant to Section 906 of the Sarbanes-Oxley Act of 2002, that to my knowledge:</w:t>
      </w:r>
    </w:p>
    <w:p>
      <w:pPr>
        <w:spacing w:after="0" w:line="191" w:lineRule="exact"/>
        <w:rPr>
          <w:sz w:val="20"/>
          <w:szCs w:val="20"/>
          <w:color w:val="auto"/>
        </w:rPr>
      </w:pPr>
    </w:p>
    <w:p>
      <w:pPr>
        <w:ind w:left="640" w:hanging="308"/>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8" w:lineRule="exact"/>
        <w:rPr>
          <w:rFonts w:ascii="Arial" w:cs="Arial" w:eastAsia="Arial" w:hAnsi="Arial"/>
          <w:sz w:val="18"/>
          <w:szCs w:val="18"/>
          <w:color w:val="auto"/>
        </w:rPr>
      </w:pPr>
    </w:p>
    <w:p>
      <w:pPr>
        <w:ind w:left="660" w:right="260" w:hanging="328"/>
        <w:spacing w:after="0" w:line="260" w:lineRule="auto"/>
        <w:tabs>
          <w:tab w:leader="none" w:pos="648"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76"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Date: August 12, 2021</w:t>
      </w:r>
    </w:p>
    <w:p>
      <w:pPr>
        <w:spacing w:after="0" w:line="256"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By: /s/ Scott W.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10160</wp:posOffset>
            </wp:positionV>
            <wp:extent cx="36601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3660140" cy="8890"/>
                    </a:xfrm>
                    <a:prstGeom prst="rect">
                      <a:avLst/>
                    </a:prstGeom>
                    <a:noFill/>
                  </pic:spPr>
                </pic:pic>
              </a:graphicData>
            </a:graphic>
          </wp:anchor>
        </w:drawing>
      </w:r>
    </w:p>
    <w:p>
      <w:pPr>
        <w:spacing w:after="0" w:line="7"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Scott W. Hart</w:t>
      </w:r>
    </w:p>
    <w:p>
      <w:pPr>
        <w:spacing w:after="0" w:line="20"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Co-Chief Executive Officer</w:t>
      </w:r>
    </w:p>
    <w:p>
      <w:pPr>
        <w:spacing w:after="0" w:line="13" w:lineRule="exact"/>
        <w:rPr>
          <w:sz w:val="20"/>
          <w:szCs w:val="20"/>
          <w:color w:val="auto"/>
        </w:rPr>
      </w:pPr>
    </w:p>
    <w:p>
      <w:pPr>
        <w:ind w:left="5500"/>
        <w:spacing w:after="0"/>
        <w:rPr>
          <w:sz w:val="20"/>
          <w:szCs w:val="20"/>
          <w:color w:val="auto"/>
        </w:rPr>
      </w:pPr>
      <w:r>
        <w:rPr>
          <w:rFonts w:ascii="Arial" w:cs="Arial" w:eastAsia="Arial" w:hAnsi="Arial"/>
          <w:sz w:val="20"/>
          <w:szCs w:val="20"/>
          <w:i w:val="1"/>
          <w:iCs w:val="1"/>
          <w:color w:val="auto"/>
        </w:rPr>
        <w:t>(Principal Executive Officer)</w:t>
      </w:r>
    </w:p>
    <w:p>
      <w:pPr>
        <w:spacing w:after="0" w:line="303" w:lineRule="exact"/>
        <w:rPr>
          <w:sz w:val="20"/>
          <w:szCs w:val="20"/>
          <w:color w:val="auto"/>
        </w:rPr>
      </w:pPr>
    </w:p>
    <w:p>
      <w:pPr>
        <w:ind w:right="340" w:firstLine="648"/>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the Company and will be retained by the Company and furnished to the SEC or its staff on request.</w:t>
      </w:r>
    </w:p>
    <w:p>
      <w:pPr>
        <w:sectPr>
          <w:pgSz w:w="11900" w:h="16838" w:orient="portrait"/>
          <w:cols w:equalWidth="0" w:num="1">
            <w:col w:w="11240"/>
          </w:cols>
          <w:pgMar w:left="320" w:top="118"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20"/>
          <w:szCs w:val="20"/>
          <w:b w:val="1"/>
          <w:bCs w:val="1"/>
          <w:color w:val="auto"/>
        </w:rPr>
        <w:t>EXHIBIT 32.3</w:t>
      </w:r>
    </w:p>
    <w:p>
      <w:pPr>
        <w:spacing w:after="0" w:line="20"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CERTIFICATION PURSUANT TO 18 U.S.C. SECTION 1350 AS ADOPTED PURSUANT TO SECTION 906 OF THE</w:t>
      </w:r>
    </w:p>
    <w:p>
      <w:pPr>
        <w:ind w:left="4100"/>
        <w:spacing w:after="0"/>
        <w:rPr>
          <w:sz w:val="20"/>
          <w:szCs w:val="20"/>
          <w:color w:val="auto"/>
        </w:rPr>
      </w:pPr>
      <w:r>
        <w:rPr>
          <w:rFonts w:ascii="Arial" w:cs="Arial" w:eastAsia="Arial" w:hAnsi="Arial"/>
          <w:sz w:val="20"/>
          <w:szCs w:val="20"/>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60" w:firstLine="648"/>
        <w:spacing w:after="0" w:line="246" w:lineRule="auto"/>
        <w:rPr>
          <w:sz w:val="20"/>
          <w:szCs w:val="20"/>
          <w:color w:val="auto"/>
        </w:rPr>
      </w:pPr>
      <w:r>
        <w:rPr>
          <w:rFonts w:ascii="Arial" w:cs="Arial" w:eastAsia="Arial" w:hAnsi="Arial"/>
          <w:sz w:val="20"/>
          <w:szCs w:val="20"/>
          <w:color w:val="auto"/>
        </w:rPr>
        <w:t>In connection with the Quarterly Report of StepStone Group Inc. (the “Company”) on Form 10-Q for the three months ended June 30, 2021, as filed with the Securities and Exchange Commission (the “SEC”) on or about the date hereof (the “Report”), I, Johnny D. Randel, Chief Financial Officer of the Company certify, pursuant to 18 U.S.C. Section 1350, as adopted pursuant to Section 906 of the Sarbanes-Oxley Act of 2002, that to my knowledge:</w:t>
      </w:r>
    </w:p>
    <w:p>
      <w:pPr>
        <w:spacing w:after="0" w:line="191" w:lineRule="exact"/>
        <w:rPr>
          <w:sz w:val="20"/>
          <w:szCs w:val="20"/>
          <w:color w:val="auto"/>
        </w:rPr>
      </w:pPr>
    </w:p>
    <w:p>
      <w:pPr>
        <w:ind w:left="640" w:hanging="308"/>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8" w:lineRule="exact"/>
        <w:rPr>
          <w:rFonts w:ascii="Arial" w:cs="Arial" w:eastAsia="Arial" w:hAnsi="Arial"/>
          <w:sz w:val="18"/>
          <w:szCs w:val="18"/>
          <w:color w:val="auto"/>
        </w:rPr>
      </w:pPr>
    </w:p>
    <w:p>
      <w:pPr>
        <w:ind w:left="660" w:right="260" w:hanging="328"/>
        <w:spacing w:after="0" w:line="260" w:lineRule="auto"/>
        <w:tabs>
          <w:tab w:leader="none" w:pos="648"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76"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Date: August 12, 2021</w:t>
      </w:r>
    </w:p>
    <w:p>
      <w:pPr>
        <w:spacing w:after="0" w:line="256"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By: /s/ Johnny D. Randel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10160</wp:posOffset>
            </wp:positionV>
            <wp:extent cx="366014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3660140" cy="8890"/>
                    </a:xfrm>
                    <a:prstGeom prst="rect">
                      <a:avLst/>
                    </a:prstGeom>
                    <a:noFill/>
                  </pic:spPr>
                </pic:pic>
              </a:graphicData>
            </a:graphic>
          </wp:anchor>
        </w:drawing>
      </w:r>
    </w:p>
    <w:p>
      <w:pPr>
        <w:spacing w:after="0" w:line="7"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Johnny D. Randel</w:t>
      </w:r>
    </w:p>
    <w:p>
      <w:pPr>
        <w:spacing w:after="0" w:line="20"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Chief Financial Officer</w:t>
      </w:r>
    </w:p>
    <w:p>
      <w:pPr>
        <w:spacing w:after="0" w:line="13" w:lineRule="exact"/>
        <w:rPr>
          <w:sz w:val="20"/>
          <w:szCs w:val="20"/>
          <w:color w:val="auto"/>
        </w:rPr>
      </w:pPr>
    </w:p>
    <w:p>
      <w:pPr>
        <w:ind w:left="5500"/>
        <w:spacing w:after="0"/>
        <w:rPr>
          <w:sz w:val="20"/>
          <w:szCs w:val="20"/>
          <w:color w:val="auto"/>
        </w:rPr>
      </w:pPr>
      <w:r>
        <w:rPr>
          <w:rFonts w:ascii="Arial" w:cs="Arial" w:eastAsia="Arial" w:hAnsi="Arial"/>
          <w:sz w:val="20"/>
          <w:szCs w:val="20"/>
          <w:i w:val="1"/>
          <w:iCs w:val="1"/>
          <w:color w:val="auto"/>
        </w:rPr>
        <w:t>(Principal Financial Officer)</w:t>
      </w:r>
    </w:p>
    <w:p>
      <w:pPr>
        <w:spacing w:after="0" w:line="303" w:lineRule="exact"/>
        <w:rPr>
          <w:sz w:val="20"/>
          <w:szCs w:val="20"/>
          <w:color w:val="auto"/>
        </w:rPr>
      </w:pPr>
    </w:p>
    <w:p>
      <w:pPr>
        <w:ind w:right="340" w:firstLine="648"/>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the Company and will be retained by the Company and furnished to the SEC or its staff on request.</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1."/>
      <w:numFmt w:val="decimal"/>
      <w:start w:val="2"/>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endash "/>
      <w:numFmt w:val="bullet"/>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decimal"/>
      <w:start w:val="13"/>
    </w:lvl>
  </w:abstractNum>
  <w:abstractNum w:abstractNumId="11">
    <w:nsid w:val="189A769B"/>
    <w:multiLevelType w:val="hybridMultilevel"/>
    <w:lvl w:ilvl="0">
      <w:lvlJc w:val="left"/>
      <w:lvlText w:val="(%1)"/>
      <w:numFmt w:val="decimal"/>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1)"/>
      <w:numFmt w:val="decimal"/>
      <w:start w:val="2"/>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1)"/>
      <w:numFmt w:val="decimal"/>
      <w:start w:val="4"/>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1)"/>
      <w:numFmt w:val="decimal"/>
      <w:start w:val="1"/>
    </w:lvl>
    <w:lvl w:ilvl="1">
      <w:lvlJc w:val="left"/>
      <w:lvlText w:val="%2."/>
      <w:numFmt w:val="lowerRoman"/>
      <w:start w:val="1"/>
    </w:lvl>
  </w:abstractNum>
  <w:abstractNum w:abstractNumId="28">
    <w:nsid w:val="5577F8E1"/>
    <w:multiLevelType w:val="hybridMultilevel"/>
    <w:lvl w:ilvl="0">
      <w:lvlJc w:val="left"/>
      <w:lvlText w:val="(%1)"/>
      <w:numFmt w:val="decimal"/>
      <w:start w:val="3"/>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1"/>
      <w:numFmt w:val="decimal"/>
      <w:start w:val="101"/>
    </w:lvl>
  </w:abstractNum>
  <w:abstractNum w:abstractNumId="35">
    <w:nsid w:val="2463B9EA"/>
    <w:multiLevelType w:val="hybridMultilevel"/>
    <w:lvl w:ilvl="0">
      <w:lvlJc w:val="left"/>
      <w:lvlText w:val="%1."/>
      <w:numFmt w:val="decimal"/>
      <w:start w:val="1"/>
    </w:lvl>
    <w:lvl w:ilvl="1">
      <w:lvlJc w:val="left"/>
      <w:lvlText w:val="%2."/>
      <w:numFmt w:val="lowerLetter"/>
      <w:start w:val="1"/>
    </w:lvl>
  </w:abstractNum>
  <w:abstractNum w:abstractNumId="36">
    <w:nsid w:val="5E884ADC"/>
    <w:multiLevelType w:val="hybridMultilevel"/>
    <w:lvl w:ilvl="0">
      <w:lvlJc w:val="left"/>
      <w:lvlText w:val="%1."/>
      <w:numFmt w:val="decimal"/>
      <w:start w:val="1"/>
    </w:lvl>
    <w:lvl w:ilvl="1">
      <w:lvlJc w:val="left"/>
      <w:lvlText w:val="%2."/>
      <w:numFmt w:val="lowerLetter"/>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0" Type="http://schemas.openxmlformats.org/officeDocument/2006/relationships/hyperlink" Target="https://www.sec.gov/Archives/edgar/data/1796022/000119312521209305/d197424dex21.htm" TargetMode="External"/><Relationship Id="rId81" Type="http://schemas.openxmlformats.org/officeDocument/2006/relationships/hyperlink" Target="https://www.sec.gov/Archives/edgar/data/1796022/000119312520248881/d23934dex31.htm" TargetMode="External"/><Relationship Id="rId82" Type="http://schemas.openxmlformats.org/officeDocument/2006/relationships/hyperlink" Target="https://www.sec.gov/Archives/edgar/data/1796022/000119312520248881/d23934dex32.htm" TargetMode="External"/><Relationship Id="rId83" Type="http://schemas.openxmlformats.org/officeDocument/2006/relationships/hyperlink" Target="https://www.sec.gov/Archives/edgar/data/1796022/000119312521209305/d19742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2021-08-12T15:27:46Z</dcterms:created>
  <dcterms:modified xsi:type="dcterms:W3CDTF">2021-08-12T15:27:46Z</dcterms:modified>
</cp:coreProperties>
</file>