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0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60" w:after="24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40"/>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10-Q</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September 30, 2024 </w:t>
      </w:r>
    </w:p>
    <w:p>
      <w:pPr>
        <w:pStyle w:val="TextBody"/>
        <w:bidi w:val="0"/>
        <w:spacing w:lineRule="auto" w:line="288" w:before="0" w:after="240"/>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24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_______________________ to ___________________________</w:t>
      </w:r>
    </w:p>
    <w:p>
      <w:pPr>
        <w:pStyle w:val="TextBody"/>
        <w:bidi w:val="0"/>
        <w:spacing w:lineRule="auto" w:line="288" w:before="120" w:after="240"/>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 001-39510</w:t>
      </w:r>
    </w:p>
    <w:p>
      <w:pPr>
        <w:pStyle w:val="TextBody"/>
        <w:bidi w:val="0"/>
        <w:spacing w:lineRule="auto" w:line="288" w:before="60" w:after="240"/>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STEPSTONE GROUP INC.</w:t>
      </w:r>
    </w:p>
    <w:p>
      <w:pPr>
        <w:pStyle w:val="TextBody"/>
        <w:bidi w:val="0"/>
        <w:spacing w:lineRule="auto" w:line="288" w:before="60" w:after="24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4630" w:type="dxa"/>
        <w:jc w:val="center"/>
        <w:tblInd w:w="0" w:type="dxa"/>
        <w:tblLayout w:type="fixed"/>
        <w:tblCellMar>
          <w:top w:w="28" w:type="dxa"/>
          <w:left w:w="28" w:type="dxa"/>
          <w:bottom w:w="28" w:type="dxa"/>
          <w:right w:w="28" w:type="dxa"/>
        </w:tblCellMar>
      </w:tblPr>
      <w:tblGrid>
        <w:gridCol w:w="1037"/>
        <w:gridCol w:w="911"/>
        <w:gridCol w:w="916"/>
        <w:gridCol w:w="109"/>
        <w:gridCol w:w="109"/>
        <w:gridCol w:w="109"/>
        <w:gridCol w:w="419"/>
        <w:gridCol w:w="419"/>
        <w:gridCol w:w="601"/>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84-3868757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277 Park Avenue, 45</w:t>
            </w:r>
            <w:r>
              <w:rPr>
                <w:rFonts w:ascii="Times New Roman;sans-serif" w:hAnsi="Times New Roman;sans-serif"/>
                <w:b/>
                <w:color w:val="000000"/>
                <w:sz w:val="10"/>
              </w:rPr>
              <w:t>th</w:t>
            </w:r>
            <w:r>
              <w:rPr>
                <w:color w:val="000000"/>
              </w:rPr>
              <w:t xml:space="preserve"> </w:t>
            </w:r>
            <w:r>
              <w:rPr>
                <w:rFonts w:ascii="Times New Roman;sans-serif" w:hAnsi="Times New Roman;sans-serif"/>
                <w:b/>
                <w:color w:val="000000"/>
                <w:sz w:val="16"/>
              </w:rPr>
              <w:t>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10172</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240"/>
        <w:ind w:left="0" w:right="0" w:firstLine="360"/>
        <w:jc w:val="center"/>
        <w:rPr/>
      </w:pPr>
      <w:r>
        <w:rPr>
          <w:rFonts w:ascii="Times New Roman;sans-serif" w:hAnsi="Times New Roman;sans-serif"/>
          <w:b/>
          <w:color w:val="000000"/>
          <w:sz w:val="16"/>
        </w:rPr>
        <w:t>(212)</w:t>
      </w:r>
      <w:r>
        <w:rPr>
          <w:color w:val="000000"/>
        </w:rPr>
        <w:t xml:space="preserve"> </w:t>
      </w:r>
      <w:r>
        <w:rPr>
          <w:rFonts w:ascii="Times New Roman;sans-serif" w:hAnsi="Times New Roman;sans-serif"/>
          <w:b/>
          <w:color w:val="000000"/>
          <w:sz w:val="16"/>
        </w:rPr>
        <w:t>351-6100</w:t>
      </w:r>
    </w:p>
    <w:p>
      <w:pPr>
        <w:pStyle w:val="TextBody"/>
        <w:bidi w:val="0"/>
        <w:spacing w:lineRule="auto" w:line="288" w:before="0" w:after="24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632"/>
        <w:gridCol w:w="630"/>
        <w:gridCol w:w="630"/>
        <w:gridCol w:w="630"/>
        <w:gridCol w:w="630"/>
        <w:gridCol w:w="630"/>
        <w:gridCol w:w="192"/>
        <w:gridCol w:w="192"/>
        <w:gridCol w:w="192"/>
        <w:gridCol w:w="469"/>
        <w:gridCol w:w="469"/>
        <w:gridCol w:w="471"/>
        <w:gridCol w:w="192"/>
        <w:gridCol w:w="192"/>
        <w:gridCol w:w="192"/>
        <w:gridCol w:w="524"/>
        <w:gridCol w:w="523"/>
        <w:gridCol w:w="522"/>
        <w:gridCol w:w="522"/>
        <w:gridCol w:w="522"/>
        <w:gridCol w:w="522"/>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 $0.001 par value per share</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STEP</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4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4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124"/>
        <w:gridCol w:w="109"/>
        <w:gridCol w:w="109"/>
        <w:gridCol w:w="679"/>
        <w:gridCol w:w="679"/>
        <w:gridCol w:w="681"/>
        <w:gridCol w:w="109"/>
        <w:gridCol w:w="109"/>
        <w:gridCol w:w="109"/>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80" w:after="24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val="false"/>
          <w:color w:val="000000"/>
          <w:sz w:val="18"/>
          <w:shd w:fill="FFFFFF" w:val="clear"/>
        </w:rPr>
        <w:t xml:space="preserve">. </w:t>
      </w:r>
      <w:r>
        <w:rPr>
          <w:color w:val="000000"/>
        </w:rPr>
        <w:t>☐</w:t>
      </w:r>
    </w:p>
    <w:p>
      <w:pPr>
        <w:pStyle w:val="TextBody"/>
        <w:bidi w:val="0"/>
        <w:spacing w:lineRule="auto" w:line="288" w:before="80" w:after="24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  </w:t>
      </w:r>
    </w:p>
    <w:p>
      <w:pPr>
        <w:pStyle w:val="TextBody"/>
        <w:bidi w:val="0"/>
        <w:spacing w:lineRule="auto" w:line="288" w:before="80" w:after="240"/>
        <w:jc w:val="left"/>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registrant’s classes of common stock, as of the latest practicable date: As of November 5, 2024, there were 72,681,239 shares of the registrant’s Class A common stock, par value $0.001, and 42,482,042 shares of the registrant’s Class B common stock, par value $0.001,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10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3130"/>
        <w:gridCol w:w="2677"/>
        <w:gridCol w:w="2634"/>
        <w:gridCol w:w="512"/>
        <w:gridCol w:w="512"/>
        <w:gridCol w:w="740"/>
      </w:tblGrid>
      <w:tr>
        <w:trPr/>
        <w:tc>
          <w:tcPr>
            <w:tcW w:w="3130"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8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 - FINANCIAL INFORMATION</w:t>
            </w:r>
          </w:p>
        </w:tc>
      </w:tr>
      <w:tr>
        <w:trPr/>
        <w:tc>
          <w:tcPr>
            <w:tcW w:w="8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6">
              <w:r>
                <w:rPr>
                  <w:rStyle w:val="InternetLink"/>
                  <w:rFonts w:ascii="Times New Roman;sans-serif" w:hAnsi="Times New Roman;sans-serif"/>
                  <w:b w:val="false"/>
                  <w:color w:val="0000FF"/>
                  <w:sz w:val="20"/>
                  <w:u w:val="single"/>
                </w:rPr>
                <w:t>Item 1. Financial Statements</w:t>
              </w:r>
            </w:hyperlink>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9c9c95dc2ec441395fa682fccffc676_19">
              <w:r>
                <w:rPr>
                  <w:rStyle w:val="InternetLink"/>
                  <w:rFonts w:ascii="Times New Roman;sans-serif" w:hAnsi="Times New Roman;sans-serif"/>
                  <w:b w:val="false"/>
                  <w:color w:val="000080"/>
                  <w:sz w:val="20"/>
                  <w:u w:val="single"/>
                </w:rPr>
                <w:t xml:space="preserve">Condensed Consolidated Balance Sheets as of </w:t>
              </w:r>
            </w:hyperlink>
            <w:r>
              <w:rPr>
                <w:rFonts w:ascii="Times New Roman;sans-serif" w:hAnsi="Times New Roman;sans-serif"/>
                <w:b w:val="false"/>
                <w:color w:val="0000FF"/>
                <w:sz w:val="20"/>
                <w:u w:val="single"/>
              </w:rPr>
              <w:t>September 30, 2024</w:t>
            </w:r>
            <w:hyperlink w:anchor="i59c9c95dc2ec441395fa682fccffc676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March 31, 2024</w:t>
            </w:r>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9">
              <w:r>
                <w:rPr>
                  <w:rStyle w:val="InternetLink"/>
                  <w:rFonts w:ascii="Times New Roman;sans-serif" w:hAnsi="Times New Roman;sans-serif"/>
                  <w:b w:val="false"/>
                  <w:color w:val="0000FF"/>
                  <w:sz w:val="20"/>
                  <w:u w:val="single"/>
                </w:rPr>
                <w:t>6</w:t>
              </w:r>
            </w:hyperlink>
          </w:p>
        </w:tc>
      </w:tr>
      <w:tr>
        <w:trPr/>
        <w:tc>
          <w:tcPr>
            <w:tcW w:w="8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9c9c95dc2ec441395fa682fccffc676_22">
              <w:r>
                <w:rPr>
                  <w:rStyle w:val="InternetLink"/>
                  <w:rFonts w:ascii="Times New Roman;sans-serif" w:hAnsi="Times New Roman;sans-serif"/>
                  <w:b w:val="false"/>
                  <w:color w:val="000080"/>
                  <w:sz w:val="20"/>
                  <w:u w:val="single"/>
                </w:rPr>
                <w:t xml:space="preserve">Condensed Consolidated Statements of Income for the </w:t>
              </w:r>
            </w:hyperlink>
            <w:r>
              <w:rPr>
                <w:rFonts w:ascii="Times New Roman;sans-serif" w:hAnsi="Times New Roman;sans-serif"/>
                <w:b w:val="false"/>
                <w:color w:val="0000FF"/>
                <w:sz w:val="20"/>
                <w:u w:val="single"/>
              </w:rPr>
              <w:t>Three and Six Months Ended September 30, 2024</w:t>
            </w:r>
            <w:hyperlink w:anchor="i59c9c95dc2ec441395fa682fccffc676_22">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22">
              <w:r>
                <w:rPr>
                  <w:rStyle w:val="InternetLink"/>
                  <w:rFonts w:ascii="Times New Roman;sans-serif" w:hAnsi="Times New Roman;sans-serif"/>
                  <w:b w:val="false"/>
                  <w:color w:val="0000FF"/>
                  <w:sz w:val="20"/>
                  <w:u w:val="single"/>
                </w:rPr>
                <w:t>8</w:t>
              </w:r>
            </w:hyperlink>
          </w:p>
        </w:tc>
      </w:tr>
      <w:tr>
        <w:trPr/>
        <w:tc>
          <w:tcPr>
            <w:tcW w:w="8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9c9c95dc2ec441395fa682fccffc676_28">
              <w:r>
                <w:rPr>
                  <w:rStyle w:val="InternetLink"/>
                  <w:rFonts w:ascii="Times New Roman;sans-serif" w:hAnsi="Times New Roman;sans-serif"/>
                  <w:b w:val="false"/>
                  <w:color w:val="000080"/>
                  <w:sz w:val="20"/>
                  <w:u w:val="single"/>
                </w:rPr>
                <w:t xml:space="preserve">Condensed Consolidated Statements of Comprehensive Income for the </w:t>
              </w:r>
            </w:hyperlink>
            <w:r>
              <w:rPr>
                <w:rFonts w:ascii="Times New Roman;sans-serif" w:hAnsi="Times New Roman;sans-serif"/>
                <w:b w:val="false"/>
                <w:color w:val="0000FF"/>
                <w:sz w:val="20"/>
                <w:u w:val="single"/>
              </w:rPr>
              <w:t>Three and Six Months Ended September 30, 2024</w:t>
            </w:r>
            <w:hyperlink w:anchor="i59c9c95dc2ec441395fa682fccffc676_28">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28">
              <w:r>
                <w:rPr>
                  <w:rStyle w:val="InternetLink"/>
                  <w:rFonts w:ascii="Times New Roman;sans-serif" w:hAnsi="Times New Roman;sans-serif"/>
                  <w:b w:val="false"/>
                  <w:color w:val="0000FF"/>
                  <w:sz w:val="20"/>
                  <w:u w:val="single"/>
                </w:rPr>
                <w:t>9</w:t>
              </w:r>
            </w:hyperlink>
          </w:p>
        </w:tc>
      </w:tr>
      <w:tr>
        <w:trPr/>
        <w:tc>
          <w:tcPr>
            <w:tcW w:w="8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9c9c95dc2ec441395fa682fccffc676_31">
              <w:r>
                <w:rPr>
                  <w:rStyle w:val="InternetLink"/>
                  <w:rFonts w:ascii="Times New Roman;sans-serif" w:hAnsi="Times New Roman;sans-serif"/>
                  <w:b w:val="false"/>
                  <w:color w:val="000080"/>
                  <w:sz w:val="20"/>
                  <w:u w:val="single"/>
                </w:rPr>
                <w:t xml:space="preserve">Condensed Consolidated Statements of Stockholders’ Equity for the </w:t>
              </w:r>
            </w:hyperlink>
            <w:r>
              <w:rPr>
                <w:rFonts w:ascii="Times New Roman;sans-serif" w:hAnsi="Times New Roman;sans-serif"/>
                <w:b w:val="false"/>
                <w:color w:val="0000FF"/>
                <w:sz w:val="20"/>
                <w:u w:val="single"/>
              </w:rPr>
              <w:t>Three and Six Months Ended September 30, 2024</w:t>
            </w:r>
            <w:hyperlink w:anchor="i59c9c95dc2ec441395fa682fccffc676_31">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31">
              <w:r>
                <w:rPr>
                  <w:rStyle w:val="InternetLink"/>
                  <w:rFonts w:ascii="Times New Roman;sans-serif" w:hAnsi="Times New Roman;sans-serif"/>
                  <w:b w:val="false"/>
                  <w:color w:val="0000FF"/>
                  <w:sz w:val="20"/>
                  <w:u w:val="single"/>
                </w:rPr>
                <w:t>10</w:t>
              </w:r>
            </w:hyperlink>
          </w:p>
        </w:tc>
      </w:tr>
      <w:tr>
        <w:trPr/>
        <w:tc>
          <w:tcPr>
            <w:tcW w:w="8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9c9c95dc2ec441395fa682fccffc676_34">
              <w:r>
                <w:rPr>
                  <w:rStyle w:val="InternetLink"/>
                  <w:rFonts w:ascii="Times New Roman;sans-serif" w:hAnsi="Times New Roman;sans-serif"/>
                  <w:b w:val="false"/>
                  <w:color w:val="000080"/>
                  <w:sz w:val="20"/>
                  <w:u w:val="single"/>
                </w:rPr>
                <w:t xml:space="preserve">Condensed Consolidated Statements of Cash Flows for the </w:t>
              </w:r>
            </w:hyperlink>
            <w:r>
              <w:rPr>
                <w:rFonts w:ascii="Times New Roman;sans-serif" w:hAnsi="Times New Roman;sans-serif"/>
                <w:b w:val="false"/>
                <w:color w:val="0000FF"/>
                <w:sz w:val="20"/>
                <w:u w:val="single"/>
              </w:rPr>
              <w:t>Six Months Ended September 30, 2024</w:t>
            </w:r>
            <w:hyperlink w:anchor="i59c9c95dc2ec441395fa682fccffc676_34">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34">
              <w:r>
                <w:rPr>
                  <w:rStyle w:val="InternetLink"/>
                  <w:rFonts w:ascii="Times New Roman;sans-serif" w:hAnsi="Times New Roman;sans-serif"/>
                  <w:b w:val="false"/>
                  <w:color w:val="0000FF"/>
                  <w:sz w:val="20"/>
                  <w:u w:val="single"/>
                </w:rPr>
                <w:t>12</w:t>
              </w:r>
            </w:hyperlink>
          </w:p>
        </w:tc>
      </w:tr>
      <w:tr>
        <w:trPr/>
        <w:tc>
          <w:tcPr>
            <w:tcW w:w="8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9c9c95dc2ec441395fa682fccffc676_37">
              <w:r>
                <w:rPr>
                  <w:rStyle w:val="InternetLink"/>
                  <w:rFonts w:ascii="Times New Roman;sans-serif" w:hAnsi="Times New Roman;sans-serif"/>
                  <w:b w:val="false"/>
                  <w:color w:val="0000FF"/>
                  <w:sz w:val="20"/>
                  <w:u w:val="single"/>
                </w:rPr>
                <w:t>Notes to Condensed Consolidated Financial Statements</w:t>
              </w:r>
            </w:hyperlink>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37">
              <w:r>
                <w:rPr>
                  <w:rStyle w:val="InternetLink"/>
                  <w:rFonts w:ascii="Times New Roman;sans-serif" w:hAnsi="Times New Roman;sans-serif"/>
                  <w:b w:val="false"/>
                  <w:color w:val="0000FF"/>
                  <w:sz w:val="20"/>
                  <w:u w:val="single"/>
                </w:rPr>
                <w:t>14</w:t>
              </w:r>
            </w:hyperlink>
          </w:p>
        </w:tc>
      </w:tr>
      <w:tr>
        <w:trPr/>
        <w:tc>
          <w:tcPr>
            <w:tcW w:w="8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1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12">
              <w:r>
                <w:rPr>
                  <w:rStyle w:val="InternetLink"/>
                  <w:rFonts w:ascii="Times New Roman;sans-serif" w:hAnsi="Times New Roman;sans-serif"/>
                  <w:b w:val="false"/>
                  <w:color w:val="0000FF"/>
                  <w:sz w:val="20"/>
                  <w:u w:val="single"/>
                </w:rPr>
                <w:t>47</w:t>
              </w:r>
            </w:hyperlink>
          </w:p>
        </w:tc>
      </w:tr>
      <w:tr>
        <w:trPr/>
        <w:tc>
          <w:tcPr>
            <w:tcW w:w="8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60">
              <w:r>
                <w:rPr>
                  <w:rStyle w:val="InternetLink"/>
                  <w:rFonts w:ascii="Times New Roman;sans-serif" w:hAnsi="Times New Roman;sans-serif"/>
                  <w:b w:val="false"/>
                  <w:color w:val="0000FF"/>
                  <w:sz w:val="20"/>
                  <w:u w:val="single"/>
                </w:rPr>
                <w:t>Item 3. Qualitative and Quantitative Disclosures about Market Risk</w:t>
              </w:r>
            </w:hyperlink>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60">
              <w:r>
                <w:rPr>
                  <w:rStyle w:val="InternetLink"/>
                  <w:rFonts w:ascii="Times New Roman;sans-serif" w:hAnsi="Times New Roman;sans-serif"/>
                  <w:b w:val="false"/>
                  <w:color w:val="0000FF"/>
                  <w:sz w:val="20"/>
                  <w:u w:val="single"/>
                </w:rPr>
                <w:t>83</w:t>
              </w:r>
            </w:hyperlink>
          </w:p>
        </w:tc>
      </w:tr>
      <w:tr>
        <w:trPr/>
        <w:tc>
          <w:tcPr>
            <w:tcW w:w="8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63">
              <w:r>
                <w:rPr>
                  <w:rStyle w:val="InternetLink"/>
                  <w:rFonts w:ascii="Times New Roman;sans-serif" w:hAnsi="Times New Roman;sans-serif"/>
                  <w:b w:val="false"/>
                  <w:color w:val="0000FF"/>
                  <w:sz w:val="20"/>
                  <w:u w:val="single"/>
                </w:rPr>
                <w:t>Item 4. Controls and Procedures</w:t>
              </w:r>
            </w:hyperlink>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63">
              <w:r>
                <w:rPr>
                  <w:rStyle w:val="InternetLink"/>
                  <w:rFonts w:ascii="Times New Roman;sans-serif" w:hAnsi="Times New Roman;sans-serif"/>
                  <w:b w:val="false"/>
                  <w:color w:val="0000FF"/>
                  <w:sz w:val="20"/>
                  <w:u w:val="single"/>
                </w:rPr>
                <w:t>85</w:t>
              </w:r>
            </w:hyperlink>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II - OTHER INFORMATION</w:t>
            </w:r>
          </w:p>
        </w:tc>
      </w:tr>
      <w:tr>
        <w:trPr/>
        <w:tc>
          <w:tcPr>
            <w:tcW w:w="8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69">
              <w:r>
                <w:rPr>
                  <w:rStyle w:val="InternetLink"/>
                  <w:rFonts w:ascii="Times New Roman;sans-serif" w:hAnsi="Times New Roman;sans-serif"/>
                  <w:b w:val="false"/>
                  <w:color w:val="0000FF"/>
                  <w:sz w:val="20"/>
                  <w:u w:val="single"/>
                </w:rPr>
                <w:t>Item 1. Legal Proceedings</w:t>
              </w:r>
            </w:hyperlink>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69">
              <w:r>
                <w:rPr>
                  <w:rStyle w:val="InternetLink"/>
                  <w:rFonts w:ascii="Times New Roman;sans-serif" w:hAnsi="Times New Roman;sans-serif"/>
                  <w:b w:val="false"/>
                  <w:color w:val="0000FF"/>
                  <w:sz w:val="20"/>
                  <w:u w:val="single"/>
                </w:rPr>
                <w:t>85</w:t>
              </w:r>
            </w:hyperlink>
          </w:p>
        </w:tc>
      </w:tr>
      <w:tr>
        <w:trPr/>
        <w:tc>
          <w:tcPr>
            <w:tcW w:w="8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72">
              <w:r>
                <w:rPr>
                  <w:rStyle w:val="InternetLink"/>
                  <w:rFonts w:ascii="Times New Roman;sans-serif" w:hAnsi="Times New Roman;sans-serif"/>
                  <w:b w:val="false"/>
                  <w:color w:val="0000FF"/>
                  <w:sz w:val="20"/>
                  <w:u w:val="single"/>
                </w:rPr>
                <w:t>Item 1A. Risk Factors</w:t>
              </w:r>
            </w:hyperlink>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72">
              <w:r>
                <w:rPr>
                  <w:rStyle w:val="InternetLink"/>
                  <w:rFonts w:ascii="Times New Roman;sans-serif" w:hAnsi="Times New Roman;sans-serif"/>
                  <w:b w:val="false"/>
                  <w:color w:val="0000FF"/>
                  <w:sz w:val="20"/>
                  <w:u w:val="single"/>
                </w:rPr>
                <w:t>85</w:t>
              </w:r>
            </w:hyperlink>
          </w:p>
        </w:tc>
      </w:tr>
      <w:tr>
        <w:trPr/>
        <w:tc>
          <w:tcPr>
            <w:tcW w:w="8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75">
              <w:r>
                <w:rPr>
                  <w:rStyle w:val="InternetLink"/>
                  <w:rFonts w:ascii="Times New Roman;sans-serif" w:hAnsi="Times New Roman;sans-serif"/>
                  <w:b w:val="false"/>
                  <w:color w:val="0000FF"/>
                  <w:sz w:val="20"/>
                  <w:u w:val="single"/>
                </w:rPr>
                <w:t>Item 2. Unregistered Sales of Equity Securities and Use of Proceeds</w:t>
              </w:r>
            </w:hyperlink>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75">
              <w:r>
                <w:rPr>
                  <w:rStyle w:val="InternetLink"/>
                  <w:rFonts w:ascii="Times New Roman;sans-serif" w:hAnsi="Times New Roman;sans-serif"/>
                  <w:b w:val="false"/>
                  <w:color w:val="0000FF"/>
                  <w:sz w:val="20"/>
                  <w:u w:val="single"/>
                </w:rPr>
                <w:t>85</w:t>
              </w:r>
            </w:hyperlink>
          </w:p>
        </w:tc>
      </w:tr>
      <w:tr>
        <w:trPr/>
        <w:tc>
          <w:tcPr>
            <w:tcW w:w="8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78">
              <w:r>
                <w:rPr>
                  <w:rStyle w:val="InternetLink"/>
                  <w:rFonts w:ascii="Times New Roman;sans-serif" w:hAnsi="Times New Roman;sans-serif"/>
                  <w:b w:val="false"/>
                  <w:color w:val="0000FF"/>
                  <w:sz w:val="20"/>
                  <w:u w:val="single"/>
                </w:rPr>
                <w:t>Item 3. Defaults Upon Senior Securities</w:t>
              </w:r>
            </w:hyperlink>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78">
              <w:r>
                <w:rPr>
                  <w:rStyle w:val="InternetLink"/>
                  <w:rFonts w:ascii="Times New Roman;sans-serif" w:hAnsi="Times New Roman;sans-serif"/>
                  <w:b w:val="false"/>
                  <w:color w:val="0000FF"/>
                  <w:sz w:val="20"/>
                  <w:u w:val="single"/>
                </w:rPr>
                <w:t>86</w:t>
              </w:r>
            </w:hyperlink>
          </w:p>
        </w:tc>
      </w:tr>
      <w:tr>
        <w:trPr/>
        <w:tc>
          <w:tcPr>
            <w:tcW w:w="8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81">
              <w:r>
                <w:rPr>
                  <w:rStyle w:val="InternetLink"/>
                  <w:rFonts w:ascii="Times New Roman;sans-serif" w:hAnsi="Times New Roman;sans-serif"/>
                  <w:b w:val="false"/>
                  <w:color w:val="0000FF"/>
                  <w:sz w:val="20"/>
                  <w:u w:val="single"/>
                </w:rPr>
                <w:t>Item 4. Mine Safety Disclosures</w:t>
              </w:r>
            </w:hyperlink>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81">
              <w:r>
                <w:rPr>
                  <w:rStyle w:val="InternetLink"/>
                  <w:rFonts w:ascii="Times New Roman;sans-serif" w:hAnsi="Times New Roman;sans-serif"/>
                  <w:b w:val="false"/>
                  <w:color w:val="0000FF"/>
                  <w:sz w:val="20"/>
                  <w:u w:val="single"/>
                </w:rPr>
                <w:t>86</w:t>
              </w:r>
            </w:hyperlink>
          </w:p>
        </w:tc>
      </w:tr>
      <w:tr>
        <w:trPr/>
        <w:tc>
          <w:tcPr>
            <w:tcW w:w="8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84">
              <w:r>
                <w:rPr>
                  <w:rStyle w:val="InternetLink"/>
                  <w:rFonts w:ascii="Times New Roman;sans-serif" w:hAnsi="Times New Roman;sans-serif"/>
                  <w:b w:val="false"/>
                  <w:color w:val="0000FF"/>
                  <w:sz w:val="20"/>
                  <w:u w:val="single"/>
                </w:rPr>
                <w:t>Item 5. Other Information</w:t>
              </w:r>
            </w:hyperlink>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84">
              <w:r>
                <w:rPr>
                  <w:rStyle w:val="InternetLink"/>
                  <w:rFonts w:ascii="Times New Roman;sans-serif" w:hAnsi="Times New Roman;sans-serif"/>
                  <w:b w:val="false"/>
                  <w:color w:val="0000FF"/>
                  <w:sz w:val="20"/>
                  <w:u w:val="single"/>
                </w:rPr>
                <w:t>86</w:t>
              </w:r>
            </w:hyperlink>
          </w:p>
        </w:tc>
      </w:tr>
      <w:tr>
        <w:trPr/>
        <w:tc>
          <w:tcPr>
            <w:tcW w:w="8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87">
              <w:r>
                <w:rPr>
                  <w:rStyle w:val="InternetLink"/>
                  <w:rFonts w:ascii="Times New Roman;sans-serif" w:hAnsi="Times New Roman;sans-serif"/>
                  <w:b w:val="false"/>
                  <w:color w:val="0000FF"/>
                  <w:sz w:val="20"/>
                  <w:u w:val="single"/>
                </w:rPr>
                <w:t>Item 6. Exhibits</w:t>
              </w:r>
            </w:hyperlink>
          </w:p>
        </w:tc>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87">
              <w:r>
                <w:rPr>
                  <w:rStyle w:val="InternetLink"/>
                  <w:rFonts w:ascii="Times New Roman;sans-serif" w:hAnsi="Times New Roman;sans-serif"/>
                  <w:b w:val="false"/>
                  <w:color w:val="0000FF"/>
                  <w:sz w:val="20"/>
                  <w:u w:val="single"/>
                </w:rPr>
                <w:t>87</w:t>
              </w:r>
            </w:hyperlink>
          </w:p>
        </w:tc>
      </w:tr>
      <w:tr>
        <w:trPr/>
        <w:tc>
          <w:tcPr>
            <w:tcW w:w="8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9c9c95dc2ec441395fa682fccffc676_190">
              <w:r>
                <w:rPr>
                  <w:rStyle w:val="InternetLink"/>
                  <w:rFonts w:ascii="Times New Roman;sans-serif" w:hAnsi="Times New Roman;sans-serif"/>
                  <w:b w:val="false"/>
                  <w:color w:val="0000FF"/>
                  <w:sz w:val="20"/>
                  <w:u w:val="single"/>
                </w:rPr>
                <w:t>Signatures</w:t>
              </w:r>
            </w:hyperlink>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9c9c95dc2ec441395fa682fccffc676_190">
              <w:r>
                <w:rPr>
                  <w:rStyle w:val="InternetLink"/>
                  <w:rFonts w:ascii="Times New Roman;sans-serif" w:hAnsi="Times New Roman;sans-serif"/>
                  <w:b w:val="false"/>
                  <w:color w:val="0000FF"/>
                  <w:sz w:val="20"/>
                  <w:u w:val="single"/>
                </w:rPr>
                <w:t>88</w:t>
              </w:r>
            </w:hyperlink>
          </w:p>
        </w:tc>
      </w:tr>
    </w:tbl>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Unless otherwise indicated or the context otherwise requires:</w:t>
      </w:r>
    </w:p>
    <w:p>
      <w:pPr>
        <w:pStyle w:val="TextBody"/>
        <w:bidi w:val="0"/>
        <w:spacing w:lineRule="auto" w:line="288" w:before="0" w:after="240"/>
        <w:jc w:val="left"/>
        <w:rPr/>
      </w:pPr>
      <w:r>
        <w:rPr>
          <w:color w:val="000000"/>
        </w:rPr>
        <w:t>• “</w:t>
      </w:r>
      <w:r>
        <w:rPr>
          <w:rFonts w:ascii="Times New Roman;sans-serif" w:hAnsi="Times New Roman;sans-serif"/>
          <w:b/>
          <w:color w:val="000000"/>
          <w:sz w:val="22"/>
        </w:rPr>
        <w:t>StepStone Group Inc.</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SSG</w:t>
      </w:r>
      <w:r>
        <w:rPr>
          <w:color w:val="000000"/>
        </w:rPr>
        <w:t xml:space="preserve">” </w:t>
      </w:r>
      <w:r>
        <w:rPr>
          <w:rFonts w:ascii="Times New Roman;sans-serif" w:hAnsi="Times New Roman;sans-serif"/>
          <w:b w:val="false"/>
          <w:color w:val="000000"/>
          <w:sz w:val="22"/>
        </w:rPr>
        <w:t>refers solely to StepStone Group Inc., a Delaware corporation, and not to any of its subsidiaries;</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Partnership</w:t>
      </w:r>
      <w:r>
        <w:rPr>
          <w:color w:val="000000"/>
        </w:rPr>
        <w:t xml:space="preserve">” </w:t>
      </w:r>
      <w:r>
        <w:rPr>
          <w:rFonts w:ascii="Times New Roman;sans-serif" w:hAnsi="Times New Roman;sans-serif"/>
          <w:b w:val="false"/>
          <w:color w:val="000000"/>
          <w:sz w:val="22"/>
        </w:rPr>
        <w:t>refers solely to StepStone Group LP, a Delaware limited partnership, and not to any of its subsidiaries;</w:t>
      </w:r>
    </w:p>
    <w:p>
      <w:pPr>
        <w:pStyle w:val="TextBody"/>
        <w:bidi w:val="0"/>
        <w:spacing w:lineRule="auto" w:line="288" w:before="0" w:after="240"/>
        <w:jc w:val="left"/>
        <w:rPr/>
      </w:pPr>
      <w:r>
        <w:rPr>
          <w:color w:val="000000"/>
        </w:rPr>
        <w:t>• “</w:t>
      </w:r>
      <w:r>
        <w:rPr>
          <w:rFonts w:ascii="Times New Roman;sans-serif" w:hAnsi="Times New Roman;sans-serif"/>
          <w:b/>
          <w:color w:val="000000"/>
          <w:sz w:val="22"/>
        </w:rPr>
        <w:t>General Partner</w:t>
      </w:r>
      <w:r>
        <w:rPr>
          <w:color w:val="000000"/>
        </w:rPr>
        <w:t xml:space="preserve">” </w:t>
      </w:r>
      <w:r>
        <w:rPr>
          <w:rFonts w:ascii="Times New Roman;sans-serif" w:hAnsi="Times New Roman;sans-serif"/>
          <w:b w:val="false"/>
          <w:color w:val="000000"/>
          <w:sz w:val="22"/>
        </w:rPr>
        <w:t>refers to StepStone Group Holdings LLC, a Delaware limited liability company, and the sole general partner of the Partnership;</w:t>
      </w:r>
    </w:p>
    <w:p>
      <w:pPr>
        <w:pStyle w:val="TextBody"/>
        <w:bidi w:val="0"/>
        <w:spacing w:lineRule="auto" w:line="288" w:before="0" w:after="240"/>
        <w:jc w:val="left"/>
        <w:rPr/>
      </w:pPr>
      <w:r>
        <w:rPr>
          <w:color w:val="000000"/>
        </w:rPr>
        <w:t>• “</w:t>
      </w:r>
      <w:r>
        <w:rPr>
          <w:rFonts w:ascii="Times New Roman;sans-serif" w:hAnsi="Times New Roman;sans-serif"/>
          <w:b/>
          <w:color w:val="000000"/>
          <w:sz w:val="22"/>
        </w:rPr>
        <w:t>we</w:t>
      </w:r>
      <w:r>
        <w:rPr>
          <w:rFonts w:ascii="Times New Roman;sans-serif" w:hAnsi="Times New Roman;sans-serif"/>
          <w:b w:val="false"/>
          <w:color w:val="000000"/>
          <w:sz w:val="22"/>
        </w:rPr>
        <w:t>,” “</w:t>
      </w:r>
      <w:r>
        <w:rPr>
          <w:rFonts w:ascii="Times New Roman;sans-serif" w:hAnsi="Times New Roman;sans-serif"/>
          <w:b/>
          <w:color w:val="000000"/>
          <w:sz w:val="22"/>
        </w:rPr>
        <w:t>us</w:t>
      </w:r>
      <w:r>
        <w:rPr>
          <w:rFonts w:ascii="Times New Roman;sans-serif" w:hAnsi="Times New Roman;sans-serif"/>
          <w:b w:val="false"/>
          <w:color w:val="000000"/>
          <w:sz w:val="22"/>
        </w:rPr>
        <w:t>,” “</w:t>
      </w:r>
      <w:r>
        <w:rPr>
          <w:rFonts w:ascii="Times New Roman;sans-serif" w:hAnsi="Times New Roman;sans-serif"/>
          <w:b/>
          <w:color w:val="000000"/>
          <w:sz w:val="22"/>
        </w:rPr>
        <w:t>our</w:t>
      </w:r>
      <w:r>
        <w:rPr>
          <w:rFonts w:ascii="Times New Roman;sans-serif" w:hAnsi="Times New Roman;sans-serif"/>
          <w:b w:val="false"/>
          <w:color w:val="000000"/>
          <w:sz w:val="22"/>
        </w:rPr>
        <w:t>,” the “</w:t>
      </w:r>
      <w:r>
        <w:rPr>
          <w:rFonts w:ascii="Times New Roman;sans-serif" w:hAnsi="Times New Roman;sans-serif"/>
          <w:b/>
          <w:color w:val="000000"/>
          <w:sz w:val="22"/>
        </w:rPr>
        <w:t>Company</w:t>
      </w:r>
      <w:r>
        <w:rPr>
          <w:rFonts w:ascii="Times New Roman;sans-serif" w:hAnsi="Times New Roman;sans-serif"/>
          <w:b w:val="false"/>
          <w:color w:val="000000"/>
          <w:sz w:val="22"/>
        </w:rPr>
        <w:t>,” “</w:t>
      </w:r>
      <w:r>
        <w:rPr>
          <w:rFonts w:ascii="Times New Roman;sans-serif" w:hAnsi="Times New Roman;sans-serif"/>
          <w:b/>
          <w:color w:val="000000"/>
          <w:sz w:val="22"/>
        </w:rPr>
        <w:t>our</w:t>
      </w:r>
      <w:r>
        <w:rPr>
          <w:color w:val="000000"/>
        </w:rPr>
        <w:t xml:space="preserve"> </w:t>
      </w:r>
      <w:r>
        <w:rPr>
          <w:rFonts w:ascii="Times New Roman;sans-serif" w:hAnsi="Times New Roman;sans-serif"/>
          <w:b/>
          <w:color w:val="000000"/>
          <w:sz w:val="22"/>
        </w:rPr>
        <w:t>company</w:t>
      </w:r>
      <w:r>
        <w:rPr>
          <w:rFonts w:ascii="Times New Roman;sans-serif" w:hAnsi="Times New Roman;sans-serif"/>
          <w:b w:val="false"/>
          <w:color w:val="000000"/>
          <w:sz w:val="22"/>
        </w:rPr>
        <w:t>,” “</w:t>
      </w:r>
      <w:r>
        <w:rPr>
          <w:rFonts w:ascii="Times New Roman;sans-serif" w:hAnsi="Times New Roman;sans-serif"/>
          <w:b/>
          <w:color w:val="000000"/>
          <w:sz w:val="22"/>
        </w:rPr>
        <w:t>StepStone</w:t>
      </w:r>
      <w:r>
        <w:rPr>
          <w:color w:val="000000"/>
        </w:rPr>
        <w:t xml:space="preserve">” </w:t>
      </w:r>
      <w:r>
        <w:rPr>
          <w:rFonts w:ascii="Times New Roman;sans-serif" w:hAnsi="Times New Roman;sans-serif"/>
          <w:b w:val="false"/>
          <w:color w:val="000000"/>
          <w:sz w:val="22"/>
        </w:rPr>
        <w:t>and similar terms refer to SSG and its consolidated subsidiaries, including the Partnership;</w:t>
      </w:r>
    </w:p>
    <w:p>
      <w:pPr>
        <w:pStyle w:val="TextBody"/>
        <w:bidi w:val="0"/>
        <w:spacing w:lineRule="auto" w:line="288" w:before="0" w:after="240"/>
        <w:jc w:val="left"/>
        <w:rPr/>
      </w:pPr>
      <w:r>
        <w:rPr>
          <w:color w:val="000000"/>
        </w:rPr>
        <w:t>• “</w:t>
      </w:r>
      <w:r>
        <w:rPr>
          <w:rFonts w:ascii="Times New Roman;sans-serif" w:hAnsi="Times New Roman;sans-serif"/>
          <w:b/>
          <w:color w:val="000000"/>
          <w:sz w:val="22"/>
        </w:rPr>
        <w:t>StepStone</w:t>
      </w:r>
      <w:r>
        <w:rPr>
          <w:color w:val="000000"/>
        </w:rPr>
        <w:t xml:space="preserve"> </w:t>
      </w:r>
      <w:r>
        <w:rPr>
          <w:rFonts w:ascii="Times New Roman;sans-serif" w:hAnsi="Times New Roman;sans-serif"/>
          <w:b/>
          <w:color w:val="000000"/>
          <w:sz w:val="22"/>
        </w:rPr>
        <w:t>Funds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our</w:t>
      </w:r>
      <w:r>
        <w:rPr>
          <w:color w:val="000000"/>
        </w:rPr>
        <w:t xml:space="preserve"> </w:t>
      </w:r>
      <w:r>
        <w:rPr>
          <w:rFonts w:ascii="Times New Roman;sans-serif" w:hAnsi="Times New Roman;sans-serif"/>
          <w:b/>
          <w:color w:val="000000"/>
          <w:sz w:val="22"/>
        </w:rPr>
        <w:t>funds</w:t>
      </w:r>
      <w:r>
        <w:rPr>
          <w:color w:val="000000"/>
        </w:rPr>
        <w:t xml:space="preserve">” </w:t>
      </w:r>
      <w:r>
        <w:rPr>
          <w:rFonts w:ascii="Times New Roman;sans-serif" w:hAnsi="Times New Roman;sans-serif"/>
          <w:b w:val="false"/>
          <w:color w:val="000000"/>
          <w:sz w:val="22"/>
        </w:rPr>
        <w:t>refer to our focused commingled funds and our separately managed accounts for which we act as both investment adviser and general partner or managing member;</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the “</w:t>
      </w:r>
      <w:r>
        <w:rPr>
          <w:rFonts w:ascii="Times New Roman;sans-serif" w:hAnsi="Times New Roman;sans-serif"/>
          <w:b/>
          <w:color w:val="000000"/>
          <w:sz w:val="22"/>
        </w:rPr>
        <w:t>Greenspring acquisition</w:t>
      </w:r>
      <w:r>
        <w:rPr>
          <w:color w:val="000000"/>
        </w:rPr>
        <w:t xml:space="preserve">” </w:t>
      </w:r>
      <w:r>
        <w:rPr>
          <w:rFonts w:ascii="Times New Roman;sans-serif" w:hAnsi="Times New Roman;sans-serif"/>
          <w:b w:val="false"/>
          <w:color w:val="000000"/>
          <w:sz w:val="22"/>
        </w:rPr>
        <w:t>refer to the acquisition of Greenspring Associates, Inc. and certain of its affiliates (“</w:t>
      </w:r>
      <w:r>
        <w:rPr>
          <w:rFonts w:ascii="Times New Roman;sans-serif" w:hAnsi="Times New Roman;sans-serif"/>
          <w:b/>
          <w:color w:val="000000"/>
          <w:sz w:val="22"/>
        </w:rPr>
        <w:t>Greenspring</w:t>
      </w:r>
      <w:r>
        <w:rPr>
          <w:color w:val="000000"/>
        </w:rPr>
        <w:t>”</w:t>
      </w:r>
      <w:r>
        <w:rPr>
          <w:rFonts w:ascii="Times New Roman;sans-serif" w:hAnsi="Times New Roman;sans-serif"/>
          <w:b w:val="false"/>
          <w:color w:val="000000"/>
          <w:sz w:val="22"/>
        </w:rPr>
        <w:t>) that was completed on September 20, 2021;</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FY</w:t>
      </w:r>
      <w:r>
        <w:rPr>
          <w:rFonts w:ascii="Times New Roman;sans-serif" w:hAnsi="Times New Roman;sans-serif"/>
          <w:b w:val="false"/>
          <w:color w:val="000000"/>
          <w:sz w:val="22"/>
        </w:rPr>
        <w:t>,” “</w:t>
      </w:r>
      <w:r>
        <w:rPr>
          <w:rFonts w:ascii="Times New Roman;sans-serif" w:hAnsi="Times New Roman;sans-serif"/>
          <w:b/>
          <w:color w:val="000000"/>
          <w:sz w:val="22"/>
        </w:rPr>
        <w:t>fiscal</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fiscal</w:t>
      </w:r>
      <w:r>
        <w:rPr>
          <w:color w:val="000000"/>
        </w:rPr>
        <w:t xml:space="preserve"> </w:t>
      </w:r>
      <w:r>
        <w:rPr>
          <w:rFonts w:ascii="Times New Roman;sans-serif" w:hAnsi="Times New Roman;sans-serif"/>
          <w:b/>
          <w:color w:val="000000"/>
          <w:sz w:val="22"/>
        </w:rPr>
        <w:t>year</w:t>
      </w:r>
      <w:r>
        <w:rPr>
          <w:color w:val="000000"/>
        </w:rPr>
        <w:t xml:space="preserve">” </w:t>
      </w:r>
      <w:r>
        <w:rPr>
          <w:rFonts w:ascii="Times New Roman;sans-serif" w:hAnsi="Times New Roman;sans-serif"/>
          <w:b w:val="false"/>
          <w:color w:val="000000"/>
          <w:sz w:val="22"/>
        </w:rPr>
        <w:t>are to the fiscal year ended March 31 of the applicable year;</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the “</w:t>
      </w:r>
      <w:r>
        <w:rPr>
          <w:rFonts w:ascii="Times New Roman;sans-serif" w:hAnsi="Times New Roman;sans-serif"/>
          <w:b/>
          <w:color w:val="000000"/>
          <w:sz w:val="22"/>
        </w:rPr>
        <w:t>Reorganization</w:t>
      </w:r>
      <w:r>
        <w:rPr>
          <w:color w:val="000000"/>
        </w:rPr>
        <w:t xml:space="preserve">” </w:t>
      </w:r>
      <w:r>
        <w:rPr>
          <w:rFonts w:ascii="Times New Roman;sans-serif" w:hAnsi="Times New Roman;sans-serif"/>
          <w:b w:val="false"/>
          <w:color w:val="000000"/>
          <w:sz w:val="22"/>
        </w:rPr>
        <w:t>refer to the series of transactions immediately before the Company’s initial public offering (“</w:t>
      </w:r>
      <w:r>
        <w:rPr>
          <w:rFonts w:ascii="Times New Roman;sans-serif" w:hAnsi="Times New Roman;sans-serif"/>
          <w:b/>
          <w:color w:val="000000"/>
          <w:sz w:val="22"/>
        </w:rPr>
        <w:t>IPO</w:t>
      </w:r>
      <w:r>
        <w:rPr>
          <w:color w:val="000000"/>
        </w:rPr>
        <w:t>”</w:t>
      </w:r>
      <w:r>
        <w:rPr>
          <w:rFonts w:ascii="Times New Roman;sans-serif" w:hAnsi="Times New Roman;sans-serif"/>
          <w:b w:val="false"/>
          <w:color w:val="000000"/>
          <w:sz w:val="22"/>
        </w:rPr>
        <w:t>), which was completed on September 18, 2020;</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private markets allocations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total capital responsibility</w:t>
      </w:r>
      <w:r>
        <w:rPr>
          <w:color w:val="000000"/>
        </w:rPr>
        <w:t xml:space="preserve">” </w:t>
      </w:r>
      <w:r>
        <w:rPr>
          <w:rFonts w:ascii="Times New Roman;sans-serif" w:hAnsi="Times New Roman;sans-serif"/>
          <w:b w:val="false"/>
          <w:color w:val="000000"/>
          <w:sz w:val="22"/>
        </w:rPr>
        <w:t>refer to the aggregate amount of our assets under management (“</w:t>
      </w:r>
      <w:r>
        <w:rPr>
          <w:rFonts w:ascii="Times New Roman;sans-serif" w:hAnsi="Times New Roman;sans-serif"/>
          <w:b/>
          <w:color w:val="000000"/>
          <w:sz w:val="22"/>
        </w:rPr>
        <w:t>AUM</w:t>
      </w:r>
      <w:r>
        <w:rPr>
          <w:color w:val="000000"/>
        </w:rPr>
        <w:t>”</w:t>
      </w:r>
      <w:r>
        <w:rPr>
          <w:rFonts w:ascii="Times New Roman;sans-serif" w:hAnsi="Times New Roman;sans-serif"/>
          <w:b w:val="false"/>
          <w:color w:val="000000"/>
          <w:sz w:val="22"/>
        </w:rPr>
        <w:t>) and our assets under advisement (“</w:t>
      </w:r>
      <w:r>
        <w:rPr>
          <w:rFonts w:ascii="Times New Roman;sans-serif" w:hAnsi="Times New Roman;sans-serif"/>
          <w:b/>
          <w:color w:val="000000"/>
          <w:sz w:val="22"/>
        </w:rPr>
        <w:t>AUA”</w:t>
      </w:r>
      <w:r>
        <w:rPr>
          <w:rFonts w:ascii="Times New Roman;sans-serif" w:hAnsi="Times New Roman;sans-serif"/>
          <w:b w:val="false"/>
          <w:color w:val="000000"/>
          <w:sz w:val="22"/>
        </w:rPr>
        <w:t>);</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high-net-worth</w:t>
      </w:r>
      <w:r>
        <w:rPr>
          <w:color w:val="000000"/>
        </w:rPr>
        <w:t xml:space="preserve">” </w:t>
      </w:r>
      <w:r>
        <w:rPr>
          <w:rFonts w:ascii="Times New Roman;sans-serif" w:hAnsi="Times New Roman;sans-serif"/>
          <w:b w:val="false"/>
          <w:color w:val="000000"/>
          <w:sz w:val="22"/>
        </w:rPr>
        <w:t>individuals refer to individuals with net worth of over $5 million, excluding primary residence;</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mass affluent</w:t>
      </w:r>
      <w:r>
        <w:rPr>
          <w:color w:val="000000"/>
        </w:rPr>
        <w:t xml:space="preserve">” </w:t>
      </w:r>
      <w:r>
        <w:rPr>
          <w:rFonts w:ascii="Times New Roman;sans-serif" w:hAnsi="Times New Roman;sans-serif"/>
          <w:b w:val="false"/>
          <w:color w:val="000000"/>
          <w:sz w:val="22"/>
        </w:rPr>
        <w:t>individuals refer to individuals with annual income over $200,000 or net worth between $1 million and $5 million, excluding primary residence;</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Consolidated Funds</w:t>
      </w:r>
      <w:r>
        <w:rPr>
          <w:color w:val="000000"/>
        </w:rPr>
        <w:t xml:space="preserve">” </w:t>
      </w:r>
      <w:r>
        <w:rPr>
          <w:rFonts w:ascii="Times New Roman;sans-serif" w:hAnsi="Times New Roman;sans-serif"/>
          <w:b w:val="false"/>
          <w:color w:val="000000"/>
          <w:sz w:val="22"/>
        </w:rPr>
        <w:t>refer to the StepStone Funds that we are required to consolidate as of the applicable reporting period; and</w:t>
      </w:r>
    </w:p>
    <w:p>
      <w:pPr>
        <w:pStyle w:val="TextBody"/>
        <w:bidi w:val="0"/>
        <w:spacing w:lineRule="auto" w:line="288" w:before="0" w:after="240"/>
        <w:jc w:val="left"/>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SRA</w:t>
      </w:r>
      <w:r>
        <w:rPr>
          <w:color w:val="000000"/>
        </w:rPr>
        <w:t xml:space="preserve">” </w:t>
      </w:r>
      <w:r>
        <w:rPr>
          <w:rFonts w:ascii="Times New Roman;sans-serif" w:hAnsi="Times New Roman;sans-serif"/>
          <w:b w:val="false"/>
          <w:color w:val="000000"/>
          <w:sz w:val="22"/>
        </w:rPr>
        <w:t>refer to StepStone Group Real Assets LP, references to “</w:t>
      </w:r>
      <w:r>
        <w:rPr>
          <w:rFonts w:ascii="Times New Roman;sans-serif" w:hAnsi="Times New Roman;sans-serif"/>
          <w:b/>
          <w:color w:val="000000"/>
          <w:sz w:val="22"/>
        </w:rPr>
        <w:t>SRE</w:t>
      </w:r>
      <w:r>
        <w:rPr>
          <w:color w:val="000000"/>
        </w:rPr>
        <w:t xml:space="preserve">” </w:t>
      </w:r>
      <w:r>
        <w:rPr>
          <w:rFonts w:ascii="Times New Roman;sans-serif" w:hAnsi="Times New Roman;sans-serif"/>
          <w:b w:val="false"/>
          <w:color w:val="000000"/>
          <w:sz w:val="22"/>
        </w:rPr>
        <w:t>refer to StepStone Group Real Estate LP, references to “</w:t>
      </w:r>
      <w:r>
        <w:rPr>
          <w:rFonts w:ascii="Times New Roman;sans-serif" w:hAnsi="Times New Roman;sans-serif"/>
          <w:b/>
          <w:color w:val="000000"/>
          <w:sz w:val="22"/>
        </w:rPr>
        <w:t>SPD</w:t>
      </w:r>
      <w:r>
        <w:rPr>
          <w:color w:val="000000"/>
        </w:rPr>
        <w:t xml:space="preserve">” </w:t>
      </w:r>
      <w:r>
        <w:rPr>
          <w:rFonts w:ascii="Times New Roman;sans-serif" w:hAnsi="Times New Roman;sans-serif"/>
          <w:b w:val="false"/>
          <w:color w:val="000000"/>
          <w:sz w:val="22"/>
        </w:rPr>
        <w:t>refer to StepStone Group Private Debt AG, and references to “</w:t>
      </w:r>
      <w:r>
        <w:rPr>
          <w:rFonts w:ascii="Times New Roman;sans-serif" w:hAnsi="Times New Roman;sans-serif"/>
          <w:b/>
          <w:color w:val="000000"/>
          <w:sz w:val="22"/>
        </w:rPr>
        <w:t>SPW</w:t>
      </w:r>
      <w:r>
        <w:rPr>
          <w:color w:val="000000"/>
        </w:rPr>
        <w:t xml:space="preserve">” </w:t>
      </w:r>
      <w:r>
        <w:rPr>
          <w:rFonts w:ascii="Times New Roman;sans-serif" w:hAnsi="Times New Roman;sans-serif"/>
          <w:b w:val="false"/>
          <w:color w:val="000000"/>
          <w:sz w:val="22"/>
        </w:rPr>
        <w:t>refer to StepStone Group Private Wealth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TRADEMARKS, SERVICE MARKS AND TRADE NAMES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2024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Balance Sheets (Unaudited)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96"/>
        <w:gridCol w:w="2394"/>
        <w:gridCol w:w="2427"/>
        <w:gridCol w:w="212"/>
        <w:gridCol w:w="846"/>
        <w:gridCol w:w="127"/>
        <w:gridCol w:w="109"/>
        <w:gridCol w:w="109"/>
        <w:gridCol w:w="109"/>
        <w:gridCol w:w="183"/>
        <w:gridCol w:w="733"/>
        <w:gridCol w:w="160"/>
      </w:tblGrid>
      <w:tr>
        <w:trPr/>
        <w:tc>
          <w:tcPr>
            <w:tcW w:w="2796"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of</w:t>
            </w:r>
          </w:p>
        </w:tc>
      </w:tr>
      <w:tr>
        <w:trPr/>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2024</w:t>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Assets</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179,066 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143,430 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Fees and accounts receivable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68,103 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56,769 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Due from affiliates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80,280 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67,531 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Investments: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Investments in funds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155,857 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carried interest allocations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1,381,110 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1,354,051 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investments in funds and accrued carried interest allocations</w:t>
            </w:r>
            <w:r>
              <w:rPr>
                <w:rFonts w:ascii="Times New Roman;sans-serif" w:hAnsi="Times New Roman;sans-serif"/>
                <w:b w:val="false"/>
                <w:color w:val="000000"/>
                <w:sz w:val="9"/>
              </w:rPr>
              <w:t>(1)</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623,546 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631,197 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 assets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244,732 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184,512 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Lease right-of-use assets, net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 and receivables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Intangibles, net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284,372 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304,873 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580,542 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580,542 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i/>
                <w:color w:val="000000"/>
                <w:sz w:val="14"/>
              </w:rPr>
            </w:pPr>
            <w:r>
              <w:rPr>
                <w:rFonts w:ascii="Times New Roman;sans-serif" w:hAnsi="Times New Roman;sans-serif"/>
                <w:b w:val="false"/>
                <w:i/>
                <w:color w:val="000000"/>
                <w:sz w:val="14"/>
              </w:rPr>
              <w:t>Assets of Consolidated Funds: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45,552 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Investments, at fair value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233,398 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131,858 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4"/>
              </w:rPr>
            </w:pPr>
            <w:r>
              <w:rPr>
                <w:rFonts w:ascii="Times New Roman;sans-serif" w:hAnsi="Times New Roman;sans-serif"/>
                <w:b w:val="false"/>
                <w:color w:val="000000"/>
                <w:sz w:val="14"/>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4,039,919 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3,788,807 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Liabilities and stockholders’ equity</w:t>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 accrued expenses and other liabilities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148,409 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127,417 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compensation and benefits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175,357 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101,481 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carried interest-related compensation</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680,459 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719,497 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accrued carried interest-related compensation</w:t>
            </w:r>
            <w:r>
              <w:rPr>
                <w:rFonts w:ascii="Times New Roman;sans-serif" w:hAnsi="Times New Roman;sans-serif"/>
                <w:b w:val="false"/>
                <w:color w:val="000000"/>
                <w:sz w:val="9"/>
              </w:rPr>
              <w:t>(1)</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472,693 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484,154 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Due to affiliates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270,745 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212,918 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Lease liabilities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116,249 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119,739 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Debt obligations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172,264 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148,822 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i/>
                <w:color w:val="000000"/>
                <w:sz w:val="14"/>
              </w:rPr>
            </w:pPr>
            <w:r>
              <w:rPr>
                <w:rFonts w:ascii="Times New Roman;sans-serif" w:hAnsi="Times New Roman;sans-serif"/>
                <w:b w:val="false"/>
                <w:i/>
                <w:color w:val="000000"/>
                <w:sz w:val="14"/>
              </w:rPr>
              <w:t>Liabilities of Consolidated Funds: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liabilities</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2,039,580 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1,915,673 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Commitments and contingencies (Note 14)</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Redeemable non-controlling interests in Consolidated Funds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205,624 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102,623 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Redeemable non-controlling interests in subsidiaries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115,920 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Stockholders’ equity:</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761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Class A common stock, $0.001 par value, 650,000,000 authorized; 72,681,239 and 65,614,902 issued and outstanding as of September 30, 2024 and March 31, 2024, respectively</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Class B common stock, $0.001 par value, 125,000,000 authorized; 42,482,042 and 45,030,959 issued and outstanding as of September 30, 2024 and March 31, 2024, respectively</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Additional paid-in capital</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393,115 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310,293 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Retained earnings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other comprehensive income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StepStone Group Inc. stockholders’ equity</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397,459 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324,476 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interests in subsidiaries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1,021,775 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974,559 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Non-controlling interests in legacy Greenspring entities</w:t>
            </w:r>
            <w:r>
              <w:rPr>
                <w:rFonts w:ascii="Times New Roman;sans-serif" w:hAnsi="Times New Roman;sans-serif"/>
                <w:b w:val="false"/>
                <w:color w:val="000000"/>
                <w:sz w:val="9"/>
              </w:rPr>
              <w:t>(1)</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150,852 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147,042 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interests in the Partnership</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218,391 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stockholders’ equity</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1,788,477 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1,654,591 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liabilities and stockholders’ 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4,039,919 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3,788,807 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rFonts w:ascii="Times New Roman;sans-serif" w:hAnsi="Times New Roman;sans-serif"/>
          <w:b w:val="false"/>
          <w:color w:val="000000"/>
          <w:sz w:val="14"/>
        </w:rPr>
      </w:pPr>
      <w:r>
        <w:rPr>
          <w:rFonts w:ascii="Times New Roman;sans-serif" w:hAnsi="Times New Roman;sans-serif"/>
          <w:b w:val="false"/>
          <w:color w:val="000000"/>
          <w:sz w:val="14"/>
        </w:rPr>
        <w:t>(1)Reflects amounts attributable to consolidated VIEs for which the Company did not acquire any direct economic interests. See note 5 for more information.</w:t>
      </w:r>
    </w:p>
    <w:p>
      <w:pPr>
        <w:pStyle w:val="TextBody"/>
        <w:bidi w:val="0"/>
        <w:spacing w:lineRule="auto" w:line="288" w:before="0" w:after="0"/>
        <w:jc w:val="left"/>
        <w:rPr>
          <w:rFonts w:ascii="Times New Roman;sans-serif" w:hAnsi="Times New Roman;sans-serif"/>
          <w:b w:val="false"/>
          <w:i/>
          <w:color w:val="000000"/>
          <w:sz w:val="14"/>
        </w:rPr>
      </w:pPr>
      <w:r>
        <w:rPr>
          <w:rFonts w:ascii="Times New Roman;sans-serif" w:hAnsi="Times New Roman;sans-serif"/>
          <w:b w:val="false"/>
          <w:i/>
          <w:color w:val="000000"/>
          <w:sz w:val="14"/>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120" w:after="283"/>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Balance Sheets (Unaudited)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bidi w:val="0"/>
        <w:spacing w:before="0" w:after="240"/>
        <w:jc w:val="center"/>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presents the portion of the condensed consolidated balances presented above attributable to consolidated variable interest entities.</w:t>
      </w:r>
    </w:p>
    <w:tbl>
      <w:tblPr>
        <w:tblW w:w="9955" w:type="dxa"/>
        <w:jc w:val="left"/>
        <w:tblInd w:w="0" w:type="dxa"/>
        <w:tblLayout w:type="fixed"/>
        <w:tblCellMar>
          <w:top w:w="28" w:type="dxa"/>
          <w:left w:w="28" w:type="dxa"/>
          <w:bottom w:w="28" w:type="dxa"/>
          <w:right w:w="28" w:type="dxa"/>
        </w:tblCellMar>
      </w:tblPr>
      <w:tblGrid>
        <w:gridCol w:w="2417"/>
        <w:gridCol w:w="2128"/>
        <w:gridCol w:w="2144"/>
        <w:gridCol w:w="261"/>
        <w:gridCol w:w="1209"/>
        <w:gridCol w:w="135"/>
        <w:gridCol w:w="109"/>
        <w:gridCol w:w="109"/>
        <w:gridCol w:w="109"/>
        <w:gridCol w:w="236"/>
        <w:gridCol w:w="926"/>
        <w:gridCol w:w="172"/>
      </w:tblGrid>
      <w:tr>
        <w:trPr/>
        <w:tc>
          <w:tcPr>
            <w:tcW w:w="241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and accounts receivable</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funds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investments in funds and accrued carried interest allocations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 net</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receivables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fair value</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1,109,007 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995,188 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accrued carried interest-related compensation</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643,220 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593,701 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Income (Unaudited)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w:t>
      </w:r>
    </w:p>
    <w:tbl>
      <w:tblPr>
        <w:tblW w:w="10156" w:type="dxa"/>
        <w:jc w:val="center"/>
        <w:tblInd w:w="0" w:type="dxa"/>
        <w:tblLayout w:type="fixed"/>
        <w:tblCellMar>
          <w:top w:w="28" w:type="dxa"/>
          <w:left w:w="28" w:type="dxa"/>
          <w:bottom w:w="28" w:type="dxa"/>
          <w:right w:w="28" w:type="dxa"/>
        </w:tblCellMar>
      </w:tblPr>
      <w:tblGrid>
        <w:gridCol w:w="1977"/>
        <w:gridCol w:w="1737"/>
        <w:gridCol w:w="1746"/>
        <w:gridCol w:w="185"/>
        <w:gridCol w:w="630"/>
        <w:gridCol w:w="111"/>
        <w:gridCol w:w="111"/>
        <w:gridCol w:w="111"/>
        <w:gridCol w:w="111"/>
        <w:gridCol w:w="185"/>
        <w:gridCol w:w="630"/>
        <w:gridCol w:w="111"/>
        <w:gridCol w:w="109"/>
        <w:gridCol w:w="109"/>
        <w:gridCol w:w="109"/>
        <w:gridCol w:w="181"/>
        <w:gridCol w:w="616"/>
        <w:gridCol w:w="109"/>
        <w:gridCol w:w="109"/>
        <w:gridCol w:w="109"/>
        <w:gridCol w:w="109"/>
        <w:gridCol w:w="181"/>
        <w:gridCol w:w="616"/>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September 30,</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Revenues</w:t>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Management and advisory fees, net</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184,758 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142,123 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Performance fees:</w:t>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Incentive fees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Carried interest allocations:</w:t>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Realized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carried interest allocations</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69,847 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120,793 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carried interest allocations</w:t>
            </w:r>
            <w:r>
              <w:rPr>
                <w:rFonts w:ascii="Times New Roman;sans-serif" w:hAnsi="Times New Roman;sans-serif"/>
                <w:b w:val="false"/>
                <w:color w:val="000000"/>
                <w:sz w:val="9"/>
              </w:rPr>
              <w:t>(1)</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performance fees</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86,919 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49,299 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revenues</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271,677 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191,422 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458,078 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Expenses</w:t>
            </w:r>
          </w:p>
        </w:tc>
        <w:tc>
          <w:tcPr>
            <w:tcW w:w="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Compensation and benefits:</w:t>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Cash-based compensation</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Equity-based compensation</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Performance fee-related compensation:</w:t>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Realized</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performance fee-related compensation</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performance fee-related compensation</w:t>
            </w:r>
            <w:r>
              <w:rPr>
                <w:rFonts w:ascii="Times New Roman;sans-serif" w:hAnsi="Times New Roman;sans-serif"/>
                <w:b w:val="false"/>
                <w:color w:val="000000"/>
                <w:sz w:val="9"/>
              </w:rPr>
              <w:t>(1)</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compensation and benefits</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170,635 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98,596 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General, administrative and other</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expenses</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220,696 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130,325 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income (expense)</w:t>
            </w:r>
          </w:p>
        </w:tc>
        <w:tc>
          <w:tcPr>
            <w:tcW w:w="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income</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investment loss</w:t>
            </w:r>
            <w:r>
              <w:rPr>
                <w:rFonts w:ascii="Times New Roman;sans-serif" w:hAnsi="Times New Roman;sans-serif"/>
                <w:b w:val="false"/>
                <w:color w:val="000000"/>
                <w:sz w:val="9"/>
              </w:rPr>
              <w:t>(1)</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income of Consolidated Funds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income</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income (loss)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other income</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before income tax</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57,888 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125,023 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 expense</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53,138 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108,697 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non-controlling interests in subsidiaries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4"/>
              </w:rPr>
              <w:t>Less: Net loss attributable to non-controlling interests in legacy Greenspring entities</w:t>
            </w:r>
            <w:r>
              <w:rPr>
                <w:rFonts w:ascii="Times New Roman;sans-serif" w:hAnsi="Times New Roman;sans-serif"/>
                <w:b w:val="false"/>
                <w:color w:val="000000"/>
                <w:sz w:val="9"/>
              </w:rPr>
              <w:t>(1)</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(6,832)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non-controlling interests in the Partnership</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redeemable non-controlling interests in Consolidated Funds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redeemable non-controlling interests in subsidiaries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attributable to StepStone Group Inc.</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17,632 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Net income per share of Class A common stock:</w:t>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Basic</w:t>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Diluted</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Weighted-average shares of Class A common stock:</w:t>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Basic</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68,772,051 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62,858,468 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67,486,964 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62,846,708 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Diluted</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69,695,315 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66,198,129 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69,147,549 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65,970,053 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720"/>
        <w:jc w:val="left"/>
        <w:rPr>
          <w:rFonts w:ascii="Times New Roman;sans-serif" w:hAnsi="Times New Roman;sans-serif"/>
          <w:b w:val="false"/>
          <w:color w:val="000000"/>
          <w:sz w:val="14"/>
        </w:rPr>
      </w:pPr>
      <w:r>
        <w:rPr>
          <w:rFonts w:ascii="Times New Roman;sans-serif" w:hAnsi="Times New Roman;sans-serif"/>
          <w:b w:val="false"/>
          <w:color w:val="000000"/>
          <w:sz w:val="14"/>
        </w:rPr>
        <w:t>(1)Reflects amounts attributable to consolidated VIEs for which the Company did not acquire any direct economic interests. See notes 3 and 5 for more information.</w:t>
      </w:r>
    </w:p>
    <w:p>
      <w:pPr>
        <w:pStyle w:val="TextBody"/>
        <w:bidi w:val="0"/>
        <w:spacing w:lineRule="auto" w:line="288" w:before="0" w:after="0"/>
        <w:jc w:val="left"/>
        <w:rPr>
          <w:rFonts w:ascii="Times New Roman;sans-serif" w:hAnsi="Times New Roman;sans-serif"/>
          <w:b w:val="false"/>
          <w:i/>
          <w:color w:val="000000"/>
          <w:sz w:val="14"/>
        </w:rPr>
      </w:pPr>
      <w:r>
        <w:rPr>
          <w:rFonts w:ascii="Times New Roman;sans-serif" w:hAnsi="Times New Roman;sans-serif"/>
          <w:b w:val="false"/>
          <w:i/>
          <w:color w:val="000000"/>
          <w:sz w:val="14"/>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Comprehensive Income (Unaudited)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1674"/>
        <w:gridCol w:w="1439"/>
        <w:gridCol w:w="1452"/>
        <w:gridCol w:w="229"/>
        <w:gridCol w:w="784"/>
        <w:gridCol w:w="118"/>
        <w:gridCol w:w="118"/>
        <w:gridCol w:w="118"/>
        <w:gridCol w:w="118"/>
        <w:gridCol w:w="229"/>
        <w:gridCol w:w="784"/>
        <w:gridCol w:w="118"/>
        <w:gridCol w:w="109"/>
        <w:gridCol w:w="109"/>
        <w:gridCol w:w="109"/>
        <w:gridCol w:w="213"/>
        <w:gridCol w:w="834"/>
        <w:gridCol w:w="109"/>
        <w:gridCol w:w="109"/>
        <w:gridCol w:w="109"/>
        <w:gridCol w:w="109"/>
        <w:gridCol w:w="213"/>
        <w:gridCol w:w="834"/>
        <w:gridCol w:w="167"/>
      </w:tblGrid>
      <w:tr>
        <w:trPr/>
        <w:tc>
          <w:tcPr>
            <w:tcW w:w="167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before non-controlling interests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 in subsidiaries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 in legacy Greenspring entities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 in the Partnership</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redeemable non-controlling interests in Consolidated Funds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redeemable non-controlling interests in subsidiaries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StepStone Group Inc.</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Stockholders’ Equity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891" w:type="dxa"/>
        <w:jc w:val="left"/>
        <w:tblInd w:w="0" w:type="dxa"/>
        <w:tblLayout w:type="fixed"/>
        <w:tblCellMar>
          <w:top w:w="28" w:type="dxa"/>
          <w:left w:w="28" w:type="dxa"/>
          <w:bottom w:w="28" w:type="dxa"/>
          <w:right w:w="28" w:type="dxa"/>
        </w:tblCellMar>
      </w:tblPr>
      <w:tblGrid>
        <w:gridCol w:w="488"/>
        <w:gridCol w:w="214"/>
        <w:gridCol w:w="169"/>
        <w:gridCol w:w="183"/>
        <w:gridCol w:w="282"/>
        <w:gridCol w:w="121"/>
        <w:gridCol w:w="109"/>
        <w:gridCol w:w="109"/>
        <w:gridCol w:w="109"/>
        <w:gridCol w:w="183"/>
        <w:gridCol w:w="282"/>
        <w:gridCol w:w="121"/>
        <w:gridCol w:w="109"/>
        <w:gridCol w:w="109"/>
        <w:gridCol w:w="109"/>
        <w:gridCol w:w="166"/>
        <w:gridCol w:w="526"/>
        <w:gridCol w:w="109"/>
        <w:gridCol w:w="109"/>
        <w:gridCol w:w="109"/>
        <w:gridCol w:w="109"/>
        <w:gridCol w:w="166"/>
        <w:gridCol w:w="466"/>
        <w:gridCol w:w="109"/>
        <w:gridCol w:w="109"/>
        <w:gridCol w:w="109"/>
        <w:gridCol w:w="109"/>
        <w:gridCol w:w="257"/>
        <w:gridCol w:w="489"/>
        <w:gridCol w:w="170"/>
        <w:gridCol w:w="109"/>
        <w:gridCol w:w="109"/>
        <w:gridCol w:w="109"/>
        <w:gridCol w:w="176"/>
        <w:gridCol w:w="654"/>
        <w:gridCol w:w="116"/>
        <w:gridCol w:w="109"/>
        <w:gridCol w:w="109"/>
        <w:gridCol w:w="109"/>
        <w:gridCol w:w="196"/>
        <w:gridCol w:w="621"/>
        <w:gridCol w:w="129"/>
        <w:gridCol w:w="109"/>
        <w:gridCol w:w="109"/>
        <w:gridCol w:w="109"/>
        <w:gridCol w:w="196"/>
        <w:gridCol w:w="621"/>
        <w:gridCol w:w="129"/>
        <w:gridCol w:w="109"/>
        <w:gridCol w:w="109"/>
        <w:gridCol w:w="109"/>
        <w:gridCol w:w="166"/>
        <w:gridCol w:w="61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Legacy Greenspring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the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June 30, 2024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1,027,558 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147,536 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248,954 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1,790,983 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19,125 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(4,031)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46,306 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loss</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Contributed capital</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compensation</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(23,281)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(4,267)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(25,028)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(52,576)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(16,635)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Vesting of RSUs, net of shares withheld for employee taxes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A common stock issued under ESPP</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B and Class C units for Class A common stock and redemption of corresponding Class B common stock</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Settlement of non-controlling interests related to awards of carried interest allocations</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reallocation between controlling and non-controlling interests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(21,189)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Times New Roman;sans-serif" w:hAnsi="Times New Roman;sans-serif"/>
                <w:b w:val="false"/>
                <w:color w:val="000000"/>
                <w:sz w:val="12"/>
              </w:rPr>
              <w:t>Deferred tax effect resulting from equity transactions affecting ownership in the Partnership</w:t>
            </w:r>
            <w:r>
              <w:rPr>
                <w:rFonts w:ascii="Times New Roman;sans-serif" w:hAnsi="Times New Roman;sans-serif"/>
                <w:b w:val="false"/>
                <w:color w:val="000000"/>
                <w:sz w:val="8"/>
              </w:rPr>
              <w:t>(1)</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September 30, 2024</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393,115 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1,021,775 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150,852 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218,391 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1,788,477 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91"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Legacy Greenspring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the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310,293 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974,559 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147,042 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208,514 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1,654,591 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35,740 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(5,286)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26,904 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88,318 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loss</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Contributed capital</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18,746 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18,746 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compensation</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11,008 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(31,148)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(9,650)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(47,275)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(88,073)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(40,736)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Vesting of RSUs, net of shares withheld for employee taxes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A common stock issued under ESPP</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B and Class C units for Class A common stock and redemption of corresponding Class B common stock</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Vesting of Class B2 units and issuance of corresponding Class B common stock at par value</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Purchase of non-controlling interests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(2,249)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Settlement of non-controlling interests related to awards of carried interest allocations</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54,977 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54,977 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Redemption of redeemable non-controlling interests in subsidiaries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41,504 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97,383 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reallocation between controlling and non-controlling interests</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(12,666)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Times New Roman;sans-serif" w:hAnsi="Times New Roman;sans-serif"/>
                <w:b w:val="false"/>
                <w:color w:val="000000"/>
                <w:sz w:val="12"/>
              </w:rPr>
              <w:t>Deferred tax effect resulting from equity transactions affecting ownership in the Partnership</w:t>
            </w:r>
            <w:r>
              <w:rPr>
                <w:rFonts w:ascii="Times New Roman;sans-serif" w:hAnsi="Times New Roman;sans-serif"/>
                <w:b w:val="false"/>
                <w:color w:val="000000"/>
                <w:sz w:val="8"/>
              </w:rPr>
              <w:t>(1)</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September 30, 2024</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393,115 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1,021,775 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150,852 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218,391 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1,788,477 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(1)See notes 10 and 13 for more information.</w:t>
      </w:r>
    </w:p>
    <w:p>
      <w:pPr>
        <w:pStyle w:val="TextBody"/>
        <w:bidi w:val="0"/>
        <w:spacing w:lineRule="auto" w:line="288" w:before="18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Stockholders’ Equity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951" w:type="dxa"/>
        <w:jc w:val="left"/>
        <w:tblInd w:w="0" w:type="dxa"/>
        <w:tblLayout w:type="fixed"/>
        <w:tblCellMar>
          <w:top w:w="28" w:type="dxa"/>
          <w:left w:w="28" w:type="dxa"/>
          <w:bottom w:w="28" w:type="dxa"/>
          <w:right w:w="28" w:type="dxa"/>
        </w:tblCellMar>
      </w:tblPr>
      <w:tblGrid>
        <w:gridCol w:w="488"/>
        <w:gridCol w:w="214"/>
        <w:gridCol w:w="169"/>
        <w:gridCol w:w="183"/>
        <w:gridCol w:w="282"/>
        <w:gridCol w:w="121"/>
        <w:gridCol w:w="109"/>
        <w:gridCol w:w="109"/>
        <w:gridCol w:w="109"/>
        <w:gridCol w:w="183"/>
        <w:gridCol w:w="282"/>
        <w:gridCol w:w="121"/>
        <w:gridCol w:w="109"/>
        <w:gridCol w:w="109"/>
        <w:gridCol w:w="109"/>
        <w:gridCol w:w="166"/>
        <w:gridCol w:w="526"/>
        <w:gridCol w:w="109"/>
        <w:gridCol w:w="109"/>
        <w:gridCol w:w="109"/>
        <w:gridCol w:w="109"/>
        <w:gridCol w:w="166"/>
        <w:gridCol w:w="526"/>
        <w:gridCol w:w="109"/>
        <w:gridCol w:w="109"/>
        <w:gridCol w:w="109"/>
        <w:gridCol w:w="109"/>
        <w:gridCol w:w="257"/>
        <w:gridCol w:w="489"/>
        <w:gridCol w:w="170"/>
        <w:gridCol w:w="109"/>
        <w:gridCol w:w="109"/>
        <w:gridCol w:w="109"/>
        <w:gridCol w:w="211"/>
        <w:gridCol w:w="594"/>
        <w:gridCol w:w="141"/>
        <w:gridCol w:w="109"/>
        <w:gridCol w:w="109"/>
        <w:gridCol w:w="109"/>
        <w:gridCol w:w="196"/>
        <w:gridCol w:w="621"/>
        <w:gridCol w:w="129"/>
        <w:gridCol w:w="109"/>
        <w:gridCol w:w="109"/>
        <w:gridCol w:w="109"/>
        <w:gridCol w:w="196"/>
        <w:gridCol w:w="621"/>
        <w:gridCol w:w="129"/>
        <w:gridCol w:w="109"/>
        <w:gridCol w:w="109"/>
        <w:gridCol w:w="109"/>
        <w:gridCol w:w="166"/>
        <w:gridCol w:w="61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Legacy Greenspring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the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June 30, 2023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612,799 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37,678 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151,916 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672,990 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1,628,543 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(3,966)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54,802 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loss</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Contributed capital</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compensation</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(15,532)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(17,615)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(38,849)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Vesting of RSUs, net of shares withheld for employee taxes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B and Class C units for Class A common stock and redemption of corresponding Class B common stock</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Sale of non-controlling interests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reallocation between controlling and non-controlling interests</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(2,898)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(11,489)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Times New Roman;sans-serif" w:hAnsi="Times New Roman;sans-serif"/>
                <w:b w:val="false"/>
                <w:color w:val="000000"/>
                <w:sz w:val="12"/>
              </w:rPr>
              <w:t>Deferred tax effect resulting from equity transactions affecting ownership in the Partnership</w:t>
            </w:r>
            <w:r>
              <w:rPr>
                <w:rFonts w:ascii="Times New Roman;sans-serif" w:hAnsi="Times New Roman;sans-serif"/>
                <w:b w:val="false"/>
                <w:color w:val="000000"/>
                <w:sz w:val="8"/>
              </w:rPr>
              <w:t>(1)</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September 30, 2023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628,977 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30,394 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144,255 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669,097 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1,638,411 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2023</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36,380 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152,658 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668,182 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1,628,787 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19,245 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42,788 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102,695 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loss</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Contributed capital</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compensation</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(23,972)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(6,156)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(34,888)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(65,016)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(42,684)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Vesting of RSUs, net of shares withheld for employee taxes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B and Class C units for Class A common stock and redemption of corresponding Class B common stock</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Sale of non-controlling interests</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reallocation between controlling and non-controlling interests</w:t>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(2,898)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Times New Roman;sans-serif" w:hAnsi="Times New Roman;sans-serif"/>
                <w:b w:val="false"/>
                <w:color w:val="000000"/>
                <w:sz w:val="12"/>
              </w:rPr>
              <w:t>Deferred tax effect resulting from equity transactions affecting ownership in the Partnership</w:t>
            </w:r>
            <w:r>
              <w:rPr>
                <w:rFonts w:ascii="Times New Roman;sans-serif" w:hAnsi="Times New Roman;sans-serif"/>
                <w:b w:val="false"/>
                <w:color w:val="000000"/>
                <w:sz w:val="8"/>
              </w:rPr>
              <w:t>(1)</w:t>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September 30, 2023</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628,977 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30,394 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144,255 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669,097 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1,638,411 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(1)See notes 10 and 13 for more information.</w:t>
      </w:r>
    </w:p>
    <w:p>
      <w:pPr>
        <w:pStyle w:val="TextBody"/>
        <w:bidi w:val="0"/>
        <w:spacing w:lineRule="auto" w:line="288" w:before="18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Cash Flows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9884" w:type="dxa"/>
        <w:jc w:val="center"/>
        <w:tblInd w:w="0" w:type="dxa"/>
        <w:tblLayout w:type="fixed"/>
        <w:tblCellMar>
          <w:top w:w="28" w:type="dxa"/>
          <w:left w:w="28" w:type="dxa"/>
          <w:bottom w:w="28" w:type="dxa"/>
          <w:right w:w="28" w:type="dxa"/>
        </w:tblCellMar>
      </w:tblPr>
      <w:tblGrid>
        <w:gridCol w:w="2592"/>
        <w:gridCol w:w="2273"/>
        <w:gridCol w:w="2290"/>
        <w:gridCol w:w="218"/>
        <w:gridCol w:w="819"/>
        <w:gridCol w:w="121"/>
        <w:gridCol w:w="121"/>
        <w:gridCol w:w="121"/>
        <w:gridCol w:w="121"/>
        <w:gridCol w:w="218"/>
        <w:gridCol w:w="819"/>
        <w:gridCol w:w="171"/>
      </w:tblGrid>
      <w:tr>
        <w:trPr/>
        <w:tc>
          <w:tcPr>
            <w:tcW w:w="2592"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carried interest allocations and investment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(108,921)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legacy Greenspring carried interest allocations and investment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performance fee-related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legacy Greenspring performance fee-related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adjustment for acquisition-related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Adjustments to reconcile net income to net cash used in operating activities of Consolidated Funds: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income of Consolidated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 of Consolidated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 of Consolidated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and 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from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to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right-of-use assets, net and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Changes in operating assets and liabilities of Consolidated Funds: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and payables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128,717 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to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to investments in legacy Greenspring entities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investments in legacy Greenspring entities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(34,089)</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(27,405)</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StepStone Group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Cash Flows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825"/>
        <w:gridCol w:w="2280"/>
        <w:gridCol w:w="2295"/>
        <w:gridCol w:w="221"/>
        <w:gridCol w:w="870"/>
        <w:gridCol w:w="114"/>
        <w:gridCol w:w="114"/>
        <w:gridCol w:w="114"/>
        <w:gridCol w:w="114"/>
        <w:gridCol w:w="221"/>
        <w:gridCol w:w="870"/>
        <w:gridCol w:w="167"/>
      </w:tblGrid>
      <w:tr>
        <w:trPr/>
        <w:tc>
          <w:tcPr>
            <w:tcW w:w="282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capital contributions from non-controlling interests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non-controlling interests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redeemable non-controlling interests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non-controlling interests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Class A common stock of shares under ESPP</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capital contributions to legacy Greenspring entities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 in legacy Greenspring entities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stockholders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employee taxes related to net settlement of RSUs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related parties under Tax Receivable Agreements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 of Consolidated Funds: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redeemable non-controlling interests in Consolidated Funds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investing, and financing activities: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dividends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effect resulting from transactions affecting ownership in the Partnership, including net amounts payable under Tax Receivable Agreements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Establishment of lease liabilities in exchange for lease right-of-use assets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non-controlling interests related to awards of carried interest allocations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issued for redemption of redeemable non-controlling interests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of Consolidated Funds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225,381 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    Organization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StepStone Group Inc. (“SSG”) was incorporated in the state of Delaware on November 20, 2019 and, following its initial public offering in 2020, acts as a holding company for StepStone Group LP (the “Partnership”).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through its subsidiaries, acts as the investment advisor and general partner or managing member to separately managed accounts (“SMAs”) and focused commingled funds (collectively, the “StepStone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Class C and Class D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September 30, 2024, SSG held approximately 61.4% of the economic interest in the Partnership. As the Partnership’s limited partners exchange their Class B, Class C and Class D units into SSG’s Class A common stock in the future, SSG’s economic interest in the Partnership will increase relative to that of the Class B, Class C and Class D unitholders.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2.    Summary of Significant Accounting Policies</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Basis of Presentation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2024 filed with the Securities and Exchange Commission (“SEC”).</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pStyle w:val="TextBody"/>
        <w:bidi w:val="0"/>
        <w:spacing w:lineRule="auto" w:line="247"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Consolidation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determined that certain of its operating subsidiaries, including StepStone Group Real Assets LP (“SRA”), StepStone Group Real Estate LP (“SRE”), StepStone Group Private Debt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acquisition of Greenspring Associates, Inc. and certain of its affiliates (“Greenspring”) that was completed on September 20, 2021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Non-Controlling Interests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Non-controlling interests in subsidiaries</w:t>
      </w:r>
      <w:r>
        <w:rPr>
          <w:color w:val="000000"/>
        </w:rPr>
        <w:t xml:space="preserve"> </w:t>
      </w:r>
      <w:r>
        <w:rPr>
          <w:rFonts w:ascii="Times New Roman;sans-serif" w:hAnsi="Times New Roman;sans-serif"/>
          <w:b w:val="false"/>
          <w:color w:val="000000"/>
          <w:sz w:val="22"/>
        </w:rPr>
        <w:t>represent the economic interests in SRA, SRE, and SPD (the variable interest 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Non-controlling interests in legacy Greenspring entities</w:t>
      </w:r>
      <w:r>
        <w:rPr>
          <w:color w:val="000000"/>
        </w:rPr>
        <w:t xml:space="preserve"> </w:t>
      </w:r>
      <w:r>
        <w:rPr>
          <w:rFonts w:ascii="Times New Roman;sans-serif" w:hAnsi="Times New Roman;sans-serif"/>
          <w:b w:val="false"/>
          <w:color w:val="000000"/>
          <w:sz w:val="22"/>
        </w:rPr>
        <w:t>represent the economic interests in the legacy Greenspring general partner entities. The Company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 xml:space="preserve">Non-controlling interests in the Partnership </w:t>
      </w:r>
      <w:r>
        <w:rPr>
          <w:rFonts w:ascii="Times New Roman;sans-serif" w:hAnsi="Times New Roman;sans-serif"/>
          <w:b w:val="false"/>
          <w:color w:val="000000"/>
          <w:sz w:val="22"/>
        </w:rPr>
        <w:t>represent the economic interests related to the Class B, Class C and Class D units of the 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 xml:space="preserve">Redeemable non-controlling interests in Consolidated Funds </w:t>
      </w:r>
      <w:r>
        <w:rPr>
          <w:rFonts w:ascii="Times New Roman;sans-serif" w:hAnsi="Times New Roman;sans-serif"/>
          <w:b w:val="false"/>
          <w:color w:val="000000"/>
          <w:sz w:val="22"/>
        </w:rPr>
        <w:t>represent the economic interests in the Consolidated Funds which are not held by SSG, but are held by the 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Redeemable non-controlling interests in subsidiaries</w:t>
      </w:r>
      <w:r>
        <w:rPr>
          <w:color w:val="000000"/>
        </w:rPr>
        <w:t xml:space="preserve"> </w:t>
      </w:r>
      <w:r>
        <w:rPr>
          <w:rFonts w:ascii="Times New Roman;sans-serif" w:hAnsi="Times New Roman;sans-serif"/>
          <w:b w:val="false"/>
          <w:color w:val="000000"/>
          <w:sz w:val="22"/>
        </w:rPr>
        <w:t xml:space="preserve">represent the redeemable economic interests in the consolidated subsidiaries of the Partnership held by third parties and employees in those entities that were established in connection with the Transaction Agreements as described in note 13. Redeemable non-controlling interests in subsidiaries are allocated a share of income or loss in the respective consolidated subsidiary in proportion to their relative ownership interests, after consideration of contractual arrangements that govern allocations of income or loss. </w:t>
      </w:r>
    </w:p>
    <w:p>
      <w:pPr>
        <w:pStyle w:val="TextBody"/>
        <w:bidi w:val="0"/>
        <w:spacing w:lineRule="auto" w:line="288" w:before="0" w:after="240"/>
        <w:jc w:val="left"/>
        <w:rPr/>
      </w:pPr>
      <w:r>
        <w:rPr>
          <w:rFonts w:ascii="Times New Roman;sans-serif" w:hAnsi="Times New Roman;sans-serif"/>
          <w:b/>
          <w:color w:val="000000"/>
          <w:sz w:val="22"/>
        </w:rPr>
        <w:t>Accounting for Differing Fiscal Periods</w:t>
      </w:r>
      <w:r>
        <w:rPr>
          <w:color w:val="00000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ended September 30, 2024, the Company used the June 30, 2024 unaudited financial statements of the StepStone Funds, which reflect the underlying private market funds as of June 30, 2024, to record its investments (including any carried interest allocated from those investments), as adjusted for capital contributions and distributions during the three-month lag period ended September 30, 2024.</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does not account for management and advisory fees or incentive fees on a three-month lag.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 the extent that management becomes aware of any material events that affect the StepStone Funds during the three-month lag period, the effect of the events would be disclosed in the notes to the condensed consolidated financial statements.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Current Events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2024, signs of easing inflation coupled with the expansion of economic activity at a sustained pace and low unemployment rates contributed to positive returns in most financial markets despite inflation remaining elevated. In September 2024, the Federal Reserve announced the decision to lower the target range for the federal funds rate by 0.50% to a range of 4.75% to 5.00% in response to positive trends in economic data, including a measure of inflation.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continuing to closely monitor developments related to inflation, decreasing but still higher interest rates, potential regulatory and governmental policy developments as a result of U.S. elections, banking system volatility, geopolitical tension, unrest or conflicts, including in Russia, Ukraine, and the Middle East,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the Company’s condensed consolidated financial statements.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Fair Value Measurements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Financial instruments measured and reported at fair value are classified and disclosed based on the observability of inputs used in the determination of their fair values, as follows: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Level I – Pricing inputs are unadjusted, quoted prices in active markets for identical assets or liabilities as of the measurement date.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Level III – Pricing inputs are unobservable for the financial instruments and include situations where there is little, if any, market activity for the financial instrument. The inputs into the determination of fair value require significant management judgment or estimation.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considers its cash, cash equivalents, restricted cash, fees and accounts receivable, accounts payable, investments, revolving credit facility, and contingent consideration obligation balance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obligation balance and see note 8 for additional details regarding the fair value of the Company’s revolving credit facility balance. </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Restricted Cash</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Restricted cash consists of cash that the Company is contractually obligated to maintain to secure its letters of credit used primarily related to its office facilities and other obligations.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Investments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Investments of Consolidated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In addition, the Consolidated Funds do not consolidate their majority-owned and controlled investments in underlying portfolio companies.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Leases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14 for more information.</w:t>
      </w:r>
    </w:p>
    <w:p>
      <w:pPr>
        <w:pStyle w:val="TextBody"/>
        <w:bidi w:val="0"/>
        <w:spacing w:lineRule="auto" w:line="288" w:before="0" w:after="240"/>
        <w:ind w:left="0" w:right="0" w:firstLine="72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Intangibles and Goodwill</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September 30, 2024.</w:t>
      </w:r>
    </w:p>
    <w:p>
      <w:pPr>
        <w:pStyle w:val="TextBody"/>
        <w:bidi w:val="0"/>
        <w:spacing w:lineRule="auto" w:line="288" w:before="0" w:after="24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and six months ended September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shd w:fill="FFFFFF" w:val="clear"/>
        </w:rPr>
        <w:t>Goodwill represents the excess amount of consideration transferred in a business combination above the fair value of the identifiable net assets</w:t>
      </w:r>
      <w:r>
        <w:rPr>
          <w:rFonts w:ascii="Times New Roman;sans-serif" w:hAnsi="Times New Roman;sans-serif"/>
          <w:b w:val="false"/>
          <w:color w:val="000000"/>
          <w:sz w:val="22"/>
        </w:rPr>
        <w:t>.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The Company recognizes revenue in accordance with Accounting Standards Codification Topic 606 (“ASC 606”), </w:t>
      </w:r>
      <w:r>
        <w:rPr>
          <w:rFonts w:ascii="Times New Roman;sans-serif" w:hAnsi="Times New Roman;sans-serif"/>
          <w:b w:val="false"/>
          <w:i/>
          <w:color w:val="000000"/>
          <w:sz w:val="22"/>
        </w:rPr>
        <w:t>Revenue from Contracts with Customers</w:t>
      </w:r>
      <w:r>
        <w:rPr>
          <w:rFonts w:ascii="Times New Roman;sans-serif" w:hAnsi="Times New Roman;sans-serif"/>
          <w:b w:val="false"/>
          <w:color w:val="000000"/>
          <w:sz w:val="22"/>
        </w:rPr>
        <w:t xml:space="preserve">. Revenue is recognized in a manner that depicts the transfer of promised goods or services to customers and for an 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 </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Management and Advisory Fees, Net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based on net investment income of certain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incur certain costs in connection with satisfying its performance obligations for investment management services –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other third parties and, therefore, is acting as agent. Accordingly, the Company records the reimbursement for these costs incurred on a net basis.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Performance Fees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earns two types of performance fee revenues: incentive fees and carried interest allocations,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Incentive fees</w:t>
      </w:r>
      <w:r>
        <w:rPr>
          <w:color w:val="000000"/>
        </w:rPr>
        <w:t xml:space="preserve"> </w:t>
      </w:r>
      <w:r>
        <w:rPr>
          <w:rFonts w:ascii="Times New Roman;sans-serif" w:hAnsi="Times New Roman;sans-serif"/>
          <w:b w:val="false"/>
          <w:color w:val="000000"/>
          <w:sz w:val="22"/>
        </w:rPr>
        <w:t>are generally calculated as a percentage of the profits (up to 15%) earned in respect of certain accounts, including 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Carried interest allocations</w:t>
      </w:r>
      <w:r>
        <w:rPr>
          <w:color w:val="000000"/>
        </w:rPr>
        <w:t xml:space="preserve"> </w:t>
      </w:r>
      <w:r>
        <w:rPr>
          <w:rFonts w:ascii="Times New Roman;sans-serif" w:hAnsi="Times New Roman;sans-serif"/>
          <w:b w:val="false"/>
          <w:color w:val="000000"/>
          <w:sz w:val="22"/>
        </w:rPr>
        <w:t>include the allocation of performance-based fees, commonly referred to as carried interest, to the Company from unaffiliated limited partners in the StepStone Funds in which the Company holds an equity interest. The Company is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Legacy Greenspring carried interest allocations</w:t>
      </w:r>
      <w:r>
        <w:rPr>
          <w:color w:val="231F20"/>
        </w:rPr>
        <w:t xml:space="preserve"> </w:t>
      </w:r>
      <w:r>
        <w:rPr>
          <w:rFonts w:ascii="Times New Roman;sans-serif" w:hAnsi="Times New Roman;sans-serif"/>
          <w:b w:val="false"/>
          <w:color w:val="231F20"/>
          <w:sz w:val="22"/>
        </w:rPr>
        <w:t xml:space="preserve">reflect the allocation of carried interest to legacy Greenspring general partner 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Times New Roman;sans-serif" w:hAnsi="Times New Roman;sans-serif"/>
          <w:b w:val="false"/>
          <w:color w:val="000000"/>
          <w:sz w:val="22"/>
        </w:rPr>
        <w:t>because it is presumed to have significant influence as the general partner or managing member</w:t>
      </w:r>
      <w:r>
        <w:rPr>
          <w:rFonts w:ascii="Times New Roman;sans-serif" w:hAnsi="Times New Roman;sans-serif"/>
          <w:b w:val="false"/>
          <w:color w:val="231F20"/>
          <w:sz w:val="22"/>
        </w:rPr>
        <w:t xml:space="preserve">. </w:t>
      </w:r>
      <w:r>
        <w:rPr>
          <w:rFonts w:ascii="Times New Roman;sans-serif" w:hAnsi="Times New Roman;sans-serif"/>
          <w:b w:val="false"/>
          <w:color w:val="000000"/>
          <w:sz w:val="22"/>
        </w:rPr>
        <w:t xml:space="preserve">Accordingly, legacy Greenspring carried interest allocations are not deemed to be within the scope of ASC 606. </w:t>
      </w:r>
      <w:r>
        <w:rPr>
          <w:rFonts w:ascii="Times New Roman;sans-serif" w:hAnsi="Times New Roman;sans-serif"/>
          <w:b w:val="false"/>
          <w:color w:val="231F20"/>
          <w:sz w:val="22"/>
        </w:rPr>
        <w:t>The Company does not hold any direct economic 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w:t>
      </w:r>
      <w:r>
        <w:rPr>
          <w:color w:val="231F20"/>
        </w:rPr>
        <w:t xml:space="preserve"> </w:t>
      </w:r>
      <w:r>
        <w:rPr>
          <w:rFonts w:ascii="Times New Roman;sans-serif" w:hAnsi="Times New Roman;sans-serif"/>
          <w:b w:val="false"/>
          <w:color w:val="000000"/>
          <w:sz w:val="22"/>
        </w:rPr>
        <w:t>As of September 30, 2024 and March 31, 2024, no material amounts for potential clawback obligations had been accrued.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Equity-Based Compensation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represents grants of equity-based awards or arrangements to certain employees and directors. 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9 for additional information regarding the Company’s accounting for equity-based awards.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Income Taxes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 </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The Company is subject to the provisions of ASC Subtopic 740-10, </w:t>
      </w:r>
      <w:r>
        <w:rPr>
          <w:rFonts w:ascii="Times New Roman;sans-serif" w:hAnsi="Times New Roman;sans-serif"/>
          <w:b w:val="false"/>
          <w:i/>
          <w:color w:val="000000"/>
          <w:sz w:val="22"/>
        </w:rPr>
        <w:t>Accounting for Uncertainty in Income Taxes</w:t>
      </w:r>
      <w:r>
        <w:rPr>
          <w:rFonts w:ascii="Times New Roman;sans-serif" w:hAnsi="Times New Roman;sans-serif"/>
          <w:b w:val="false"/>
          <w:color w:val="000000"/>
          <w:sz w:val="22"/>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elected to account for global intangible low-taxed income (“GILTI”) earned by foreign subsidiaries in the period the tax is incurred.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Tax laws are complex and subject to different interpretations by the taxpayer and respective governmental taxing authorities. Significant judgment is required in determining tax expense and in evaluating tax positions, including evaluating uncertainties under GAAP. The Company reviews its tax positions quarterly and adjusts its tax balances as new information becomes available.</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Tax Receivable Agreements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Tax Receivable Agreements provide for payment by SSG to the Class B limited partners, Class C limited partners, Class D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See note 13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Accumulated Other Comprehensive Income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tbl>
      <w:tblPr>
        <w:tblW w:w="7211" w:type="dxa"/>
        <w:jc w:val="left"/>
        <w:tblInd w:w="0" w:type="dxa"/>
        <w:tblLayout w:type="fixed"/>
        <w:tblCellMar>
          <w:top w:w="28" w:type="dxa"/>
          <w:left w:w="28" w:type="dxa"/>
          <w:bottom w:w="28" w:type="dxa"/>
          <w:right w:w="28" w:type="dxa"/>
        </w:tblCellMar>
      </w:tblPr>
      <w:tblGrid>
        <w:gridCol w:w="1429"/>
        <w:gridCol w:w="1256"/>
        <w:gridCol w:w="1260"/>
        <w:gridCol w:w="429"/>
        <w:gridCol w:w="950"/>
        <w:gridCol w:w="225"/>
        <w:gridCol w:w="109"/>
        <w:gridCol w:w="109"/>
        <w:gridCol w:w="109"/>
        <w:gridCol w:w="339"/>
        <w:gridCol w:w="749"/>
        <w:gridCol w:w="247"/>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defined benefit plan, net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Segments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Recent Accounting Pronouncements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In March 2020, the FASB issued ASU 2020-04, </w:t>
      </w:r>
      <w:r>
        <w:rPr>
          <w:rFonts w:ascii="Times New Roman;sans-serif" w:hAnsi="Times New Roman;sans-serif"/>
          <w:b w:val="false"/>
          <w:i/>
          <w:color w:val="000000"/>
          <w:sz w:val="22"/>
        </w:rPr>
        <w:t>Reference Rate Reform (Topic 848): Facilitation of the Effects of Reference Rate Reform on Financial Reporting</w:t>
      </w:r>
      <w:r>
        <w:rPr>
          <w:rFonts w:ascii="Times New Roman;sans-serif" w:hAnsi="Times New Roman;sans-serif"/>
          <w:b w:val="false"/>
          <w:color w:val="000000"/>
          <w:sz w:val="22"/>
        </w:rPr>
        <w:t>, which amends current guidance to provide optional practical expedients and exceptions, if certain criteria are met, for applying GAAP to contracts, hedging relationships and other transactions that are affected by the reference rate reform. The expedients and exceptions in this update apply only to contracts, hedging relationships and other transactions that reference the London Interbank Offered Rate (“LIBOR”). Initially the update did not apply to contract modifications or hedging relationships entered into after December 31, 2022, but in December 2022, the FASB issued ASU 2022-06, which defers the sunset date for applying reference rate reform relief in ASC 848 to December 31, 2024. This guidance is effective for adoption anytime after March 12, 2020, but must be adopted prior to December 31, 2024. The Company is currently evaluating the impact on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In November 2023, the FASB issued ASU 2023-07, </w:t>
      </w:r>
      <w:r>
        <w:rPr>
          <w:rFonts w:ascii="Times New Roman;sans-serif" w:hAnsi="Times New Roman;sans-serif"/>
          <w:b w:val="false"/>
          <w:i/>
          <w:color w:val="000000"/>
          <w:sz w:val="22"/>
        </w:rPr>
        <w:t xml:space="preserve">Segment Reporting (Topic 280): Improvements to Reportable Segment Disclosures, </w:t>
      </w:r>
      <w:r>
        <w:rPr>
          <w:rFonts w:ascii="Times New Roman;sans-serif" w:hAnsi="Times New Roman;sans-serif"/>
          <w:b w:val="false"/>
          <w:color w:val="000000"/>
          <w:sz w:val="22"/>
        </w:rPr>
        <w:t>which amends current guidance for reportable segment disclosure requirements. The updated disclosure requirements include: (1) reporting of segment expenses that are regularly provided to the CODM and included within each reported measure of segment profit or loss, (2) reporting of an amount for other segment items by reportable segment and a description of its composition, (3) reporting in interim periods of all annual disclosures about a reportable segment’s profit or loss and assets as currently required by Topic 280, (4) reporting of one or more additional measures of segment profit or loss if used by the CODM in assessing segment performance and determining allocation of resources, (5) reporting of the title and position of the CODM and an explanation of how the CODM uses the reported measure(s) of segment profit or loss, and (6) the requirement for single reportable segment entities to provide all required disclosures in Topic 280 for annual and interim periods. The amendments are effective for fiscal years beginning after December 15, 2023, and interim periods within fiscal years beginning after December 15, 2024, with early adoption permitted. The Company plans to include expanded disclosures beginning with its annual report on Form 10-K for the fiscal year ending March 31, 2025.</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 xml:space="preserve">In November 2023, the FASB issued ASU 2023-09, </w:t>
      </w:r>
      <w:r>
        <w:rPr>
          <w:rFonts w:ascii="Times New Roman;sans-serif" w:hAnsi="Times New Roman;sans-serif"/>
          <w:b w:val="false"/>
          <w:i/>
          <w:color w:val="000000"/>
          <w:sz w:val="22"/>
        </w:rPr>
        <w:t xml:space="preserve">Income Taxes (Topic 740): Improvements to Income Tax Disclosures, </w:t>
      </w:r>
      <w:r>
        <w:rPr>
          <w:rFonts w:ascii="Times New Roman;sans-serif" w:hAnsi="Times New Roman;sans-serif"/>
          <w:b w:val="false"/>
          <w:color w:val="000000"/>
          <w:sz w:val="22"/>
        </w:rPr>
        <w:t>which amends current guidance to provide expanded disclosure for the rate reconciliation with information about specific categories and reconciling items that meet a specific threshold, and to provide additional information about income taxes paid disaggregated by jurisdiction. The amendments are effective for annual periods beginning after December 15, 2024, with early adoption permitted. The Company does not expect the adoption of this guidance to have a material effect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3.    Revenues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presents revenues disaggregated by product offering, which aligns with the Company’s performance obligations and the basis for calculating each amount:</w:t>
      </w:r>
    </w:p>
    <w:tbl>
      <w:tblPr>
        <w:tblW w:w="9378" w:type="dxa"/>
        <w:jc w:val="left"/>
        <w:tblInd w:w="0" w:type="dxa"/>
        <w:tblLayout w:type="fixed"/>
        <w:tblCellMar>
          <w:top w:w="28" w:type="dxa"/>
          <w:left w:w="28" w:type="dxa"/>
          <w:bottom w:w="28" w:type="dxa"/>
          <w:right w:w="28" w:type="dxa"/>
        </w:tblCellMar>
      </w:tblPr>
      <w:tblGrid>
        <w:gridCol w:w="1244"/>
        <w:gridCol w:w="1093"/>
        <w:gridCol w:w="1097"/>
        <w:gridCol w:w="233"/>
        <w:gridCol w:w="913"/>
        <w:gridCol w:w="120"/>
        <w:gridCol w:w="120"/>
        <w:gridCol w:w="120"/>
        <w:gridCol w:w="120"/>
        <w:gridCol w:w="233"/>
        <w:gridCol w:w="913"/>
        <w:gridCol w:w="120"/>
        <w:gridCol w:w="109"/>
        <w:gridCol w:w="109"/>
        <w:gridCol w:w="109"/>
        <w:gridCol w:w="216"/>
        <w:gridCol w:w="846"/>
        <w:gridCol w:w="111"/>
        <w:gridCol w:w="111"/>
        <w:gridCol w:w="111"/>
        <w:gridCol w:w="111"/>
        <w:gridCol w:w="216"/>
        <w:gridCol w:w="846"/>
        <w:gridCol w:w="157"/>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 and Advisory Fees, Net</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Focused commingled funds</w:t>
            </w:r>
            <w:r>
              <w:rPr>
                <w:rFonts w:ascii="Times New Roman;sans-serif" w:hAnsi="Times New Roman;sans-serif"/>
                <w:b w:val="false"/>
                <w:color w:val="000000"/>
                <w:sz w:val="13"/>
              </w:rPr>
              <w:t>(1)</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and other services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reimbursement revenues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management and advisory fees,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184,758 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142,123 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362,773 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280,238 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(1)Includes income-based incentive fees of $1.3 million and $2.5 million for the three and six months ended September 30, 2024, respectively. There were no income-based incentive fees for the three and six months ended September 30, 2023.</w:t>
      </w:r>
    </w:p>
    <w:tbl>
      <w:tblPr>
        <w:tblW w:w="8298" w:type="dxa"/>
        <w:jc w:val="left"/>
        <w:tblInd w:w="0" w:type="dxa"/>
        <w:tblLayout w:type="fixed"/>
        <w:tblCellMar>
          <w:top w:w="28" w:type="dxa"/>
          <w:left w:w="28" w:type="dxa"/>
          <w:bottom w:w="28" w:type="dxa"/>
          <w:right w:w="28" w:type="dxa"/>
        </w:tblCellMar>
      </w:tblPr>
      <w:tblGrid>
        <w:gridCol w:w="852"/>
        <w:gridCol w:w="750"/>
        <w:gridCol w:w="753"/>
        <w:gridCol w:w="277"/>
        <w:gridCol w:w="811"/>
        <w:gridCol w:w="143"/>
        <w:gridCol w:w="143"/>
        <w:gridCol w:w="143"/>
        <w:gridCol w:w="143"/>
        <w:gridCol w:w="277"/>
        <w:gridCol w:w="811"/>
        <w:gridCol w:w="143"/>
        <w:gridCol w:w="109"/>
        <w:gridCol w:w="109"/>
        <w:gridCol w:w="109"/>
        <w:gridCol w:w="256"/>
        <w:gridCol w:w="749"/>
        <w:gridCol w:w="132"/>
        <w:gridCol w:w="132"/>
        <w:gridCol w:w="132"/>
        <w:gridCol w:w="132"/>
        <w:gridCol w:w="256"/>
        <w:gridCol w:w="749"/>
        <w:gridCol w:w="187"/>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Incentive Fees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commingled funds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incentive fees</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tbl>
      <w:tblPr>
        <w:tblW w:w="8692" w:type="dxa"/>
        <w:jc w:val="left"/>
        <w:tblInd w:w="0" w:type="dxa"/>
        <w:tblLayout w:type="fixed"/>
        <w:tblCellMar>
          <w:top w:w="28" w:type="dxa"/>
          <w:left w:w="28" w:type="dxa"/>
          <w:bottom w:w="28" w:type="dxa"/>
          <w:right w:w="28" w:type="dxa"/>
        </w:tblCellMar>
      </w:tblPr>
      <w:tblGrid>
        <w:gridCol w:w="993"/>
        <w:gridCol w:w="873"/>
        <w:gridCol w:w="878"/>
        <w:gridCol w:w="253"/>
        <w:gridCol w:w="866"/>
        <w:gridCol w:w="131"/>
        <w:gridCol w:w="131"/>
        <w:gridCol w:w="131"/>
        <w:gridCol w:w="131"/>
        <w:gridCol w:w="253"/>
        <w:gridCol w:w="866"/>
        <w:gridCol w:w="131"/>
        <w:gridCol w:w="109"/>
        <w:gridCol w:w="109"/>
        <w:gridCol w:w="109"/>
        <w:gridCol w:w="225"/>
        <w:gridCol w:w="769"/>
        <w:gridCol w:w="116"/>
        <w:gridCol w:w="116"/>
        <w:gridCol w:w="116"/>
        <w:gridCol w:w="116"/>
        <w:gridCol w:w="225"/>
        <w:gridCol w:w="881"/>
        <w:gridCol w:w="16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Carried Interest Allocations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commingled funds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carried interest allocations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120,793 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63"/>
        <w:gridCol w:w="1371"/>
        <w:gridCol w:w="1378"/>
        <w:gridCol w:w="242"/>
        <w:gridCol w:w="832"/>
        <w:gridCol w:w="125"/>
        <w:gridCol w:w="125"/>
        <w:gridCol w:w="125"/>
        <w:gridCol w:w="125"/>
        <w:gridCol w:w="242"/>
        <w:gridCol w:w="915"/>
        <w:gridCol w:w="125"/>
        <w:gridCol w:w="109"/>
        <w:gridCol w:w="109"/>
        <w:gridCol w:w="109"/>
        <w:gridCol w:w="235"/>
        <w:gridCol w:w="688"/>
        <w:gridCol w:w="121"/>
        <w:gridCol w:w="121"/>
        <w:gridCol w:w="121"/>
        <w:gridCol w:w="121"/>
        <w:gridCol w:w="235"/>
        <w:gridCol w:w="885"/>
        <w:gridCol w:w="183"/>
      </w:tblGrid>
      <w:tr>
        <w:trPr/>
        <w:tc>
          <w:tcPr>
            <w:tcW w:w="1563"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4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Legacy Greenspring Carried Interest Allocations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commingled funds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legacy Greenspring carried interest allocations</w:t>
            </w:r>
            <w:r>
              <w:rPr>
                <w:rFonts w:ascii="Times New Roman;sans-serif" w:hAnsi="Times New Roman;sans-serif"/>
                <w:b w:val="false"/>
                <w:color w:val="000000"/>
                <w:sz w:val="13"/>
              </w:rPr>
              <w:t>(1)</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(36,550)</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three months ended September 30, 2024 and 2023 reflect the net effect of gross realized carried interest allocations of $11.9 million and $25.0 million, respectively, and the six months ended September 30, 2024 and 2023 reflect the net effect of gross realized carried interest allocations of $18.6 million and $25.9 million, respectively, and the reversal of such amounts in unrealized carried interest allocations for such periods.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See note 5 for a discussion of changes in carried interest allocations and legacy Greenspring carried interest allocations.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derives revenues from clients located in both the United States and other countries. The table below presents the Company’s revenues by geographic location:</w:t>
      </w:r>
    </w:p>
    <w:tbl>
      <w:tblPr>
        <w:tblW w:w="7598" w:type="dxa"/>
        <w:jc w:val="left"/>
        <w:tblInd w:w="0" w:type="dxa"/>
        <w:tblLayout w:type="fixed"/>
        <w:tblCellMar>
          <w:top w:w="28" w:type="dxa"/>
          <w:left w:w="28" w:type="dxa"/>
          <w:bottom w:w="28" w:type="dxa"/>
          <w:right w:w="28" w:type="dxa"/>
        </w:tblCellMar>
      </w:tblPr>
      <w:tblGrid>
        <w:gridCol w:w="597"/>
        <w:gridCol w:w="526"/>
        <w:gridCol w:w="527"/>
        <w:gridCol w:w="253"/>
        <w:gridCol w:w="866"/>
        <w:gridCol w:w="131"/>
        <w:gridCol w:w="131"/>
        <w:gridCol w:w="131"/>
        <w:gridCol w:w="131"/>
        <w:gridCol w:w="253"/>
        <w:gridCol w:w="866"/>
        <w:gridCol w:w="131"/>
        <w:gridCol w:w="109"/>
        <w:gridCol w:w="109"/>
        <w:gridCol w:w="109"/>
        <w:gridCol w:w="225"/>
        <w:gridCol w:w="881"/>
        <w:gridCol w:w="116"/>
        <w:gridCol w:w="116"/>
        <w:gridCol w:w="116"/>
        <w:gridCol w:w="116"/>
        <w:gridCol w:w="225"/>
        <w:gridCol w:w="769"/>
        <w:gridCol w:w="164"/>
      </w:tblGrid>
      <w:tr>
        <w:trPr/>
        <w:tc>
          <w:tcPr>
            <w:tcW w:w="5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Revenues</w:t>
            </w:r>
            <w:r>
              <w:rPr>
                <w:rFonts w:ascii="Times New Roman;sans-serif" w:hAnsi="Times New Roman;sans-serif"/>
                <w:b/>
                <w:color w:val="000000"/>
                <w:sz w:val="13"/>
              </w:rPr>
              <w:t>(1)</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countries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(1)Revenues are attributed to countries based on client location for SMAs and advisory and other services, or location of investment vehicle for focused commingled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the three and six months ended September 30, 2024 and 2023, no individual client represented 10% or more of the Company’s net management and advisory fees. For the three and six months ended September 30, 2024 and 2023, the Company had management and advisory fee revenues attributable to the United States and Cayman Islands, each of which represented 10% or more of the Company’s net management and advisory fees.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September 30, 2024 and March 31, 2024, the Company had $33.3 million and $31.0 million, respectively, of deferred revenues, which is included in accounts payable, accrued expenses and other liabilities in the condensed consolidated balance sheets. During the six months ended September 30, 2024, the Company had recognized $6.0 million as revenue from amounts included in the deferred revenue balance as of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4.    Variable Interest Entities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Consolidated VIEs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The Company consolidates certain VIEs for which it is the primary beneficiary. Such VIEs consist of certain operating entities not wholly-owned by the Company (e.g., SPD, SRA and SRE), SPW, legacy Greenspring general partner entities and certain StepStone Funds. See note 2 for more information on the Company’s accounting policies related to the consolidation of VIEs. The assets of the consolidated VIEs totaled $1,109.0 million and $995.2 million as of September 30, 2024 and March 31, 2024, respectively. The liabilities of the consolidated VIEs totaled $643.2 million and</w:t>
      </w:r>
      <w:r>
        <w:rPr>
          <w:color w:val="000000"/>
        </w:rPr>
        <w:t xml:space="preserve"> </w:t>
      </w:r>
      <w:r>
        <w:rPr>
          <w:rFonts w:ascii="Times New Roman;sans-serif" w:hAnsi="Times New Roman;sans-serif"/>
          <w:b w:val="false"/>
          <w:color w:val="000000"/>
          <w:sz w:val="22"/>
        </w:rPr>
        <w:t>$593.7 million as of September 30, 2024 and March 31, 2024,</w:t>
      </w:r>
      <w:r>
        <w:rPr>
          <w:color w:val="FF0000"/>
        </w:rPr>
        <w:t xml:space="preserve"> </w:t>
      </w:r>
      <w:r>
        <w:rPr>
          <w:rFonts w:ascii="Times New Roman;sans-serif" w:hAnsi="Times New Roman;sans-serif"/>
          <w:b w:val="false"/>
          <w:color w:val="000000"/>
          <w:sz w:val="22"/>
        </w:rPr>
        <w:t>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September 30, 2024 and March 31, 2024, no material amounts previously distributed have been accrued for clawback liabilities.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Unconsolidated VIEs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 </w:t>
      </w:r>
    </w:p>
    <w:tbl>
      <w:tblPr>
        <w:tblW w:w="10205" w:type="dxa"/>
        <w:jc w:val="left"/>
        <w:tblInd w:w="0" w:type="dxa"/>
        <w:tblLayout w:type="fixed"/>
        <w:tblCellMar>
          <w:top w:w="28" w:type="dxa"/>
          <w:left w:w="28" w:type="dxa"/>
          <w:bottom w:w="28" w:type="dxa"/>
          <w:right w:w="28" w:type="dxa"/>
        </w:tblCellMar>
      </w:tblPr>
      <w:tblGrid>
        <w:gridCol w:w="2520"/>
        <w:gridCol w:w="2211"/>
        <w:gridCol w:w="2217"/>
        <w:gridCol w:w="293"/>
        <w:gridCol w:w="1151"/>
        <w:gridCol w:w="151"/>
        <w:gridCol w:w="109"/>
        <w:gridCol w:w="109"/>
        <w:gridCol w:w="109"/>
        <w:gridCol w:w="235"/>
        <w:gridCol w:w="924"/>
        <w:gridCol w:w="176"/>
      </w:tblGrid>
      <w:tr>
        <w:trPr/>
        <w:tc>
          <w:tcPr>
            <w:tcW w:w="252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6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funds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150,735 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135,043 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investments in funds</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 net</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attributable to non-controlling interests in subsidiaries</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attributable to non-controlling interests in legacy Greenspring entities</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exposure to loss</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170,496 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144,425 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5.    Investments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condensed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in the condensed consolidated statements of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Equity Method Investments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equity method investments consist of the following:</w:t>
      </w:r>
    </w:p>
    <w:tbl>
      <w:tblPr>
        <w:tblW w:w="10128" w:type="dxa"/>
        <w:jc w:val="left"/>
        <w:tblInd w:w="0" w:type="dxa"/>
        <w:tblLayout w:type="fixed"/>
        <w:tblCellMar>
          <w:top w:w="28" w:type="dxa"/>
          <w:left w:w="28" w:type="dxa"/>
          <w:bottom w:w="28" w:type="dxa"/>
          <w:right w:w="28" w:type="dxa"/>
        </w:tblCellMar>
      </w:tblPr>
      <w:tblGrid>
        <w:gridCol w:w="2483"/>
        <w:gridCol w:w="2185"/>
        <w:gridCol w:w="2187"/>
        <w:gridCol w:w="261"/>
        <w:gridCol w:w="1209"/>
        <w:gridCol w:w="135"/>
        <w:gridCol w:w="109"/>
        <w:gridCol w:w="109"/>
        <w:gridCol w:w="109"/>
        <w:gridCol w:w="211"/>
        <w:gridCol w:w="976"/>
        <w:gridCol w:w="154"/>
      </w:tblGrid>
      <w:tr>
        <w:trPr/>
        <w:tc>
          <w:tcPr>
            <w:tcW w:w="2483"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Investments in funds</w:t>
            </w:r>
            <w:r>
              <w:rPr>
                <w:rFonts w:ascii="Times New Roman;sans-serif" w:hAnsi="Times New Roman;sans-serif"/>
                <w:b w:val="false"/>
                <w:color w:val="000000"/>
                <w:sz w:val="13"/>
              </w:rPr>
              <w:t>(1)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155,857 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carried interest allocations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1,381,110 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Legacy Greenspring investments in funds and accrued carried interest allocations</w:t>
            </w:r>
            <w:r>
              <w:rPr>
                <w:rFonts w:ascii="Times New Roman;sans-serif" w:hAnsi="Times New Roman;sans-serif"/>
                <w:b w:val="false"/>
                <w:color w:val="000000"/>
                <w:sz w:val="13"/>
              </w:rPr>
              <w:t>(2)</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method investments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2,160,513 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investments in funds were $231.7 million and $204.8 million as of September 30, 2024 and March 31, 2024, respectively. The consolidation of the Consolidated Funds results in the elimination of the Company’s investments in such funds.</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(2)Reflects investments in funds of $150.9 million and $147.0 million and carried interest allocations of $472.7 million and $484.2 million as of September 30, 2024 and March 31, 2024, respectively.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recognized equity method income (loss) of the following:</w:t>
      </w:r>
    </w:p>
    <w:tbl>
      <w:tblPr>
        <w:tblW w:w="9893" w:type="dxa"/>
        <w:jc w:val="left"/>
        <w:tblInd w:w="0" w:type="dxa"/>
        <w:tblLayout w:type="fixed"/>
        <w:tblCellMar>
          <w:top w:w="28" w:type="dxa"/>
          <w:left w:w="28" w:type="dxa"/>
          <w:bottom w:w="28" w:type="dxa"/>
          <w:right w:w="28" w:type="dxa"/>
        </w:tblCellMar>
      </w:tblPr>
      <w:tblGrid>
        <w:gridCol w:w="1430"/>
        <w:gridCol w:w="1256"/>
        <w:gridCol w:w="1259"/>
        <w:gridCol w:w="253"/>
        <w:gridCol w:w="866"/>
        <w:gridCol w:w="131"/>
        <w:gridCol w:w="131"/>
        <w:gridCol w:w="131"/>
        <w:gridCol w:w="131"/>
        <w:gridCol w:w="253"/>
        <w:gridCol w:w="866"/>
        <w:gridCol w:w="131"/>
        <w:gridCol w:w="109"/>
        <w:gridCol w:w="109"/>
        <w:gridCol w:w="109"/>
        <w:gridCol w:w="225"/>
        <w:gridCol w:w="769"/>
        <w:gridCol w:w="116"/>
        <w:gridCol w:w="116"/>
        <w:gridCol w:w="116"/>
        <w:gridCol w:w="116"/>
        <w:gridCol w:w="225"/>
        <w:gridCol w:w="881"/>
        <w:gridCol w:w="164"/>
      </w:tblGrid>
      <w:tr>
        <w:trPr/>
        <w:tc>
          <w:tcPr>
            <w:tcW w:w="1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Carried interest allocations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carried interest allocations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investment loss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method income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increase in carried interest allocations for the three months ended September 30, 2024 as compared to the three months ended September 30, 2023 was primarily attributable to higher net unrealized appreciation in the fair value of the underlying investments in the Company’s infrastructure funds. The decrease in carried interest allocations for the six months ended September 30, 2024 as compared to the six months ended September 30, 2023 was primarily attributable to lower net unrealized appreciation in the fair value of the underlying investments in the Company’s private equity funds. The increase in legacy Greenspring carried interest allocations for the three and six months ended September 30, 2024 was primarily attributable to net unrealized appreciation in the fair value of certain underlying fund investments for the three and six months ended September 30, 2024 as compared to net unrealized depreciation in the fair value of certain underlying fund investments for the three and six months ended September 30, 2023. See note 2 for a discussion of the Company’s accounting policy for investments on a three-month lag.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September 30, 2024 and March 31, 2024, the Company’s investments in one and two SMAs, respectively, each individually represented 10% or more of the total accrued carried interest allocations balance, and in the aggregate represented approximately 15% and 26%, respectively, of the total accrued carried interest allocations balance as of those dates. As of September 30, 2024 and March 31, 2024, the Company’s investments in two and three commingled funds, respectively, each individually represented 10% or more of the total legacy Greenspring accrued carried interest allocations balance, and in the aggregate represented approximately 26% and 36%, respectively, of the total legacy Greenspring accrued carried interest allocations balances as of those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Of the total accrued carried interest allocations balance as of September 30, 2024 and March 31, 2024, $680.5 million and $719.5 million, respectively, were payable to affiliates and are included in accrued carried interest-related compensation in the condensed consolidated balance sheets. Of the total legacy Greenspring investments in funds and accrued carried interest allocations balance as of September 30, 2024 and March 31, 2024, $472.7 million and $484.2 million, respectively, were payable to employees who are considered affiliates of the Company and are included in legacy Greenspring accrued carried interest-related compensation in the condensed consolidated balance sheets and $150.9 million and $147.0 million, respectively, are reflected as non-controlling interests in legacy Greenspring entities in the condensed consolidated balance sheets.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evaluates each of its equity method investments to determine if any are considered significant as defined by the SEC. As of September 30, 2024 and March 31, 2024, no individual equity method investment held by the Company met the significance criteria. As a result, the Company is not required to provide separate financial statements for any of its equity method investments.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Investments of Consolidated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consolidates funds and entities when it is deemed to hold a controlling financial interest. The activity of the Consolidated Funds is reflected within the condensed consolidated financial statements.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Investments held by the Consolidated Funds are summarized below:</w:t>
      </w:r>
    </w:p>
    <w:tbl>
      <w:tblPr>
        <w:tblW w:w="10205" w:type="dxa"/>
        <w:jc w:val="left"/>
        <w:tblInd w:w="0" w:type="dxa"/>
        <w:tblLayout w:type="fixed"/>
        <w:tblCellMar>
          <w:top w:w="28" w:type="dxa"/>
          <w:left w:w="28" w:type="dxa"/>
          <w:bottom w:w="28" w:type="dxa"/>
          <w:right w:w="28" w:type="dxa"/>
        </w:tblCellMar>
      </w:tblPr>
      <w:tblGrid>
        <w:gridCol w:w="1618"/>
        <w:gridCol w:w="1422"/>
        <w:gridCol w:w="1426"/>
        <w:gridCol w:w="239"/>
        <w:gridCol w:w="937"/>
        <w:gridCol w:w="123"/>
        <w:gridCol w:w="109"/>
        <w:gridCol w:w="109"/>
        <w:gridCol w:w="109"/>
        <w:gridCol w:w="219"/>
        <w:gridCol w:w="861"/>
        <w:gridCol w:w="113"/>
        <w:gridCol w:w="109"/>
        <w:gridCol w:w="109"/>
        <w:gridCol w:w="109"/>
        <w:gridCol w:w="281"/>
        <w:gridCol w:w="281"/>
        <w:gridCol w:w="595"/>
        <w:gridCol w:w="154"/>
        <w:gridCol w:w="154"/>
        <w:gridCol w:w="154"/>
        <w:gridCol w:w="272"/>
        <w:gridCol w:w="220"/>
        <w:gridCol w:w="482"/>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Total Investments as of</w:t>
            </w:r>
          </w:p>
        </w:tc>
      </w:tr>
      <w:tr>
        <w:trPr/>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Investments of Consolidated Funds:</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(cost of $25.1 million and $15.6 million as of September 30, 2024 and March 31, 2024, respectively)</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and LLC interests (cost of $157.3 million and $76.0 million as of September 30, 2024 and March 31, 2024, respectively)</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of Consolidated Funds</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233,398 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131,858 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of September 30, 2024 and March 31, 2024, no individual investment had a fair value greater than 5% of the Company’s total assets.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net realized and unrealized gains (losses) from investment activities of the Consolidated Funds:</w:t>
      </w:r>
    </w:p>
    <w:tbl>
      <w:tblPr>
        <w:tblW w:w="9439" w:type="dxa"/>
        <w:jc w:val="left"/>
        <w:tblInd w:w="0" w:type="dxa"/>
        <w:tblLayout w:type="fixed"/>
        <w:tblCellMar>
          <w:top w:w="28" w:type="dxa"/>
          <w:left w:w="28" w:type="dxa"/>
          <w:bottom w:w="28" w:type="dxa"/>
          <w:right w:w="28" w:type="dxa"/>
        </w:tblCellMar>
      </w:tblPr>
      <w:tblGrid>
        <w:gridCol w:w="1266"/>
        <w:gridCol w:w="1113"/>
        <w:gridCol w:w="1115"/>
        <w:gridCol w:w="337"/>
        <w:gridCol w:w="697"/>
        <w:gridCol w:w="174"/>
        <w:gridCol w:w="174"/>
        <w:gridCol w:w="174"/>
        <w:gridCol w:w="174"/>
        <w:gridCol w:w="337"/>
        <w:gridCol w:w="649"/>
        <w:gridCol w:w="174"/>
        <w:gridCol w:w="109"/>
        <w:gridCol w:w="109"/>
        <w:gridCol w:w="109"/>
        <w:gridCol w:w="305"/>
        <w:gridCol w:w="675"/>
        <w:gridCol w:w="158"/>
        <w:gridCol w:w="158"/>
        <w:gridCol w:w="158"/>
        <w:gridCol w:w="158"/>
        <w:gridCol w:w="305"/>
        <w:gridCol w:w="588"/>
        <w:gridCol w:w="223"/>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Investments of Consolidated Funds: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(losses) on investments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on investments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6.    Fair Value Measurements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measures certain assets and liabilities at fair value on a recurring basis. The following tables provide details regarding the classification of these assets and liabilities within the fair value hierarchy as of the dates presented: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Financial Instruments of the Company</w:t>
      </w:r>
    </w:p>
    <w:tbl>
      <w:tblPr>
        <w:tblW w:w="7845" w:type="dxa"/>
        <w:jc w:val="left"/>
        <w:tblInd w:w="0" w:type="dxa"/>
        <w:tblLayout w:type="fixed"/>
        <w:tblCellMar>
          <w:top w:w="28" w:type="dxa"/>
          <w:left w:w="28" w:type="dxa"/>
          <w:bottom w:w="28" w:type="dxa"/>
          <w:right w:w="28" w:type="dxa"/>
        </w:tblCellMar>
      </w:tblPr>
      <w:tblGrid>
        <w:gridCol w:w="1190"/>
        <w:gridCol w:w="1043"/>
        <w:gridCol w:w="1052"/>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45" w:type="dxa"/>
        <w:jc w:val="left"/>
        <w:tblInd w:w="0" w:type="dxa"/>
        <w:tblLayout w:type="fixed"/>
        <w:tblCellMar>
          <w:top w:w="28" w:type="dxa"/>
          <w:left w:w="28" w:type="dxa"/>
          <w:bottom w:w="28" w:type="dxa"/>
          <w:right w:w="28" w:type="dxa"/>
        </w:tblCellMar>
      </w:tblPr>
      <w:tblGrid>
        <w:gridCol w:w="1190"/>
        <w:gridCol w:w="1043"/>
        <w:gridCol w:w="1052"/>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financial instruments presented in the tables above, there were no changes in fair value hierarchy levels during the three and six months ended September 30, 2024 and 2023.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reconciliation from the beginning balance to the closing balance of Level III financial instruments of the Company are set forth below:</w:t>
      </w:r>
    </w:p>
    <w:tbl>
      <w:tblPr>
        <w:tblW w:w="10205" w:type="dxa"/>
        <w:jc w:val="left"/>
        <w:tblInd w:w="0" w:type="dxa"/>
        <w:tblLayout w:type="fixed"/>
        <w:tblCellMar>
          <w:top w:w="28" w:type="dxa"/>
          <w:left w:w="28" w:type="dxa"/>
          <w:bottom w:w="28" w:type="dxa"/>
          <w:right w:w="28" w:type="dxa"/>
        </w:tblCellMar>
      </w:tblPr>
      <w:tblGrid>
        <w:gridCol w:w="1784"/>
        <w:gridCol w:w="1463"/>
        <w:gridCol w:w="1470"/>
        <w:gridCol w:w="227"/>
        <w:gridCol w:w="777"/>
        <w:gridCol w:w="117"/>
        <w:gridCol w:w="117"/>
        <w:gridCol w:w="117"/>
        <w:gridCol w:w="117"/>
        <w:gridCol w:w="227"/>
        <w:gridCol w:w="777"/>
        <w:gridCol w:w="117"/>
        <w:gridCol w:w="109"/>
        <w:gridCol w:w="109"/>
        <w:gridCol w:w="109"/>
        <w:gridCol w:w="219"/>
        <w:gridCol w:w="752"/>
        <w:gridCol w:w="113"/>
        <w:gridCol w:w="113"/>
        <w:gridCol w:w="113"/>
        <w:gridCol w:w="113"/>
        <w:gridCol w:w="219"/>
        <w:gridCol w:w="752"/>
        <w:gridCol w:w="174"/>
      </w:tblGrid>
      <w:tr>
        <w:trPr/>
        <w:tc>
          <w:tcPr>
            <w:tcW w:w="178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Contingent consideration obligations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unrealized (gains) losses included in earnings related to financial instruments still held at the reporting date</w:t>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13,666 </w:t>
            </w:r>
          </w:p>
        </w:tc>
        <w:tc>
          <w:tcPr>
            <w:tcW w:w="1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w:t>
            </w:r>
          </w:p>
        </w:tc>
        <w:tc>
          <w:tcPr>
            <w:tcW w:w="1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Contingent Consideration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fair value of the contingent consideration obligation is based on a discounted cash flow analysis using a probability-weighted average estimate of certain performance targets, including revenue levels. The assumptions used in the analysis are inherently subjective; therefore, the ultimate amount of the contingent consideration obligations may differ materially from the current estimate. The significant unobservable inputs required to value the contingent consideration obligation primarily relate to the future expected revenues and the discount rate applied to the expected future revenues and payments of obligations, which was 6% as of September 30, 2024. The contingent consideration obligation balance is included in accounts payable, accrued expenses and other liabilities in the condensed consolidated balance sheets. Changes in the fair value of the liabilities are included in general, administrative and other expenses in the condensed consolidated statements of income.</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Financial Instruments of Consolidated Funds</w:t>
      </w:r>
    </w:p>
    <w:tbl>
      <w:tblPr>
        <w:tblW w:w="6097" w:type="dxa"/>
        <w:jc w:val="left"/>
        <w:tblInd w:w="0" w:type="dxa"/>
        <w:tblLayout w:type="fixed"/>
        <w:tblCellMar>
          <w:top w:w="28" w:type="dxa"/>
          <w:left w:w="28" w:type="dxa"/>
          <w:bottom w:w="28" w:type="dxa"/>
          <w:right w:w="28" w:type="dxa"/>
        </w:tblCellMar>
      </w:tblPr>
      <w:tblGrid>
        <w:gridCol w:w="536"/>
        <w:gridCol w:w="472"/>
        <w:gridCol w:w="476"/>
        <w:gridCol w:w="211"/>
        <w:gridCol w:w="406"/>
        <w:gridCol w:w="109"/>
        <w:gridCol w:w="109"/>
        <w:gridCol w:w="109"/>
        <w:gridCol w:w="109"/>
        <w:gridCol w:w="226"/>
        <w:gridCol w:w="436"/>
        <w:gridCol w:w="117"/>
        <w:gridCol w:w="109"/>
        <w:gridCol w:w="109"/>
        <w:gridCol w:w="109"/>
        <w:gridCol w:w="211"/>
        <w:gridCol w:w="721"/>
        <w:gridCol w:w="109"/>
        <w:gridCol w:w="109"/>
        <w:gridCol w:w="109"/>
        <w:gridCol w:w="109"/>
        <w:gridCol w:w="211"/>
        <w:gridCol w:w="721"/>
        <w:gridCol w:w="154"/>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2024</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32" w:type="dxa"/>
        <w:jc w:val="left"/>
        <w:tblInd w:w="0" w:type="dxa"/>
        <w:tblLayout w:type="fixed"/>
        <w:tblCellMar>
          <w:top w:w="28" w:type="dxa"/>
          <w:left w:w="28" w:type="dxa"/>
          <w:bottom w:w="28" w:type="dxa"/>
          <w:right w:w="28" w:type="dxa"/>
        </w:tblCellMar>
      </w:tblPr>
      <w:tblGrid>
        <w:gridCol w:w="910"/>
        <w:gridCol w:w="801"/>
        <w:gridCol w:w="808"/>
        <w:gridCol w:w="211"/>
        <w:gridCol w:w="406"/>
        <w:gridCol w:w="109"/>
        <w:gridCol w:w="109"/>
        <w:gridCol w:w="109"/>
        <w:gridCol w:w="109"/>
        <w:gridCol w:w="226"/>
        <w:gridCol w:w="436"/>
        <w:gridCol w:w="117"/>
        <w:gridCol w:w="109"/>
        <w:gridCol w:w="109"/>
        <w:gridCol w:w="109"/>
        <w:gridCol w:w="211"/>
        <w:gridCol w:w="721"/>
        <w:gridCol w:w="109"/>
        <w:gridCol w:w="109"/>
        <w:gridCol w:w="109"/>
        <w:gridCol w:w="109"/>
        <w:gridCol w:w="211"/>
        <w:gridCol w:w="721"/>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and LLC interests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financial instruments presented in the tables above, there were no changes in fair value hierarchy levels during the three and six months ended September 30, 2024 and 2023.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generally values its investment funds, which are generally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September 30, 2024 and March 31, 2024, investments with a combined fair value of $205.9 million and $118.2 million, respectively, are excluded from presentation in the fair value hierarchy as the fair value of these investments were measured at net asset value. As of September 30, 2024 and March 31, 2024, investments with a combined fair value of $27.5 million and $13.7 million, respectively, were classified as Level III investments. The significant unobservable input used to value these investments classified as Level III are the discounts to recent transaction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reconciliation from the beginning balance to the closing balance of Level III financial instruments of Consolidated Funds are set forth below:</w:t>
      </w:r>
    </w:p>
    <w:tbl>
      <w:tblPr>
        <w:tblW w:w="10205" w:type="dxa"/>
        <w:jc w:val="left"/>
        <w:tblInd w:w="0" w:type="dxa"/>
        <w:tblLayout w:type="fixed"/>
        <w:tblCellMar>
          <w:top w:w="28" w:type="dxa"/>
          <w:left w:w="28" w:type="dxa"/>
          <w:bottom w:w="28" w:type="dxa"/>
          <w:right w:w="28" w:type="dxa"/>
        </w:tblCellMar>
      </w:tblPr>
      <w:tblGrid>
        <w:gridCol w:w="1810"/>
        <w:gridCol w:w="1318"/>
        <w:gridCol w:w="1323"/>
        <w:gridCol w:w="226"/>
        <w:gridCol w:w="774"/>
        <w:gridCol w:w="117"/>
        <w:gridCol w:w="117"/>
        <w:gridCol w:w="117"/>
        <w:gridCol w:w="117"/>
        <w:gridCol w:w="226"/>
        <w:gridCol w:w="774"/>
        <w:gridCol w:w="117"/>
        <w:gridCol w:w="109"/>
        <w:gridCol w:w="109"/>
        <w:gridCol w:w="109"/>
        <w:gridCol w:w="211"/>
        <w:gridCol w:w="721"/>
        <w:gridCol w:w="109"/>
        <w:gridCol w:w="109"/>
        <w:gridCol w:w="109"/>
        <w:gridCol w:w="109"/>
        <w:gridCol w:w="211"/>
        <w:gridCol w:w="721"/>
        <w:gridCol w:w="542"/>
      </w:tblGrid>
      <w:tr>
        <w:trPr/>
        <w:tc>
          <w:tcPr>
            <w:tcW w:w="181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September 30,</w:t>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into Level III</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542" w:type="dxa"/>
            <w:tcBorders/>
            <w:shd w:fill="CCEE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III</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10,486 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12,329 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unrealized gains (losses) included in earnings related to financial instruments still held at the reporting date</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7.    Intangibles and Goodwill</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Intangible assets consist of management contracts providing economic rights to management and advisory fees and client relationships related to future fundraising, as obtained through the Company’s acquisitions of other businesses.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 net consists of the following:</w:t>
      </w:r>
    </w:p>
    <w:tbl>
      <w:tblPr>
        <w:tblW w:w="6010" w:type="dxa"/>
        <w:jc w:val="left"/>
        <w:tblInd w:w="0" w:type="dxa"/>
        <w:tblLayout w:type="fixed"/>
        <w:tblCellMar>
          <w:top w:w="28" w:type="dxa"/>
          <w:left w:w="28" w:type="dxa"/>
          <w:bottom w:w="28" w:type="dxa"/>
          <w:right w:w="28" w:type="dxa"/>
        </w:tblCellMar>
      </w:tblPr>
      <w:tblGrid>
        <w:gridCol w:w="995"/>
        <w:gridCol w:w="872"/>
        <w:gridCol w:w="878"/>
        <w:gridCol w:w="295"/>
        <w:gridCol w:w="1157"/>
        <w:gridCol w:w="152"/>
        <w:gridCol w:w="109"/>
        <w:gridCol w:w="109"/>
        <w:gridCol w:w="109"/>
        <w:gridCol w:w="236"/>
        <w:gridCol w:w="926"/>
        <w:gridCol w:w="172"/>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relationships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(164,280)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284,372 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304,873 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pPr>
      <w:r>
        <w:rPr>
          <w:rFonts w:ascii="Times New Roman;sans-serif" w:hAnsi="Times New Roman;sans-serif"/>
          <w:b w:val="false"/>
          <w:color w:val="000000"/>
          <w:sz w:val="22"/>
        </w:rPr>
        <w:t>Amortization expense related to intangible assets was $10.3 million and</w:t>
      </w:r>
      <w:r>
        <w:rPr>
          <w:color w:val="000000"/>
        </w:rPr>
        <w:t xml:space="preserve"> </w:t>
      </w:r>
      <w:r>
        <w:rPr>
          <w:rFonts w:ascii="Times New Roman;sans-serif" w:hAnsi="Times New Roman;sans-serif"/>
          <w:b w:val="false"/>
          <w:color w:val="000000"/>
          <w:sz w:val="22"/>
        </w:rPr>
        <w:t>$10.7 million for the three months ended September 30, 2024 and 2023, respectively, and $20.5 million and $21.3 million for the six months ended September 30, 2024 and 2023, respectively. These amounts are included in general, administrative and other expenses in the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At September 30, 2024, the expected future amortization of finite-lived intangible assets is as follows:</w:t>
      </w:r>
    </w:p>
    <w:tbl>
      <w:tblPr>
        <w:tblW w:w="3111" w:type="dxa"/>
        <w:jc w:val="left"/>
        <w:tblInd w:w="0" w:type="dxa"/>
        <w:tblLayout w:type="fixed"/>
        <w:tblCellMar>
          <w:top w:w="28" w:type="dxa"/>
          <w:left w:w="28" w:type="dxa"/>
          <w:bottom w:w="28" w:type="dxa"/>
          <w:right w:w="28" w:type="dxa"/>
        </w:tblCellMar>
      </w:tblPr>
      <w:tblGrid>
        <w:gridCol w:w="695"/>
        <w:gridCol w:w="611"/>
        <w:gridCol w:w="614"/>
        <w:gridCol w:w="211"/>
        <w:gridCol w:w="82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FY2025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carrying value of goodwill was $580.5 million as of September 30, 2024 and March 31, 2024. The Company determined there was no indication of goodwill impairment as of September 30, 2024 and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8. Debt Obligations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revolving credit facility (the “Revolver”). As of September 30, 2024, the Company had $172.3 million outstanding on the Revolver, net of debt issuance costs.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debt obligations consist of the following:</w:t>
      </w:r>
    </w:p>
    <w:tbl>
      <w:tblPr>
        <w:tblW w:w="5742" w:type="dxa"/>
        <w:jc w:val="left"/>
        <w:tblInd w:w="0" w:type="dxa"/>
        <w:tblLayout w:type="fixed"/>
        <w:tblCellMar>
          <w:top w:w="28" w:type="dxa"/>
          <w:left w:w="28" w:type="dxa"/>
          <w:bottom w:w="28" w:type="dxa"/>
          <w:right w:w="28" w:type="dxa"/>
        </w:tblCellMar>
      </w:tblPr>
      <w:tblGrid>
        <w:gridCol w:w="781"/>
        <w:gridCol w:w="687"/>
        <w:gridCol w:w="692"/>
        <w:gridCol w:w="326"/>
        <w:gridCol w:w="1276"/>
        <w:gridCol w:w="168"/>
        <w:gridCol w:w="109"/>
        <w:gridCol w:w="109"/>
        <w:gridCol w:w="109"/>
        <w:gridCol w:w="263"/>
        <w:gridCol w:w="1030"/>
        <w:gridCol w:w="192"/>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obligations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172,264 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148,822 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bear interest at a variable rate per annum. The Company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September 30, 2024 was 7.41%.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Revolver bears a fee on undrawn commitments equal to 0.25% per annum if total utilization of revolving commitments is equal to or greater than 50% and 0.35% per annum if total utilization of revolving commitments is less than 50%.</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As of September 30, 2024, the Company was in compliance with the total net leverage ratio and minimum fee-earning assets under management covenants.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can use available funding capacity under the Revolver to satisfy letters of credit in amounts up to $10.0 million. Amounts used to satisfy the letters of credit reduce the available capacity under the Revolver. As of September 30, 2024, the Company had outstanding letters of credit totaling $6.5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9.    Equity-Based Compensation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change in unvested RSUs is as follows:</w:t>
      </w:r>
    </w:p>
    <w:tbl>
      <w:tblPr>
        <w:tblW w:w="8729" w:type="dxa"/>
        <w:jc w:val="left"/>
        <w:tblInd w:w="0" w:type="dxa"/>
        <w:tblLayout w:type="fixed"/>
        <w:tblCellMar>
          <w:top w:w="28" w:type="dxa"/>
          <w:left w:w="28" w:type="dxa"/>
          <w:bottom w:w="28" w:type="dxa"/>
          <w:right w:w="28" w:type="dxa"/>
        </w:tblCellMar>
      </w:tblPr>
      <w:tblGrid>
        <w:gridCol w:w="1038"/>
        <w:gridCol w:w="910"/>
        <w:gridCol w:w="917"/>
        <w:gridCol w:w="488"/>
        <w:gridCol w:w="488"/>
        <w:gridCol w:w="481"/>
        <w:gridCol w:w="109"/>
        <w:gridCol w:w="109"/>
        <w:gridCol w:w="109"/>
        <w:gridCol w:w="862"/>
        <w:gridCol w:w="2584"/>
        <w:gridCol w:w="63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Grant-Date Fair Value Per RSU</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1,422,658 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(584,910)</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840,986 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Unvested Partnership Units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June 2024, 2,566,566 outstanding Class B2 units fully vested and were automatically converted into Class B units and all unitholders were entitled to purchase from the Company one share of Class B common stock for each Class B unit at its par value. During the six months ended September 30, 2024, none of the outstanding Class B2 units were forfeited.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of September 30, 2024, $30.6 million of unrecognized non-cash compensation expense in respect of equity-based awards remained to be recognized over a weighted-average period of approximately 4.4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Liability Classified Awards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the SPW management team, through an entity named CH Equity Partners, LLC,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accounted for the profits interest and option agreement as a single unit of account as a liability classified equity-based award. There are no vesting provisions or service requirements related to the award.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recognized $32.0 million and $1.2 million during the three months ended September 30, 2024 and 2023, respectively, and $45.5 million and $5.1 million during the six months ended September 30, 2024 and 2023, respectively, of expense related to the fair value of liability classified awards within equity-based compensation expense in the condensed consolidated statements of income. For the three and six months ended September 30, 2024, the Company paid $0.6 million related to the settlement of liability classified awards. For the three and six months ended September 30, 2023, no amounts were paid related to the settlement of liability classified awards. As of September 30, 2024 and March 31, 2024, the Company had recognized $70.8 million and $28.3 million, respectively, for liability classified awards within accounts payable, accrued expenses and other liabilities in the condensed consolidated balance sheets.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Employee Stock Purchase Plan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an ESPP under which eligible employees may purchase shares of Class A common stock of the Company at six-month period intervals for 85% of the lower of the fair market value on either the first or last trading day of the offering period. Each eligible employee may purchase up to five thousand dollars worth of shares each six-month offering period, limited to a maximum of 1,000 shares. During the three and six months ended September 30, 2024, 38,096 shares were purchased under the ESPP. There were no shares purchased under the ESPP during the three and six months ended September 30, 2023 as the ESPP had not yet commenced. As of September 30, 2024, the Company has 2,161,904 shares of Class A common stock reserved for future issuances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10.    Income Taxes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exchanges of Class B units and Class C units of the Partnership for Class A common stock by certain limited partners of the Partnership during the three months ended September 30, 2024, the Company recorded an increase to the deferred tax asset of $50.9 million and a decrease in the valuation allowance of $0.9 million. Additionally, a corresponding Tax Receivable Agreements liability of $46.5 million was recorded, representing 85% of the incremental net cash tax savings for the Company as a result of these exchanges. The Company made no payments during the three months ended September 30, 2024 and 2023, respectively, and payments of $9.8 million and $7.7 million during the six months ended September 30, 2024 and 2023, respectively, under the Tax Receivable Agreements. As of September 30, 2024, the Company’s total Tax Receivable Agreements liability was $261.9 million. See note 12 for more information on the Tax Receivable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effective tax rate was 8.2% and 11.5% for the three months ended September 30, 2024 and 2023, respectively, and 10.2% and 13.1% for the six months ended September 30, 2024 and 2023, respectively. The Company’s overall effective tax rate in each of the periods described above is less than the statutory rate as a portion of income was allocated to non-controlling interests and the tax liability on such income is borne by the holders of non-controlling interests. The primary rate difference was driven by an increase in tax benefits related to income allocated to non-controlling interests, as well as an increase in tax benefits associated with the vesting of RSUs for the three and six months ended September 30, 2024.</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continues to monitor and evaluate legislative developments related to the proposed Global Anti-Base Erosion (“GloBE”) Model Rules established under the Organization for Economic Co-operation and Development’s Pillar Two framework. Several countries where the Company operates have adopted GloBE into their legislation, and additional countries are anticipated to adopt these rules in the future. To date, these legislative changes have not had a material impact on the Company’s effective tax rate.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evaluates the realizability of its deferred tax assets on a quarterly basis and adjusts the valuation allowance when it is more-likely-than-not that all or a portion of the deferred tax assets may not be realized.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of September 30, 2024, the Company has not recorded any unrecognized tax benefits and does not expect there to be any material changes to uncertain tax positions within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jc w:val="left"/>
        <w:rPr>
          <w:rFonts w:ascii="Times New Roman;sans-serif" w:hAnsi="Times New Roman;sans-serif"/>
          <w:b/>
          <w:color w:val="000000"/>
          <w:sz w:val="22"/>
        </w:rPr>
      </w:pPr>
      <w:r>
        <w:rPr>
          <w:rFonts w:ascii="Times New Roman;sans-serif" w:hAnsi="Times New Roman;sans-serif"/>
          <w:b/>
          <w:color w:val="000000"/>
          <w:sz w:val="22"/>
        </w:rPr>
        <w:t>11.    Earnings Per Share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Basic and diluted earnings per share of Class A common stock are presented for the three and six months ended September 30, 2024 and 2023. The following table sets forth reconciliations of the numerators and denominators used to compute basic and diluted earnings per share of Class A common stock:</w:t>
      </w:r>
    </w:p>
    <w:tbl>
      <w:tblPr>
        <w:tblW w:w="10205" w:type="dxa"/>
        <w:jc w:val="left"/>
        <w:tblInd w:w="0" w:type="dxa"/>
        <w:tblLayout w:type="fixed"/>
        <w:tblCellMar>
          <w:top w:w="28" w:type="dxa"/>
          <w:left w:w="28" w:type="dxa"/>
          <w:bottom w:w="28" w:type="dxa"/>
          <w:right w:w="28" w:type="dxa"/>
        </w:tblCellMar>
      </w:tblPr>
      <w:tblGrid>
        <w:gridCol w:w="1577"/>
        <w:gridCol w:w="1250"/>
        <w:gridCol w:w="1259"/>
        <w:gridCol w:w="273"/>
        <w:gridCol w:w="880"/>
        <w:gridCol w:w="127"/>
        <w:gridCol w:w="127"/>
        <w:gridCol w:w="127"/>
        <w:gridCol w:w="127"/>
        <w:gridCol w:w="273"/>
        <w:gridCol w:w="880"/>
        <w:gridCol w:w="127"/>
        <w:gridCol w:w="109"/>
        <w:gridCol w:w="109"/>
        <w:gridCol w:w="109"/>
        <w:gridCol w:w="251"/>
        <w:gridCol w:w="846"/>
        <w:gridCol w:w="120"/>
        <w:gridCol w:w="120"/>
        <w:gridCol w:w="120"/>
        <w:gridCol w:w="120"/>
        <w:gridCol w:w="251"/>
        <w:gridCol w:w="846"/>
        <w:gridCol w:w="177"/>
      </w:tblGrid>
      <w:tr>
        <w:trPr/>
        <w:tc>
          <w:tcPr>
            <w:tcW w:w="157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2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StepStone Group Inc. – Basic</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47,494 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income from assumed vesting of RSUs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income from assumed vesting and exchange of Class B2 units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income from assumed purchase under ESPP</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StepStone Group Inc. – Diluted</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Basic</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68,772,051 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62,858,468 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67,486,964 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62,846,708 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of RSUs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601,620 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and exchange of Class B2 units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2,538,647 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2,521,725 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purchase under ESPP</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Diluted</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69,695,315 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66,198,129 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69,147,549 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65,970,053 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Class A common stock:</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calculation of diluted earnings per share excludes 42,482,042 Class B units, 1,041,403 Class C units and 2,239,185 Class D units of the Partnership outstanding as of September 30, 2024, and 46,314,543 Class B units and 1,962,131 Class C units of the Partnership outstanding as of September 30, 2023, all of which are exchangeable into Class A common stock under the if-converted method, as the inclusion of such shares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12.    Related Party Transactions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considers its directors, greater than 5% beneficial owner of any class of the Company’s stock,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$124.8 million and $96.3 million for the three months ended September 30, 2024 and 2023, respectively, and $248.5 million and $189.1 million for the six months ended September 30, 2024 and 2023, respectively. Carried interest allocation revenues earned from the StepStone Funds totaled $69.8 million and $57.0 million for the three months ended September 30, 2024 and 2023, respectively, and $86.5 million and $120.8 million for the six months ended September 30, 2024 and 2023, respectively. Legacy Greenspring carried interest allocation revenues earned from certain legacy Greenspring funds for which the Company has no direct economic interests totaled $13.9 million and $(12.6) million for the three months ended September 30, 2024 and 2023, respectively, and $4.8 million and $(36.6) million for the six months ended September 30, 2024 and 2023, respectively.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as set forth below.</w:t>
      </w:r>
    </w:p>
    <w:tbl>
      <w:tblPr>
        <w:tblW w:w="6836" w:type="dxa"/>
        <w:jc w:val="left"/>
        <w:tblInd w:w="0" w:type="dxa"/>
        <w:tblLayout w:type="fixed"/>
        <w:tblCellMar>
          <w:top w:w="28" w:type="dxa"/>
          <w:left w:w="28" w:type="dxa"/>
          <w:bottom w:w="28" w:type="dxa"/>
          <w:right w:w="28" w:type="dxa"/>
        </w:tblCellMar>
      </w:tblPr>
      <w:tblGrid>
        <w:gridCol w:w="1293"/>
        <w:gridCol w:w="1137"/>
        <w:gridCol w:w="1140"/>
        <w:gridCol w:w="325"/>
        <w:gridCol w:w="1112"/>
        <w:gridCol w:w="168"/>
        <w:gridCol w:w="109"/>
        <w:gridCol w:w="109"/>
        <w:gridCol w:w="109"/>
        <w:gridCol w:w="259"/>
        <w:gridCol w:w="886"/>
        <w:gridCol w:w="189"/>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receivable from StepStone Funds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receivable from employees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receivable from loans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due from affiliates</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tbl>
      <w:tblPr>
        <w:tblW w:w="10205" w:type="dxa"/>
        <w:jc w:val="left"/>
        <w:tblInd w:w="0" w:type="dxa"/>
        <w:tblLayout w:type="fixed"/>
        <w:tblCellMar>
          <w:top w:w="28" w:type="dxa"/>
          <w:left w:w="28" w:type="dxa"/>
          <w:bottom w:w="28" w:type="dxa"/>
          <w:right w:w="28" w:type="dxa"/>
        </w:tblCellMar>
      </w:tblPr>
      <w:tblGrid>
        <w:gridCol w:w="2552"/>
        <w:gridCol w:w="2242"/>
        <w:gridCol w:w="2252"/>
        <w:gridCol w:w="279"/>
        <w:gridCol w:w="1097"/>
        <w:gridCol w:w="144"/>
        <w:gridCol w:w="109"/>
        <w:gridCol w:w="109"/>
        <w:gridCol w:w="109"/>
        <w:gridCol w:w="231"/>
        <w:gridCol w:w="908"/>
        <w:gridCol w:w="173"/>
      </w:tblGrid>
      <w:tr>
        <w:trPr/>
        <w:tc>
          <w:tcPr>
            <w:tcW w:w="2552"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7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420"/>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payable to non-controlling interest holders in connection with Tax Receivable Agreements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261,898 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206,841 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payable to StepStone Funds</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 to certain employee equity holders of consolidated subsidiaries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due to affiliates</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270,745 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212,918 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made no payments during the three months ended September 30, 2024 and 2023, respectively, and $9.8 million and $7.7 million for the six months ended September 30, 2024 and 2023, respectively, under the Tax Receivable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13.    Stockholders’ Equity and Redeemable Non-Controlling Interests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Stockholders’ Equity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Class C and Class D (further described below) limited partnership interests of the Partnership have substantially the same rights and obligations as are applicable to the existing holders of Class B units of the Partnership. The Company has no ownership interest in the Class C and Class D units, which are held by certain employees of the Company. The Company has entered into agreements with the Class C limited partners of the Partnership (the “Class C Exchange Agreement”) and Class D limited partners of the Partnership (the “Class D Exchange Agreement”) to allow for the exchange of Class C units and Class D units, respectively, to shares of Class A common stock of the Company on a one-for-one basis, subject to certain restrictions, as further described below in respect of the Class D Exchange Agreement.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shows a rollforward of the Company’s shares of common stock outstanding since March 31, 2024:</w:t>
      </w:r>
    </w:p>
    <w:tbl>
      <w:tblPr>
        <w:tblW w:w="10205" w:type="dxa"/>
        <w:jc w:val="left"/>
        <w:tblInd w:w="0" w:type="dxa"/>
        <w:tblLayout w:type="fixed"/>
        <w:tblCellMar>
          <w:top w:w="28" w:type="dxa"/>
          <w:left w:w="28" w:type="dxa"/>
          <w:bottom w:w="28" w:type="dxa"/>
          <w:right w:w="28" w:type="dxa"/>
        </w:tblCellMar>
      </w:tblPr>
      <w:tblGrid>
        <w:gridCol w:w="2284"/>
        <w:gridCol w:w="1880"/>
        <w:gridCol w:w="1872"/>
        <w:gridCol w:w="689"/>
        <w:gridCol w:w="612"/>
        <w:gridCol w:w="589"/>
        <w:gridCol w:w="109"/>
        <w:gridCol w:w="109"/>
        <w:gridCol w:w="109"/>
        <w:gridCol w:w="618"/>
        <w:gridCol w:w="578"/>
        <w:gridCol w:w="756"/>
      </w:tblGrid>
      <w:tr>
        <w:trPr/>
        <w:tc>
          <w:tcPr>
            <w:tcW w:w="2284"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6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B Common Stock</w:t>
            </w:r>
          </w:p>
        </w:tc>
      </w:tr>
      <w:tr>
        <w:trPr/>
        <w:tc>
          <w:tcPr>
            <w:tcW w:w="6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65,614,902 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45,030,959 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6"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6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issued in exchange for Class B partnership units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5,138,900 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(5,138,900)</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issued in exchange for Class C partnership units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810,809 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issued for vesting of RSUs, net of shares withheld for employee taxes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565,138 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issued for purchase of asset class non-controlling interests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513,394 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issued under ESPP</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38,096 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Class B common stock purchased at par value in connection with vesting of Class B2 units</w:t>
            </w:r>
            <w:r>
              <w:rPr>
                <w:rFonts w:ascii="Times New Roman;sans-serif" w:hAnsi="Times New Roman;sans-serif"/>
                <w:b w:val="false"/>
                <w:color w:val="000000"/>
                <w:sz w:val="13"/>
              </w:rPr>
              <w:t>(1)</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2,589,983 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13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72,681,239 </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42,482,042 </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(1)Includes 23,417 Class B units issuable pursuant to anti-dilution rights in connection with the vesting of Class B2 units.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has 25,000,000 authorized shares of preferred stock, par value of $0.001 per share, and as of September 30, 2024, no shares of preferred stock were issued or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September 2024, the Company issued 312,112 shares of Class A common stock to certain limited partners of the Partnership in exchange for 312,112 Class B units of the Partnership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34,027 shares of Class A common stock to certain limited partners of the Partnership in exchange for 34,027 Class C units of the Partnership in accordance with the elective exchange notices submitted pursuant to the Class C Exchange Agreement and a corresponding number of Class A units of the Partnership were issued to the Company.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Also in September 2024, the Company conducted an underwritten public offering of 4,099,997 shares of Class A common stock (the “September 2024 Offering”) at a public offering price of $50.00 per share. The Company used all of the net proceeds from the offering, after underwriting discounts and commissions and expenses, to purchase (i) 300,000 shares of Class A common stock of the Company from certain selling stockholders, (ii) 3,094,981 Class B units of the Partnership from certain holders thereof, including certain directors and executive officers of the Company, and (iii) 705,016 Class C units of the Partnership from certain holders thereof. 3,094,981 shares of Class B common stock were automatically redeemed at par value and canceled in connection with such exchange and 3,799,997 Class A units of the Partnership were issued to the Company.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June 2024, the Company issued 1,731,807 shares of Class A common stock to certain limited partners of the Partnership in exchange for 1,731,807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71,766 shares of Class A common stock to certain limited partners of the Partnership in exchange for 71,766 Class C units of the Partnership in accordance with the elective exchange notices submitted pursuant to the Class C Exchange Agreement and a corresponding number of Class A units of the Partnership were issued to the Company.</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On April 1, 2024, certain of the Company’s subsidiaries</w:t>
      </w:r>
      <w:r>
        <w:rPr>
          <w:color w:val="000000"/>
        </w:rPr>
        <w:t xml:space="preserve"> </w:t>
      </w:r>
      <w:r>
        <w:rPr>
          <w:rFonts w:ascii="Times New Roman;sans-serif" w:hAnsi="Times New Roman;sans-serif"/>
          <w:b w:val="false"/>
          <w:color w:val="000000"/>
          <w:sz w:val="22"/>
        </w:rPr>
        <w:t xml:space="preserve">underwent transactions to effect unitization of the outstanding classes of limited partnership interests. The economic rights and obligations of limited partnership interest holders were the same immediately prior to the unitization as immediately after the unitization. The outstanding classes of limited partnership interests, including the class of interests relating to awards of carried interest allocations granted to employees, were essentially combined into a single class of limited partnership interest and redesignated into units. The class of interests relating to awards of carried interest allocations granted to employees were previously accounted for as compensation arrangements under ASC 710, </w:t>
      </w:r>
      <w:r>
        <w:rPr>
          <w:rFonts w:ascii="Times New Roman;sans-serif" w:hAnsi="Times New Roman;sans-serif"/>
          <w:b w:val="false"/>
          <w:i/>
          <w:color w:val="000000"/>
          <w:sz w:val="22"/>
        </w:rPr>
        <w:t>Compensation</w:t>
      </w:r>
      <w:r>
        <w:rPr>
          <w:rFonts w:ascii="Times New Roman;sans-serif" w:hAnsi="Times New Roman;sans-serif"/>
          <w:b w:val="false"/>
          <w:color w:val="000000"/>
          <w:sz w:val="22"/>
        </w:rPr>
        <w:t>, and presented as carried interest-related compensation expense. The transaction was considered to be a transaction amongst equity holders, and the Company did not recognize any incremental compensation cost related to settlement of the accrued carried interest-related compensation.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Also on April 1, 2024, the Company exchanged certain ordinary shares in the SPD subsidiary and paid $5.4 million to purchase certain preferred shares in SPD with liquidation preference rights in connection with the Transaction Agreements (defined below). There was no change in the Company’s economic interest in SPD as a result of the transaction.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February 7, 2024, SSG and the Partnership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Transaction Agreements provide for, among other things and subject to the terms and conditions therein, the exchange of the sellers’ equity interests in the Asset Class Entities, as applicable, for a combination of (i) newly-created Class D equity interests (“Class D units”) in the Partnership with terms substantially similar to the Partnership’s existing Class C units, in the case of SRA and SRE, or shares of the Company’s Class A common stock, in the case of SPD and (ii) cash (at the discretion of the Company for all exchanges except the initial exchange), in up to ten annual exchanges (increased to up to fifteen annual exchanges in certain circumstances in case of the sellers of SRA equity interests).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May 31, 2024, the Company completed the first annual exchange (the “2024 Exchange”) to acquire approximately 5% of the equity interests of each of SRA, SRE and SPD pursuant to the Transaction Agreements. As a result of the 2024 Exchange, the Partnership now owns approximately 54% of the outstanding equity interests of SRA, 56% of the outstanding equity interests of SRE and 54% of the outstanding equity interests of SPD. The aggregate consideration paid by the Company in the 2024 Exchange was approximately (i) $13 million in cash, (ii) 513,394 shares of the Company’s Class A common stock and (iii) 2,239,185 Class D units of the Partnership.</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transactions contemplated by the SRA Transaction Agreement and SRE Transaction Agreement, SSG and the Partnership entered into a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on a one-for-one basis with shares of the Company’s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accounts for adjustments to the redemption value of a redeemable equity instrument that is currently redeemable by adjusting the carrying value of the equity instrument to the maximum redemption value at each reporting period based on conditions that exist as of the reporting date. If the redeemable equity instrument is probable of becoming redeemable in the near future, the carrying value of a redeemable equity instrument is adjusted to the redemption value immediately as changes occur based on conditions that exist at that date or at each reporting date. For redeemable equity instruments either not redeemable or probable of becoming redeemable in the near future, no adjustment to the carrying value is made until it is probable that the equity instrument will become redeemable. The Company recognizes adjustments to the carrying value of redeemable equity instruments with charges against retained earnings, or to additional paid-in-capital in the absence of retained earnings.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September 30, 2024, the Company determined that redemption of the redeemable non-controlling interests in subsidiaries was probable and presented the carrying value at the redemption amount based on the conditions that existed as of that date of $6.2 million in the condensed consolidated balance sheets within redeemable non-controlling interests in subsidiaries.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August 8, 2024, the Company announced a quarterly cash dividend of $0.24 per share of Class A common stock, which was paid on September 13, 2024 to holders of record at the close of business on August 30, 2024.</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Redeemable Non-Controlling Interests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activities associated with the redeemable non-controlling interests in Consolidated Funds:</w:t>
      </w:r>
    </w:p>
    <w:tbl>
      <w:tblPr>
        <w:tblW w:w="8030" w:type="dxa"/>
        <w:jc w:val="left"/>
        <w:tblInd w:w="0" w:type="dxa"/>
        <w:tblLayout w:type="fixed"/>
        <w:tblCellMar>
          <w:top w:w="28" w:type="dxa"/>
          <w:left w:w="28" w:type="dxa"/>
          <w:bottom w:w="28" w:type="dxa"/>
          <w:right w:w="28" w:type="dxa"/>
        </w:tblCellMar>
      </w:tblPr>
      <w:tblGrid>
        <w:gridCol w:w="603"/>
        <w:gridCol w:w="529"/>
        <w:gridCol w:w="532"/>
        <w:gridCol w:w="261"/>
        <w:gridCol w:w="1025"/>
        <w:gridCol w:w="135"/>
        <w:gridCol w:w="135"/>
        <w:gridCol w:w="135"/>
        <w:gridCol w:w="135"/>
        <w:gridCol w:w="261"/>
        <w:gridCol w:w="895"/>
        <w:gridCol w:w="135"/>
        <w:gridCol w:w="109"/>
        <w:gridCol w:w="109"/>
        <w:gridCol w:w="109"/>
        <w:gridCol w:w="241"/>
        <w:gridCol w:w="944"/>
        <w:gridCol w:w="124"/>
        <w:gridCol w:w="124"/>
        <w:gridCol w:w="124"/>
        <w:gridCol w:w="124"/>
        <w:gridCol w:w="241"/>
        <w:gridCol w:w="824"/>
        <w:gridCol w:w="176"/>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205,624 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205,624 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activities associated with the redeemable non-controlling interests in subsidiaries:</w:t>
      </w:r>
    </w:p>
    <w:tbl>
      <w:tblPr>
        <w:tblW w:w="10205" w:type="dxa"/>
        <w:jc w:val="left"/>
        <w:tblInd w:w="0" w:type="dxa"/>
        <w:tblLayout w:type="fixed"/>
        <w:tblCellMar>
          <w:top w:w="28" w:type="dxa"/>
          <w:left w:w="28" w:type="dxa"/>
          <w:bottom w:w="28" w:type="dxa"/>
          <w:right w:w="28" w:type="dxa"/>
        </w:tblCellMar>
      </w:tblPr>
      <w:tblGrid>
        <w:gridCol w:w="1473"/>
        <w:gridCol w:w="1287"/>
        <w:gridCol w:w="1275"/>
        <w:gridCol w:w="317"/>
        <w:gridCol w:w="927"/>
        <w:gridCol w:w="164"/>
        <w:gridCol w:w="164"/>
        <w:gridCol w:w="164"/>
        <w:gridCol w:w="164"/>
        <w:gridCol w:w="317"/>
        <w:gridCol w:w="611"/>
        <w:gridCol w:w="164"/>
        <w:gridCol w:w="109"/>
        <w:gridCol w:w="109"/>
        <w:gridCol w:w="109"/>
        <w:gridCol w:w="267"/>
        <w:gridCol w:w="1049"/>
        <w:gridCol w:w="138"/>
        <w:gridCol w:w="138"/>
        <w:gridCol w:w="138"/>
        <w:gridCol w:w="138"/>
        <w:gridCol w:w="267"/>
        <w:gridCol w:w="515"/>
        <w:gridCol w:w="201"/>
      </w:tblGrid>
      <w:tr>
        <w:trPr/>
        <w:tc>
          <w:tcPr>
            <w:tcW w:w="147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115,920 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redeemable non-controlling interests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14.    Commitments and Contingencies</w: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Litigation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September 30, 2024.</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Lease Commitments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leases offices in 26 cities in North America, South America, Europe, Asia and Australia, and certain equipment subject to operating lease agreements expiring through 2039, some of which may include options to extend or terminate the lease. As of September 30, 2024, there were no finance leases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components of lease expense included in general, administrative and other expenses in the condensed consolidated statements of income were as follows:</w:t>
      </w:r>
    </w:p>
    <w:tbl>
      <w:tblPr>
        <w:tblW w:w="8286" w:type="dxa"/>
        <w:jc w:val="left"/>
        <w:tblInd w:w="0" w:type="dxa"/>
        <w:tblLayout w:type="fixed"/>
        <w:tblCellMar>
          <w:top w:w="28" w:type="dxa"/>
          <w:left w:w="28" w:type="dxa"/>
          <w:bottom w:w="28" w:type="dxa"/>
          <w:right w:w="28" w:type="dxa"/>
        </w:tblCellMar>
      </w:tblPr>
      <w:tblGrid>
        <w:gridCol w:w="695"/>
        <w:gridCol w:w="610"/>
        <w:gridCol w:w="614"/>
        <w:gridCol w:w="299"/>
        <w:gridCol w:w="874"/>
        <w:gridCol w:w="154"/>
        <w:gridCol w:w="154"/>
        <w:gridCol w:w="154"/>
        <w:gridCol w:w="154"/>
        <w:gridCol w:w="299"/>
        <w:gridCol w:w="874"/>
        <w:gridCol w:w="154"/>
        <w:gridCol w:w="109"/>
        <w:gridCol w:w="109"/>
        <w:gridCol w:w="109"/>
        <w:gridCol w:w="275"/>
        <w:gridCol w:w="803"/>
        <w:gridCol w:w="142"/>
        <w:gridCol w:w="142"/>
        <w:gridCol w:w="142"/>
        <w:gridCol w:w="142"/>
        <w:gridCol w:w="275"/>
        <w:gridCol w:w="803"/>
        <w:gridCol w:w="200"/>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cost</w:t>
            </w:r>
            <w:r>
              <w:rPr>
                <w:rFonts w:ascii="Times New Roman;sans-serif" w:hAnsi="Times New Roman;sans-serif"/>
                <w:b w:val="false"/>
                <w:color w:val="000000"/>
                <w:sz w:val="13"/>
              </w:rPr>
              <w:t>(1)</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(1)Operating lease cost includes an immaterial amount of short-term leases.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Supplemental cash flow information related to leases was as follows:</w:t>
      </w:r>
    </w:p>
    <w:tbl>
      <w:tblPr>
        <w:tblW w:w="8787" w:type="dxa"/>
        <w:jc w:val="left"/>
        <w:tblInd w:w="0" w:type="dxa"/>
        <w:tblLayout w:type="fixed"/>
        <w:tblCellMar>
          <w:top w:w="28" w:type="dxa"/>
          <w:left w:w="28" w:type="dxa"/>
          <w:bottom w:w="28" w:type="dxa"/>
          <w:right w:w="28" w:type="dxa"/>
        </w:tblCellMar>
      </w:tblPr>
      <w:tblGrid>
        <w:gridCol w:w="2126"/>
        <w:gridCol w:w="1864"/>
        <w:gridCol w:w="1874"/>
        <w:gridCol w:w="397"/>
        <w:gridCol w:w="205"/>
        <w:gridCol w:w="510"/>
        <w:gridCol w:w="205"/>
        <w:gridCol w:w="205"/>
        <w:gridCol w:w="205"/>
        <w:gridCol w:w="397"/>
        <w:gridCol w:w="205"/>
        <w:gridCol w:w="59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operating leases</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for operating leases (in years)</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for operating leases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September 30, 2024, maturities of operating lease liabilities were as follows:</w:t>
      </w:r>
    </w:p>
    <w:tbl>
      <w:tblPr>
        <w:tblW w:w="3846" w:type="dxa"/>
        <w:jc w:val="left"/>
        <w:tblInd w:w="0" w:type="dxa"/>
        <w:tblLayout w:type="fixed"/>
        <w:tblCellMar>
          <w:top w:w="28" w:type="dxa"/>
          <w:left w:w="28" w:type="dxa"/>
          <w:bottom w:w="28" w:type="dxa"/>
          <w:right w:w="28" w:type="dxa"/>
        </w:tblCellMar>
      </w:tblPr>
      <w:tblGrid>
        <w:gridCol w:w="961"/>
        <w:gridCol w:w="845"/>
        <w:gridCol w:w="849"/>
        <w:gridCol w:w="211"/>
        <w:gridCol w:w="82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FY2025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liabilities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Unfunded Capital Commitments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September 30, 2024 and March 31, 2024, the Company, generally in its capacity as general partner or managing member of the StepStone Funds, had unfunded commitments totaling $117.3 million and $115.7 million, respectively. The $117.3 million and $115.7 million of unfunded commitments as of September 30, 2024 and March 31, 2024, respectively, exclude $60.5 million and $67.8 million, respectively, related to commitments held by general partner entities for certain funds in which the Company does not hold any direct economic interests, including the legacy Greenspring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Condensed Consolidated Financial Statements (Unaudited)</w:t>
      </w:r>
    </w:p>
    <w:p>
      <w:pPr>
        <w:pStyle w:val="TextBody"/>
        <w:bidi w:val="0"/>
        <w:spacing w:lineRule="auto" w:line="288" w:before="2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Carried Interest Allocations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September 30, 2024 and March 31, 2024, no material amounts for potential clawback obligations had been accrued. This contingent obligation is normally reduced by income taxes that the Company has paid related to the carried interest allocations. As of September 30, 2024, the maximum amount of carried interest allocations (excluding legacy Greenspring carried interest allocations) attributable to the Company subject to contingent repayment was an estimated $305.4 million, net of tax, assuming the fair value of all investments was zero, a possibility that the Company views as remote.</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Indemnification Arrangements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September 30, 2024 and March 31, 2024. Based on past experience, management believes that the risk of loss related to these indemnities is remote.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15.    Subsequent Events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7, 2024, the Company announced a quarterly cash dividend of $0.24 per share of Class A common stock, payable on December 13, 2024 to holders of record as of the close of business on November 29, 2024.</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22, 2024, the Partnership issued $175.0 million aggregate principal amount of its 5.52% Series A senior notes due October 22, 2029 (the “Notes”), pursuant to a note purchase agreement, dated as of October 22, 2024 (the “Note Purchase Agreement”), by the Partnership and accepted and agreed to by the purchasers party thereto in a private placement exempt from registration under the Securities Act.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Partnership intends to use the net proceeds from the issue and sale of the Notes for general corporate purposes, including to make investments, repay existing debt and make distributions.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Interest on the Notes will be payable semi-annually in arrears on April 22 and October 22 of each year, commencing on April 22, 2025. Interest on the Notes will accrue from and including October 22, 2024. The Notes will mature on October 22, 2029. The Partnership may, at its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provided that, so long as no default or event of default shall have occurred and be continuing, no make-whole amount shall be due if the Notes are paid on or after April 22, 2029.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lineRule="auto" w:line="276"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2024 filed with the SEC. In this quarterly report, references to “we,” “us,” “our,” “StepStone” and similar terms refer to SSG and its consolidated subsidiaries, including the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Business Overview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September 30, 2024, we were responsible for approximately $682 billion of total capital, including $176 billion of AUM and $506 billion of AUA.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26 cities across 16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September 30, 2024, we had approximately 1,050 total employees, including approximately 360 investment professionals and approximately 690 employees across our operating team and implementation teams dedicated to sourcing, executing, analyzing and monitoring private markets opportunities.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have a flexible business model whereby many of our clients engage us for solutions across multiple asset classes and investment strategies. Our solutions are typically offered in the following commercial structures: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Separately managed accounts (“SMAs”)</w:t>
      </w:r>
      <w:r>
        <w:rPr>
          <w:rFonts w:ascii="Times New Roman;sans-serif" w:hAnsi="Times New Roman;sans-serif"/>
          <w:b w:val="false"/>
          <w:color w:val="000000"/>
          <w:sz w:val="22"/>
        </w:rPr>
        <w:t>. Owned by one client and managed according to their specific preferences, SMAs integrate a combination of primaries, secondaries and co-investments across one or more asset classes. SMAs are meant to address clients’ specific portfolio objectives with respect to return, risk tolerance, diversification and liquidity. SMAs, including directly managed assets, comprised $107 billion of our AUM as of September 30, 2024</w:t>
      </w:r>
      <w:r>
        <w:rPr>
          <w:rFonts w:ascii="Times New Roman;sans-serif" w:hAnsi="Times New Roman;sans-serif"/>
          <w:b w:val="false"/>
          <w:color w:val="231F20"/>
          <w:sz w:val="22"/>
        </w:rPr>
        <w: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Focused commingled funds. </w:t>
      </w:r>
      <w:r>
        <w:rPr>
          <w:rFonts w:ascii="Times New Roman;sans-serif" w:hAnsi="Times New Roman;sans-serif"/>
          <w:b w:val="false"/>
          <w:color w:val="231F20"/>
          <w:sz w:val="22"/>
        </w:rPr>
        <w:t xml:space="preserve">Owned by multiple clients, our focused commingled funds deploy capital in specific asset classes with defined investment strategies. Focused commingled funds comprised $54 billion of our AUM as of </w:t>
      </w:r>
      <w:r>
        <w:rPr>
          <w:rFonts w:ascii="Times New Roman;sans-serif" w:hAnsi="Times New Roman;sans-serif"/>
          <w:b w:val="false"/>
          <w:color w:val="000000"/>
          <w:sz w:val="22"/>
        </w:rPr>
        <w:t>September 30, 2024</w:t>
      </w:r>
      <w:r>
        <w:rPr>
          <w:rFonts w:ascii="Times New Roman;sans-serif" w:hAnsi="Times New Roman;sans-serif"/>
          <w:b w:val="false"/>
          <w:color w:val="231F2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Advisory and data services. </w:t>
      </w:r>
      <w:r>
        <w:rPr>
          <w:rFonts w:ascii="Times New Roman;sans-serif" w:hAnsi="Times New Roman;sans-serif"/>
          <w:b w:val="false"/>
          <w:color w:val="231F20"/>
          <w:sz w:val="22"/>
        </w:rPr>
        <w:t xml:space="preserve">These services include one or more of the following for our clients: (i) recurring support 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Research and our other proprietary tools. Advisory relationships comprised </w:t>
      </w:r>
      <w:r>
        <w:rPr>
          <w:rFonts w:ascii="Times New Roman;sans-serif" w:hAnsi="Times New Roman;sans-serif"/>
          <w:b w:val="false"/>
          <w:color w:val="000000"/>
          <w:sz w:val="22"/>
        </w:rPr>
        <w:t>$506 billion</w:t>
      </w:r>
      <w:r>
        <w:rPr>
          <w:color w:val="231F20"/>
        </w:rPr>
        <w:t xml:space="preserve"> </w:t>
      </w:r>
      <w:r>
        <w:rPr>
          <w:rFonts w:ascii="Times New Roman;sans-serif" w:hAnsi="Times New Roman;sans-serif"/>
          <w:b w:val="false"/>
          <w:color w:val="231F20"/>
          <w:sz w:val="22"/>
        </w:rPr>
        <w:t xml:space="preserve">of our AUA and $15 billion of our AUM as of </w:t>
      </w:r>
      <w:r>
        <w:rPr>
          <w:rFonts w:ascii="Times New Roman;sans-serif" w:hAnsi="Times New Roman;sans-serif"/>
          <w:b w:val="false"/>
          <w:color w:val="000000"/>
          <w:sz w:val="22"/>
        </w:rPr>
        <w:t>September 30, 2024</w:t>
      </w:r>
      <w:r>
        <w:rPr>
          <w:rFonts w:ascii="Times New Roman;sans-serif" w:hAnsi="Times New Roman;sans-serif"/>
          <w:b w:val="false"/>
          <w:color w:val="231F20"/>
          <w:sz w:val="22"/>
        </w:rPr>
        <w: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Portfolio analytics and reporting. </w:t>
      </w:r>
      <w:r>
        <w:rPr>
          <w:rFonts w:ascii="Times New Roman;sans-serif" w:hAnsi="Times New Roman;sans-serif"/>
          <w:b w:val="false"/>
          <w:color w:val="231F20"/>
          <w:sz w:val="22"/>
        </w:rPr>
        <w:t xml:space="preserve">We provide clients with tailored reporting packages, including customized performance benchmarks as well as associated compliance, administrative and tax capabilities. Mandates for portfolio analytics and reporting services typically include licensed access to our proprietary performance monitoring software, SPI Reporting. SPI Reporting tracked detailed information on over $730 billion of client commitments as of </w:t>
      </w:r>
      <w:r>
        <w:rPr>
          <w:rFonts w:ascii="Times New Roman;sans-serif" w:hAnsi="Times New Roman;sans-serif"/>
          <w:b w:val="false"/>
          <w:color w:val="000000"/>
          <w:sz w:val="22"/>
        </w:rPr>
        <w:t>September 30, 2024</w:t>
      </w:r>
      <w:r>
        <w:rPr>
          <w:rFonts w:ascii="Times New Roman;sans-serif" w:hAnsi="Times New Roman;sans-serif"/>
          <w:b w:val="false"/>
          <w:color w:val="231F20"/>
          <w:sz w:val="22"/>
        </w:rPr>
        <w:t>, inclusive of our total capital responsibility, previously exited investments and investments of former clients.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generate revenues from management and advisory fees and performance fees earned pursuant to contractual arrangements with the StepStone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Trends Affecting Our Business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Our business is affected by a variety of factors, including conditions in the financial markets, regulatory environment, and economic and political conditions. Changes in global economic conditions and regulatory or other governmental policies or actions can materially affect the values of the StepStone Funds’ holdings, our ability to source attractive investments and completely utilize the capital that we have raised, and result in increased compliance costs and administrative burdens.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In addition to these macroeconomic trends and market factors, we believe our future performance will be influenced by the following factors: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The extent to which clients favor private markets investments. </w:t>
      </w:r>
      <w:r>
        <w:rPr>
          <w:rFonts w:ascii="Times New Roman;sans-serif" w:hAnsi="Times New Roman;sans-serif"/>
          <w:b w:val="false"/>
          <w:color w:val="231F20"/>
          <w:sz w:val="22"/>
        </w:rPr>
        <w:t>Our ability to attract new capital is partially dependent on clients’ 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Our ability to generate strong, stable returns. </w:t>
      </w:r>
      <w:r>
        <w:rPr>
          <w:rFonts w:ascii="Times New Roman;sans-serif" w:hAnsi="Times New Roman;sans-serif"/>
          <w:b w:val="false"/>
          <w:color w:val="231F20"/>
          <w:sz w:val="22"/>
        </w:rPr>
        <w:t>Our ability to raise and retain capital is partially dependent on the investment returns 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Our ability to maintain our data advantage relative to competitors. </w:t>
      </w:r>
      <w:r>
        <w:rPr>
          <w:rFonts w:ascii="Times New Roman;sans-serif" w:hAnsi="Times New Roman;sans-serif"/>
          <w:b w:val="false"/>
          <w:color w:val="231F20"/>
          <w:sz w:val="22"/>
        </w:rPr>
        <w:t>Our proprietary data and technology platforms, analytical tools 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Our ability to source investments with attractive risk-adjusted returns. </w:t>
      </w:r>
      <w:r>
        <w:rPr>
          <w:rFonts w:ascii="Times New Roman;sans-serif" w:hAnsi="Times New Roman;sans-serif"/>
          <w:b w:val="false"/>
          <w:color w:val="231F20"/>
          <w:sz w:val="22"/>
        </w:rPr>
        <w:t>The continued growth in our revenues is dependent on our 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231F20"/>
          <w:sz w:val="22"/>
        </w:rPr>
        <w:t xml:space="preserve">Increased competition and clients’ desire to work with fewer managers. </w:t>
      </w:r>
      <w:r>
        <w:rPr>
          <w:rFonts w:ascii="Times New Roman;sans-serif" w:hAnsi="Times New Roman;sans-serif"/>
          <w:b w:val="false"/>
          <w:color w:val="231F20"/>
          <w:sz w:val="22"/>
        </w:rPr>
        <w:t>There has been an increasing desire on the part of larger 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Current Events</w:t>
      </w:r>
    </w:p>
    <w:p>
      <w:pPr>
        <w:pStyle w:val="TextBody"/>
        <w:bidi w:val="0"/>
        <w:spacing w:lineRule="auto" w:line="288" w:before="0" w:after="240"/>
        <w:ind w:left="0" w:right="0" w:firstLine="720"/>
        <w:jc w:val="left"/>
        <w:rPr/>
      </w:pPr>
      <w:r>
        <w:rPr>
          <w:rFonts w:ascii="Times New Roman;sans-serif" w:hAnsi="Times New Roman;sans-serif"/>
          <w:b w:val="false"/>
          <w:color w:val="231F20"/>
          <w:sz w:val="22"/>
        </w:rPr>
        <w:t xml:space="preserve">In 2024, signs of easing inflation coupled with the expansion of economic activity at a sustained pace and low unemployment rates contributed to positive returns in most financial markets </w:t>
      </w:r>
      <w:r>
        <w:rPr>
          <w:rFonts w:ascii="Times New Roman;sans-serif" w:hAnsi="Times New Roman;sans-serif"/>
          <w:b w:val="false"/>
          <w:color w:val="000000"/>
          <w:sz w:val="22"/>
        </w:rPr>
        <w:t>despite inflation remaining elevated. In September 2024, the Federal Reserve announced the decision to lower the target range for the federal funds rate by 0.50% to a range of 4.75% to 5.00% in response to positive trends in economic data, including a measure of inflation.</w:t>
      </w:r>
    </w:p>
    <w:p>
      <w:pPr>
        <w:pStyle w:val="TextBody"/>
        <w:bidi w:val="0"/>
        <w:spacing w:lineRule="auto" w:line="288" w:before="0" w:after="240"/>
        <w:ind w:left="0" w:right="0" w:firstLine="720"/>
        <w:jc w:val="left"/>
        <w:rPr/>
      </w:pPr>
      <w:r>
        <w:rPr>
          <w:rFonts w:ascii="Times New Roman;sans-serif" w:hAnsi="Times New Roman;sans-serif"/>
          <w:b w:val="false"/>
          <w:color w:val="231F20"/>
          <w:sz w:val="22"/>
        </w:rPr>
        <w:t xml:space="preserve">We are continuing to closely monitor developments related to inflation, decreasing but still higher interest rates, </w:t>
      </w:r>
      <w:r>
        <w:rPr>
          <w:rFonts w:ascii="Times New Roman;sans-serif" w:hAnsi="Times New Roman;sans-serif"/>
          <w:b w:val="false"/>
          <w:color w:val="000000"/>
          <w:sz w:val="22"/>
        </w:rPr>
        <w:t>potential regulatory and governmental policy developments as a result of U.S. elections</w:t>
      </w:r>
      <w:r>
        <w:rPr>
          <w:rFonts w:ascii="Times New Roman;sans-serif" w:hAnsi="Times New Roman;sans-serif"/>
          <w:b w:val="false"/>
          <w:color w:val="231F20"/>
          <w:sz w:val="22"/>
        </w:rPr>
        <w:t>, banking system volatility,</w:t>
      </w:r>
      <w:r>
        <w:rPr>
          <w:color w:val="000000"/>
        </w:rPr>
        <w:t xml:space="preserve"> </w:t>
      </w:r>
      <w:r>
        <w:rPr>
          <w:rFonts w:ascii="Times New Roman;sans-serif" w:hAnsi="Times New Roman;sans-serif"/>
          <w:b w:val="false"/>
          <w:color w:val="000000"/>
          <w:sz w:val="22"/>
        </w:rPr>
        <w:t>geopolitical tension, unrest or conflicts, including in Russia, Ukraine, and the Middle East</w:t>
      </w:r>
      <w:r>
        <w:rPr>
          <w:rFonts w:ascii="Times New Roman;sans-serif" w:hAnsi="Times New Roman;sans-serif"/>
          <w:b w:val="false"/>
          <w:color w:val="231F20"/>
          <w:sz w:val="22"/>
        </w:rPr>
        <w:t>, and assess the impact on financial markets and on our business. Our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w:t>
      </w:r>
      <w:r>
        <w:rPr>
          <w:rFonts w:ascii="Times New Roman;sans-serif" w:hAnsi="Times New Roman;sans-serif"/>
          <w:b w:val="false"/>
          <w:color w:val="000000"/>
          <w:sz w:val="22"/>
        </w:rPr>
        <w:t>t is currently not possible to predict the ultimate effects of these events on the financial markets, overall economy and our condensed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 included in our annual report on Form 10-K for the fiscal year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Corporate Transactions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Purchase of Asset Class Non-Controlling Interests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February 7, 2024, we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Transaction Agreements provide for, among other things and subject to the terms and conditions therein, the exchange of the sellers’ equity interests in the Asset Class Entities, as applicable, for a combination of (i) newly-created Class D equity interests (“Class D units”) in the Partnership with terms substantially similar to the Partnership’s existing Class C units, in the case of SRA and SRE, or shares of Class A common stock, in the case of SPD, and (ii) cash (at our discretion for all exchanges except the initial exchange), in up to ten annual exchanges (or up to fifteen annual exchanges in certain circumstances in the case of the sellers of SRA equity interests).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May 31, 2024, we completed the first annual exchange (the “2024 Exchange”) to acquire approximately 5% of the equity interests of each of SRA, SRE and SPD pursuant to the Transaction Agreements dated as of February 7, 2024. As a result of the 2024 Exchange, the Partnership now owns approximately 54% of the outstanding equity interests of SRA, 56% of the outstanding equity interests of SRE and 54% of the outstanding equity interests of SPD. The aggregate consideration paid by us in the 2024 Exchange was approximately (i) $13 million in cash, (ii) 513,394 shares of Class A common stock and (iii) 2,239,185 Class D units of the Partnership.</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transactions contemplated by the SRA Transaction Agreement and SRE Transaction Agreement, we entered into a Class D Exchange Agreement (the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in connection with the SRA Transaction Agreement and SRE Transaction Agreement on a one-for-one basis with shares of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Equity Transactions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June 2024, we issued 1,731,807 shares of Class A common stock to certain limited partners of the Partnership in exchange for 1,731,807 Class B units of the Partnership in accordance with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On the same date, we also issued 71,766 shares of Class A common stock to certain limited partners of the Partnership in exchange for 71,766 Class C units of the Partnership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September 2024, we conducted an underwritten public offering of 4,099,997 shares of Class A common stock (the “September 2024 Offering”) at a public offering price of $50.00 per share. We used all of the net proceeds from the offering, after underwriting discounts and commissions and expenses, to purchase (i) 300,000 shares of our Class A common stock from certain selling stockholders, (ii) 3,094,981 Class B units of the Partnership from certain holders thereof, including certain of our directors and executive officers, and (iii) 705,016 Class C units of the Partnership from certain holders thereof. 3,094,981 shares of Class B common stock were automatically redeemed at par value and canceled in connection with such exchange and 3,799,997 Class A units of the Partnership were issued to us.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Also in September 2024, we issued 312,112 shares of Class A common stock to certain limited partners of the Partnership in exchange for 312,112 Class B units of the Partnership pursuant to the Class B Exchange Agreement. A corresponding number of shares of Class B common stock were automatically redeemed at par value and canceled in connection with such exchange and a corresponding number of Class A units of the Partnership were issued to us. On the same date, we also issued 34,027 shares of Class A common stock to certain limited partners of the Partnership in exchange for 34,027 Class C units of the Partnership pursuant to the Class C Exchange Agreement. A corresponding number of Class A units of the Partnership were issued to us.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Debt Transactions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22, 2024, we issued $175.0 million aggregate principal amount of 5.52% Series A senior notes due October 22, 2029 (the “Notes”), pursuant to a note purchase agreement, dated as of October 22, 2024 (the “Note Purchase Agreement”), by the Partnership and accepted and agreed to by the purchasers party thereto in a private placement exempt from registration under the Securities Act.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intend to use the net proceeds from the issue and sale of the Notes for general corporate purposes, including to make investments, repay existing debt and make distributions.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Interest on the Notes will be payable semi-annually in arrears on April 22 and October 22 of each year, commencing on April 22, 2025. Interest on the Notes will accrue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provided that, so long as no default or event of default shall have occurred and be continuing, no make-whole amount shall be due if the Notes are paid on or after April 22,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Organizational Structure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Class C units and Class D units held by partners of the Partnership in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StepStone Limited Partnership Agreement, the Class B Exchange Agreement, the Class C Exchange Agreement and the Class D Exchange Agreement that SSG and the Partnership entered into with partners holding Class B units, Class C units and Class D units of the Partnership, respectively, each Class B unit, Class C unit or Class D unit is exchangeable for one share of SSG’s Class A common stock or, at SSG’s election, for cash, subject to certain restrictions specified in the relevant exchange agreement. When a Class B unit, Class C unit or Class D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and Class D units.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diagram below illustrates our organizational structure as of September 30, 2024.</w:t>
      </w:r>
    </w:p>
    <w:p>
      <w:pPr>
        <w:pStyle w:val="TextBody"/>
        <w:bidi w:val="0"/>
        <w:spacing w:before="0" w:after="240"/>
        <w:jc w:val="center"/>
        <w:rPr/>
      </w:pPr>
      <w:r>
        <w:rPr/>
        <w:drawing>
          <wp:inline distT="0" distB="0" distL="0" distR="0">
            <wp:extent cx="6057900" cy="2638425"/>
            <wp:effectExtent l="0" t="0" r="0" b="0"/>
            <wp:docPr id="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pic:cNvPicPr>
                      <a:picLocks noChangeAspect="1" noChangeArrowheads="1"/>
                    </pic:cNvPicPr>
                  </pic:nvPicPr>
                  <pic:blipFill>
                    <a:blip r:embed="rId2"/>
                    <a:stretch>
                      <a:fillRect/>
                    </a:stretch>
                  </pic:blipFill>
                  <pic:spPr bwMode="auto">
                    <a:xfrm>
                      <a:off x="0" y="0"/>
                      <a:ext cx="6057900" cy="2638425"/>
                    </a:xfrm>
                    <a:prstGeom prst="rect">
                      <a:avLst/>
                    </a:prstGeom>
                  </pic:spPr>
                </pic:pic>
              </a:graphicData>
            </a:graphic>
          </wp:inline>
        </w:drawing>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may not sum to 100% due to rounding.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partners of the Partnership other than StepStone Group Inc. are: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the General Partner, which holds a 100% general partner interest and no economic interests;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certain members of management, employee owners and outside investors, all of whom own Class B units and an equivalent number of shares of Class B common stock;</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certain employee owners who own Class C units; and</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certain employee owners who own Class D units.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(2)Each share of Class A common stock is entitled to one vote and vote together with the Class B common stock as a single class, except as set forth in SSG’s amended and restated certificate of incorporation or as required by law.</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2"/>
          <w:shd w:fill="FFFFFF" w:val="clear"/>
        </w:rPr>
        <w:t xml:space="preserve">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September 30, 2024 the Sunset Holders collectively maintained direct or indirect beneficial ownership of approximately </w:t>
      </w:r>
      <w:r>
        <w:rPr>
          <w:rFonts w:ascii="Times New Roman;sans-serif" w:hAnsi="Times New Roman;sans-serif"/>
          <w:b w:val="false"/>
          <w:color w:val="000000"/>
          <w:sz w:val="22"/>
        </w:rPr>
        <w:t>28.4</w:t>
      </w:r>
      <w:r>
        <w:rPr>
          <w:rFonts w:ascii="Times New Roman;sans-serif" w:hAnsi="Times New Roman;sans-serif"/>
          <w:b w:val="false"/>
          <w:color w:val="000000"/>
          <w:sz w:val="22"/>
          <w:shd w:fill="FFFFFF" w:val="clear"/>
        </w:rPr>
        <w:t xml:space="preserve">% of the Class A common stock (determined assuming all outstanding Class B units have been exchanged for Class A common stock) and approximately </w:t>
      </w:r>
      <w:r>
        <w:rPr>
          <w:rFonts w:ascii="Times New Roman;sans-serif" w:hAnsi="Times New Roman;sans-serif"/>
          <w:b w:val="false"/>
          <w:color w:val="000000"/>
          <w:sz w:val="22"/>
        </w:rPr>
        <w:t>56.5%</w:t>
      </w:r>
      <w:r>
        <w:rPr>
          <w:color w:val="000000"/>
          <w:shd w:fill="FFFFFF" w:val="clear"/>
        </w:rPr>
        <w:t xml:space="preserve"> </w:t>
      </w:r>
      <w:r>
        <w:rPr>
          <w:rFonts w:ascii="Times New Roman;sans-serif" w:hAnsi="Times New Roman;sans-serif"/>
          <w:b w:val="false"/>
          <w:color w:val="000000"/>
          <w:sz w:val="22"/>
          <w:shd w:fill="FFFFFF" w:val="clear"/>
        </w:rPr>
        <w:t>of the aggregate voting power of our outstanding Class A common stock and Class B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Key Financial Measures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key financial measures are discussed below. Additional information regarding our significant accounting policies can be found in note 2 to our condensed consolidated financial statements included elsewhere in this quarterly report.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generate revenues primarily from management and advisory fees, incentive fees and allocations of carried interest. </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Management and Advisory Fees, Net </w:t>
      </w:r>
    </w:p>
    <w:p>
      <w:pPr>
        <w:pStyle w:val="TextBody"/>
        <w:bidi w:val="0"/>
        <w:spacing w:lineRule="auto" w:line="288" w:before="0" w:after="240"/>
        <w:ind w:left="0" w:right="0" w:firstLine="720"/>
        <w:jc w:val="left"/>
        <w:rPr/>
      </w:pPr>
      <w:r>
        <w:rPr>
          <w:rFonts w:ascii="Times New Roman;sans-serif" w:hAnsi="Times New Roman;sans-serif"/>
          <w:b w:val="false"/>
          <w:color w:val="231F20"/>
          <w:sz w:val="22"/>
        </w:rPr>
        <w:t>Management and advisory fees, net, consist of fees received from managing SMAs and focused commingled funds, advisory and data services, and portfolio analytics and reporting. Management fees include income-based incentive fees, which are predictable and recurring in nature and paid quarterly based on net investment income of certain funds</w:t>
      </w:r>
      <w:r>
        <w:rPr>
          <w:rFonts w:ascii="Times New Roman;sans-serif" w:hAnsi="Times New Roman;sans-serif"/>
          <w:b w:val="false"/>
          <w:color w:val="000000"/>
          <w:sz w:val="22"/>
        </w:rPr>
        <w: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231F20"/>
          <w:sz w:val="22"/>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0.39% of average FEAUM for the twelve months ended September 30, 2023 and 2024, respectively.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231F20"/>
          <w:sz w:val="22"/>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0.88% and 1.03% of average FEAUM for the twelve months ended September 30, 2023 and 2024, respectively, and primarily reflected the timing of new funds, and shifts in asset class mix.</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231F20"/>
          <w:sz w:val="22"/>
        </w:rPr>
        <w:t>The weighted-average management fee rate across SMAs and focused commingled funds was approximately 0.57% and 0.63% of average FEAUM for the twelve months ended September 30, 2023 and 2024, respectively, and primarily reflected the timing of new funds and shifts in mix between SMAs and focused commingled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231F20"/>
        </w:rPr>
        <w:t>•</w:t>
      </w:r>
      <w:r>
        <w:rPr>
          <w:rFonts w:ascii="Times New Roman;sans-serif" w:hAnsi="Times New Roman;sans-serif"/>
          <w:b w:val="false"/>
          <w:color w:val="231F20"/>
          <w:sz w:val="22"/>
        </w:rPr>
        <w:t>Fee revenues from advisory, StepStone Portfolio Analytics &amp; Reporting (“SPAR”) and SPI Research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231F20"/>
          <w:sz w:val="22"/>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Performance Fees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earn two types of performance fee revenues: incentive fees and carried interest allocations, as described below. As of September 30, 2024, we had over $85 billion of performance fee-eligible capital (excluding certain legacy Greenspring funds) across over 200 programs.</w:t>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 xml:space="preserve">Incentive fees </w:t>
      </w:r>
      <w:r>
        <w:rPr>
          <w:rFonts w:ascii="Times New Roman;sans-serif" w:hAnsi="Times New Roman;sans-serif"/>
          <w:b w:val="false"/>
          <w:color w:val="231F20"/>
          <w:sz w:val="22"/>
        </w:rPr>
        <w:t>comprise fees earned from certain client investment mandates for which we do not have a general partnership interest in a StepStone Fund. Incentive fees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 xml:space="preserve">Carried interest allocations </w:t>
      </w:r>
      <w:r>
        <w:rPr>
          <w:rFonts w:ascii="Times New Roman;sans-serif" w:hAnsi="Times New Roman;sans-serif"/>
          <w:b w:val="false"/>
          <w:color w:val="231F20"/>
          <w:sz w:val="22"/>
        </w:rPr>
        <w:t xml:space="preserve">include the allocation of performance-based fees, commonly referred to as carried interest, to us from 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sans-serif" w:hAnsi="Times New Roman;sans-serif"/>
          <w:b w:val="false"/>
          <w:i/>
          <w:color w:val="231F20"/>
          <w:sz w:val="22"/>
        </w:rPr>
        <w:t>Revenue from Contracts with Customers</w:t>
      </w:r>
      <w:r>
        <w:rPr>
          <w:rFonts w:ascii="Times New Roman;sans-serif" w:hAnsi="Times New Roman;sans-serif"/>
          <w:b w:val="false"/>
          <w:color w:val="231F2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Legacy Greenspring carried interest allocations</w:t>
      </w:r>
      <w:r>
        <w:rPr>
          <w:color w:val="231F20"/>
        </w:rPr>
        <w:t xml:space="preserve"> </w:t>
      </w:r>
      <w:r>
        <w:rPr>
          <w:rFonts w:ascii="Times New Roman;sans-serif" w:hAnsi="Times New Roman;sans-serif"/>
          <w:b w:val="false"/>
          <w:color w:val="231F20"/>
          <w:sz w:val="22"/>
        </w:rPr>
        <w:t>include the allocation of carried interest to legacy Greenspring general partner 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w:t>
      </w:r>
      <w:r>
        <w:rPr>
          <w:color w:val="000000"/>
        </w:rPr>
        <w:t xml:space="preserve"> </w:t>
      </w:r>
      <w:r>
        <w:rPr>
          <w:rFonts w:ascii="Times New Roman;sans-serif" w:hAnsi="Times New Roman;sans-serif"/>
          <w:b w:val="false"/>
          <w:color w:val="231F20"/>
          <w:sz w:val="22"/>
        </w:rPr>
        <w:t>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 interest allocations in respect of such legacy Greenspring funds are payable to employees who are considered affiliates</w:t>
      </w:r>
      <w:r>
        <w:rPr>
          <w:color w:val="000000"/>
        </w:rPr>
        <w:t xml:space="preserve"> </w:t>
      </w:r>
      <w:r>
        <w:rPr>
          <w:rFonts w:ascii="Times New Roman;sans-serif" w:hAnsi="Times New Roman;sans-serif"/>
          <w:b w:val="false"/>
          <w:color w:val="231F20"/>
          <w:sz w:val="22"/>
        </w:rPr>
        <w:t>to us and are therefore reflected as legacy Greenspring performance fee-related compensation in the consolidated statements of income.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September 30, 2024 and March 31, 2024, no material amounts for potential clawback obligations had been accrued.</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Cash-based compensation</w:t>
      </w:r>
      <w:r>
        <w:rPr>
          <w:color w:val="000000"/>
        </w:rPr>
        <w:t xml:space="preserve"> </w:t>
      </w:r>
      <w:r>
        <w:rPr>
          <w:rFonts w:ascii="Times New Roman;sans-serif" w:hAnsi="Times New Roman;sans-serif"/>
          <w:b w:val="false"/>
          <w:color w:val="000000"/>
          <w:sz w:val="22"/>
        </w:rPr>
        <w:t xml:space="preserve">primarily includes salaries, bonuses, employee benefits and employer-related payroll taxes.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Equity-based compensation</w:t>
      </w:r>
      <w:r>
        <w:rPr>
          <w:color w:val="000000"/>
        </w:rPr>
        <w:t xml:space="preserve"> </w:t>
      </w:r>
      <w:r>
        <w:rPr>
          <w:rFonts w:ascii="Times New Roman;sans-serif" w:hAnsi="Times New Roman;sans-serif"/>
          <w:b w:val="false"/>
          <w:color w:val="000000"/>
          <w:sz w:val="22"/>
        </w:rPr>
        <w:t xml:space="preserve">represents grants of equity related awards or arrangements to certain employees and directors and expense associated with the employee stock purchase plan (“ESPP”).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Performance fee-related compensation</w:t>
      </w:r>
      <w:r>
        <w:rPr>
          <w:color w:val="000000"/>
        </w:rPr>
        <w:t xml:space="preserve"> </w:t>
      </w:r>
      <w:r>
        <w:rPr>
          <w:rFonts w:ascii="Times New Roman;sans-serif" w:hAnsi="Times New Roman;sans-serif"/>
          <w:b w:val="false"/>
          <w:color w:val="000000"/>
          <w:sz w:val="22"/>
        </w:rPr>
        <w:t xml:space="preserve">represents the portion of carried interest allocation revenue and incentive fees that have been awarded to employees as a form of long-term incentive compensation. Performance fee-related compensation is generally tied to the investment performance of the StepStone Funds. </w:t>
      </w:r>
      <w:r>
        <w:rPr>
          <w:rFonts w:ascii="Times New Roman;sans-serif" w:hAnsi="Times New Roman;sans-serif"/>
          <w:b w:val="false"/>
          <w:color w:val="231F20"/>
          <w:sz w:val="22"/>
        </w:rPr>
        <w:t xml:space="preserve">Approximately 50% of carried interest allocation revenue is awarded to 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Amounts presented as realized indicate the amounts paid or payable to employees based on the receipt of carried interest allocation revenue from realized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231F20"/>
          <w:sz w:val="22"/>
        </w:rPr>
      </w:pPr>
      <w:r>
        <w:rPr>
          <w:rFonts w:ascii="Times New Roman;sans-serif" w:hAnsi="Times New Roman;sans-serif"/>
          <w:b w:val="false"/>
          <w:color w:val="231F20"/>
          <w:sz w:val="22"/>
        </w:rPr>
        <w:t>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On April 1, 2024, certain of our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 The class of interests relating to awards of carried interest allocations granted to employees were previously presented as carried interest-related compensation expense.</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Legacy Greenspring performance fee-related compensation</w:t>
      </w:r>
      <w:r>
        <w:rPr>
          <w:color w:val="000000"/>
        </w:rPr>
        <w:t xml:space="preserve"> </w:t>
      </w:r>
      <w:r>
        <w:rPr>
          <w:rFonts w:ascii="Times New Roman;sans-serif" w:hAnsi="Times New Roman;sans-serif"/>
          <w:b w:val="false"/>
          <w:color w:val="000000"/>
          <w:sz w:val="22"/>
        </w:rPr>
        <w:t xml:space="preserve">represents the legacy Greenspring carried interest allocations which are entirely payable to certain employees. Legacy Greenspring </w:t>
      </w:r>
      <w:r>
        <w:rPr>
          <w:rFonts w:ascii="Times New Roman;sans-serif" w:hAnsi="Times New Roman;sans-serif"/>
          <w:b w:val="false"/>
          <w:color w:val="231F20"/>
          <w:sz w:val="22"/>
        </w:rPr>
        <w:t>carried interest-related compensation is accounted for as compensation expense in 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General, administrative and other</w:t>
      </w:r>
      <w:r>
        <w:rPr>
          <w:color w:val="000000"/>
        </w:rPr>
        <w:t xml:space="preserve"> </w:t>
      </w:r>
      <w:r>
        <w:rPr>
          <w:rFonts w:ascii="Times New Roman;sans-serif" w:hAnsi="Times New Roman;sans-serif"/>
          <w:b w:val="false"/>
          <w:color w:val="000000"/>
          <w:sz w:val="22"/>
        </w:rPr>
        <w:t>includes occupancy, travel and related costs, insurance, legal and other professional fees, depreciation, amortization of intangible assets, system-related costs, and other general costs associated with operating our business. General, administrative and other includes costs associated with the Consolidated Funds. Expenses of the Consolidated Funds have no impact on net income or loss attributable to us to the extent such expenses are borne by third-party investors.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Other Income (Expense)</w:t>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 xml:space="preserve">Investment income (loss) </w:t>
      </w:r>
      <w:r>
        <w:rPr>
          <w:rFonts w:ascii="Times New Roman;sans-serif" w:hAnsi="Times New Roman;sans-serif"/>
          <w:b w:val="false"/>
          <w:color w:val="231F20"/>
          <w:sz w:val="22"/>
        </w:rPr>
        <w:t>primarily represents our share of earnings (losses) from the investments we make in our SMAs and focused 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pStyle w:val="TextBody"/>
        <w:bidi w:val="0"/>
        <w:spacing w:lineRule="auto" w:line="288" w:before="0" w:after="240"/>
        <w:ind w:left="0" w:right="0" w:firstLine="720"/>
        <w:jc w:val="left"/>
        <w:rPr/>
      </w:pPr>
      <w:r>
        <w:rPr>
          <w:rFonts w:ascii="Times New Roman;sans-serif" w:hAnsi="Times New Roman;sans-serif"/>
          <w:b w:val="false"/>
          <w:i/>
          <w:color w:val="231F20"/>
          <w:sz w:val="22"/>
        </w:rPr>
        <w:t xml:space="preserve">Legacy Greenspring investment income (loss) </w:t>
      </w:r>
      <w:r>
        <w:rPr>
          <w:rFonts w:ascii="Times New Roman;sans-serif" w:hAnsi="Times New Roman;sans-serif"/>
          <w:b w:val="false"/>
          <w:color w:val="231F20"/>
          <w:sz w:val="22"/>
        </w:rPr>
        <w:t xml:space="preserve">represents our share of earnings (losses) from the investments we make in certain 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Investment income (loss) of Consolidated Funds</w:t>
      </w:r>
      <w:r>
        <w:rPr>
          <w:color w:val="000000"/>
        </w:rPr>
        <w:t xml:space="preserve"> </w:t>
      </w:r>
      <w:r>
        <w:rPr>
          <w:rFonts w:ascii="Times New Roman;sans-serif" w:hAnsi="Times New Roman;sans-serif"/>
          <w:b w:val="false"/>
          <w:color w:val="000000"/>
          <w:sz w:val="22"/>
        </w:rPr>
        <w:t xml:space="preserve">represents gains (losses) from the investments held by the Consolidated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240"/>
        <w:ind w:left="0" w:right="0" w:firstLine="720"/>
        <w:jc w:val="left"/>
        <w:rPr/>
      </w:pPr>
      <w:r>
        <w:rPr>
          <w:rFonts w:ascii="Times New Roman;sans-serif" w:hAnsi="Times New Roman;sans-serif"/>
          <w:b w:val="false"/>
          <w:i/>
          <w:color w:val="000000"/>
          <w:sz w:val="22"/>
        </w:rPr>
        <w:t>Interest income</w:t>
      </w:r>
      <w:r>
        <w:rPr>
          <w:color w:val="000000"/>
        </w:rPr>
        <w:t xml:space="preserve"> </w:t>
      </w:r>
      <w:r>
        <w:rPr>
          <w:rFonts w:ascii="Times New Roman;sans-serif" w:hAnsi="Times New Roman;sans-serif"/>
          <w:b w:val="false"/>
          <w:color w:val="000000"/>
          <w:sz w:val="22"/>
        </w:rPr>
        <w:t>consists of income earned on cash and cash equivalents, restricted cash, and amounts associated with the Consolidated Funds.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Interest expense</w:t>
      </w:r>
      <w:r>
        <w:rPr>
          <w:color w:val="000000"/>
        </w:rPr>
        <w:t xml:space="preserve"> </w:t>
      </w:r>
      <w:r>
        <w:rPr>
          <w:rFonts w:ascii="Times New Roman;sans-serif" w:hAnsi="Times New Roman;sans-serif"/>
          <w:b w:val="false"/>
          <w:color w:val="000000"/>
          <w:sz w:val="22"/>
        </w:rPr>
        <w:t xml:space="preserve">primarily consists of the interest expense on the Revolver, as well as the related amortization of deferred financing costs. </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 xml:space="preserve">Other income (loss) </w:t>
      </w:r>
      <w:r>
        <w:rPr>
          <w:rFonts w:ascii="Times New Roman;sans-serif" w:hAnsi="Times New Roman;sans-serif"/>
          <w:b w:val="false"/>
          <w:color w:val="000000"/>
          <w:sz w:val="22"/>
        </w:rPr>
        <w:t xml:space="preserve">includes foreign currency transaction gains and losses, non-operating activities, and amounts associated with the Consolidated Funds </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Income Tax Expense </w:t>
      </w:r>
    </w:p>
    <w:p>
      <w:pPr>
        <w:pStyle w:val="TextBody"/>
        <w:bidi w:val="0"/>
        <w:spacing w:lineRule="auto" w:line="26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condensed consolidated statements of income. As a result, the Partnership does not record U.S. federal and state income taxes on income generated by the Partnership or its subsidiaries, except for certain local and foreign income taxes discussed above.</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Non-Controlling Interests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Non-controlling interests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Non-controlling interests in subsidiaries</w:t>
      </w:r>
      <w:r>
        <w:rPr>
          <w:color w:val="000000"/>
        </w:rPr>
        <w:t xml:space="preserve"> </w:t>
      </w:r>
      <w:r>
        <w:rPr>
          <w:rFonts w:ascii="Times New Roman;sans-serif" w:hAnsi="Times New Roman;sans-serif"/>
          <w:b w:val="false"/>
          <w:color w:val="000000"/>
          <w:sz w:val="22"/>
        </w:rPr>
        <w:t>represent the economic interests in the consolidated subsidiaries of the Partnership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Non-controlling interests in legacy Greenspring entities</w:t>
      </w:r>
      <w:r>
        <w:rPr>
          <w:color w:val="000000"/>
        </w:rPr>
        <w:t xml:space="preserve"> </w:t>
      </w:r>
      <w:r>
        <w:rPr>
          <w:rFonts w:ascii="Times New Roman;sans-serif" w:hAnsi="Times New Roman;sans-serif"/>
          <w:b w:val="false"/>
          <w:color w:val="000000"/>
          <w:sz w:val="22"/>
        </w:rPr>
        <w:t>represent the economic interests in the legacy Greenspring general partner entities. We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Non-controlling interests in the Partnership</w:t>
      </w:r>
      <w:r>
        <w:rPr>
          <w:color w:val="000000"/>
        </w:rPr>
        <w:t xml:space="preserve"> </w:t>
      </w:r>
      <w:r>
        <w:rPr>
          <w:rFonts w:ascii="Times New Roman;sans-serif" w:hAnsi="Times New Roman;sans-serif"/>
          <w:b w:val="false"/>
          <w:color w:val="000000"/>
          <w:sz w:val="22"/>
        </w:rPr>
        <w:t>represent the economic interests in the Partnership held by the Class B, Class C and Class D 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Redeemable non-controlling interests in Consolidated Funds</w:t>
      </w:r>
      <w:r>
        <w:rPr>
          <w:color w:val="000000"/>
        </w:rPr>
        <w:t xml:space="preserve"> </w:t>
      </w:r>
      <w:r>
        <w:rPr>
          <w:rFonts w:ascii="Times New Roman;sans-serif" w:hAnsi="Times New Roman;sans-serif"/>
          <w:b w:val="false"/>
          <w:color w:val="000000"/>
          <w:sz w:val="22"/>
        </w:rPr>
        <w:t xml:space="preserve">represent the economic interests in the Consolidated Funds which are 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i/>
          <w:color w:val="000000"/>
          <w:sz w:val="22"/>
        </w:rPr>
        <w:t>Redeemable non-controlling interests in subsidiaries</w:t>
      </w:r>
      <w:r>
        <w:rPr>
          <w:color w:val="000000"/>
        </w:rPr>
        <w:t xml:space="preserve"> </w:t>
      </w:r>
      <w:r>
        <w:rPr>
          <w:rFonts w:ascii="Times New Roman;sans-serif" w:hAnsi="Times New Roman;sans-serif"/>
          <w:b w:val="false"/>
          <w:color w:val="000000"/>
          <w:sz w:val="22"/>
        </w:rPr>
        <w:t xml:space="preserve">represent the redeemable economic interests in the consolidated subsidiaries of the Partnership held by third parties and employees in those entities that were established in connection with the Transaction Agreements. Redeemable non-controlling interests in subsidiaries are allocated a share of income or loss in the respective consolidated subsidiary in proportion to their relative ownership interests, after consideration of contractual arrangements that govern allocations of income or loss.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Key Operating Metrics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monitor certain operating metrics that are either common to the asset management industry or that we believe provide important data regarding our business.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Assets Under Management</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 xml:space="preserve">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September 30, 2024 reflects final data for the prior period (June 30, 2024), adjusted for net new client account activity through September 30, 2024. NAV data for underlying investments is as of June 30, 2024, as reported by underlying managers up to the business day occurring on or after 100 days following June 30, 2024. When NAV data is not available by the business day occurring on or after 100 days following June 30, 2024, such NAVs are adjusted for cash activity following the last available reported NAV. </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Assets Under Advisement</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We believe AUA is a useful metric for assessing the relative size of our advisory business.</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September 30, 2024 reflects final data for the prior period (June 30, 2024), adjusted for net new client account activity through September 30, 2024. NAV data for underlying investments is as of June 30, 2024, as reported by underlying managers up to the business day occurring on or after 100 days following June 30, 2024. When NAV data is not available by the business day occurring on or after 100 days following June 30, 2024, such NAVs are adjusted for cash activity following the last available reported NAV.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Fee-Earning AUM</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We believe FEAUM is a useful metric in order to assess assets forming the basis of our management fee revenue.</w:t>
      </w:r>
    </w:p>
    <w:p>
      <w:pPr>
        <w:pStyle w:val="TextBody"/>
        <w:bidi w:val="0"/>
        <w:spacing w:lineRule="auto" w:line="288" w:before="0" w:after="240"/>
        <w:ind w:left="0" w:right="0" w:firstLine="720"/>
        <w:jc w:val="left"/>
        <w:rPr>
          <w:rFonts w:ascii="Times New Roman;sans-serif" w:hAnsi="Times New Roman;sans-serif"/>
          <w:b w:val="false"/>
          <w:color w:val="231F20"/>
          <w:sz w:val="22"/>
        </w:rPr>
      </w:pPr>
      <w:r>
        <w:rPr>
          <w:rFonts w:ascii="Times New Roman;sans-serif" w:hAnsi="Times New Roman;sans-serif"/>
          <w:b w:val="false"/>
          <w:color w:val="231F20"/>
          <w:sz w:val="22"/>
        </w:rPr>
        <w:t>Our calculation of FEAUM may differ from the calculations of other asset managers and, as a result, may not be comparable to similar measures presented by other asset managers.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 xml:space="preserve">Undeployed Fee-Earning Capital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Consolidation of StepStone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condensed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Consolidated Results of Operations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unaudited consolidated results of operations for the periods presented. The information is derived from our accompanying condensed consolidated financial statements prepared in accordance with GAAP.</w:t>
      </w:r>
    </w:p>
    <w:tbl>
      <w:tblPr>
        <w:tblW w:w="10205" w:type="dxa"/>
        <w:jc w:val="left"/>
        <w:tblInd w:w="0" w:type="dxa"/>
        <w:tblLayout w:type="fixed"/>
        <w:tblCellMar>
          <w:top w:w="28" w:type="dxa"/>
          <w:left w:w="28" w:type="dxa"/>
          <w:bottom w:w="28" w:type="dxa"/>
          <w:right w:w="28" w:type="dxa"/>
        </w:tblCellMar>
      </w:tblPr>
      <w:tblGrid>
        <w:gridCol w:w="1760"/>
        <w:gridCol w:w="1517"/>
        <w:gridCol w:w="1521"/>
        <w:gridCol w:w="220"/>
        <w:gridCol w:w="749"/>
        <w:gridCol w:w="131"/>
        <w:gridCol w:w="131"/>
        <w:gridCol w:w="131"/>
        <w:gridCol w:w="131"/>
        <w:gridCol w:w="220"/>
        <w:gridCol w:w="749"/>
        <w:gridCol w:w="131"/>
        <w:gridCol w:w="109"/>
        <w:gridCol w:w="109"/>
        <w:gridCol w:w="109"/>
        <w:gridCol w:w="205"/>
        <w:gridCol w:w="700"/>
        <w:gridCol w:w="123"/>
        <w:gridCol w:w="123"/>
        <w:gridCol w:w="123"/>
        <w:gridCol w:w="123"/>
        <w:gridCol w:w="205"/>
        <w:gridCol w:w="700"/>
        <w:gridCol w:w="185"/>
      </w:tblGrid>
      <w:tr>
        <w:trPr/>
        <w:tc>
          <w:tcPr>
            <w:tcW w:w="1760"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September 30,</w:t>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Revenues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Management and advisory fees, net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184,758 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142,123 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362,773 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280,238 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Performance fees: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Incentive fees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Carried interest allocations: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Realized</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104,735 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carried interest allocations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69,847 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56,956 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86,481 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120,793 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carried interest allocations</w:t>
            </w:r>
            <w:r>
              <w:rPr>
                <w:rFonts w:ascii="Times New Roman;sans-serif" w:hAnsi="Times New Roman;sans-serif"/>
                <w:b w:val="false"/>
                <w:color w:val="000000"/>
                <w:sz w:val="9"/>
              </w:rPr>
              <w:t>(1)</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(36,550)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performance fees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86,919 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49,299 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95,305 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89,195 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revenues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271,677 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191,422 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458,078 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369,433 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Expenses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Compensation and benefits: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Cash-based compensation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161,095 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144,932 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Equity-based compensation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14,388 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Performance fee-related compensation:</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Realized</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52,923 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performance fee-related compensation</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36,515 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30,432 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performance fee-related compensation</w:t>
            </w:r>
            <w:r>
              <w:rPr>
                <w:rFonts w:ascii="Times New Roman;sans-serif" w:hAnsi="Times New Roman;sans-serif"/>
                <w:b w:val="false"/>
                <w:color w:val="000000"/>
                <w:sz w:val="9"/>
              </w:rPr>
              <w:t>(1)</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(36,550)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compensation and benefits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170,635 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98,596 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268,874 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186,515 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General, administrative and other</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91,072 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expenses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220,696 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130,325 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359,946 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251,521 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income (expense)</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income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Legacy Greenspring investment loss</w:t>
            </w:r>
            <w:r>
              <w:rPr>
                <w:rFonts w:ascii="Times New Roman;sans-serif" w:hAnsi="Times New Roman;sans-serif"/>
                <w:b w:val="false"/>
                <w:color w:val="000000"/>
                <w:sz w:val="9"/>
              </w:rPr>
              <w:t>(1)</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income of Consolidated Funds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income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(3,512)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income (loss)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other income</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14,598 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7,111 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before income tax</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57,888 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66,980 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112,730 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125,023 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 expense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53,138 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59,251 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101,183 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108,697 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non-controlling interests in subsidiaries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4"/>
              </w:rPr>
              <w:t>Less: Net loss attributable to non-controlling interests in legacy Greenspring entities</w:t>
            </w:r>
            <w:r>
              <w:rPr>
                <w:rFonts w:ascii="Times New Roman;sans-serif" w:hAnsi="Times New Roman;sans-serif"/>
                <w:b w:val="false"/>
                <w:color w:val="000000"/>
                <w:sz w:val="9"/>
              </w:rPr>
              <w:t>(1)</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(6,832)</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non-controlling interests in the Partnership</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42,788 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redeemable non-controlling interests in Consolidated Funds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6,002 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redeemable non-controlling interests in subsidiaries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attributable to StepStone Group Inc.</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17,632 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26,225 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30,960 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47,494 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(1)Reflects amounts attributable to consolidated VIEs for which we did not acquire any direct economic interests. See notes 3 and 5 to our condensed consolidated financial statements included elsewhere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September 30, 2024 Compared to Three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Total revenues increased $80.3 million, or 42%, to $271.7 million for the three months ended September 30, 2024 as compared to the three months ended September 30, 2023. The overall increase was driven by higher management and advisory fees, net, higher carried interest allocations, and positive legacy Greenspring carried interest allocations in the current period as compared to a reversal in the prior year period, partially offset by lower incentive fees, in each case, as described below.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Management and advisory fees, net increased $42.6 million, or 30%, to $184.8 million for the three months ended September 30, 2024 as compared to the three months ended September 30, 2023. The increase was driven by new client activity and 17% growth in average FEAUM across the platform. The three months ended September 30, 2024 included retroactive fees of $14.9 million from the closings of StepStone’s Secondary Opportunities V, special situation real estate secondaries, and infrastructure co-investment funds. The three months ended September 30, 2023 included retroactive fees of $3.7 million from the closings of StepStone’s Secondary Opportunities V and VC Global Partners XI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 decreased $1.8 million, or 36%, to $3.2 million for the three months ended September 30, 2024 as compared to the three months ended September 30, 2023 due to lower realization activity.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Realized carried interest allocation revenues increased $16.0 million to $17.6 million for the three months ended September 30, 2024 as compared to the three months ended September 30, 2023, reflecting higher realization activity within our private equity and infrastructure funds. Unrealized carried interest allocation revenues include the reversal of realized carried interest allocation revenues. Excluding the reversal of $17.6 million, unrealized carried interest allocation revenues increased $12.9 million, or 23%, to $69.8 million for the three months ended September 30, 2024 as compared to the three months ended September 30, 2023. The increase in unrealized carried interest allocations for the three months ended September 30, 2024 primarily reflected a higher net increase in the cumulative allocation of gains associated with the underlying portfolios within our infrastructure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Legacy Greenspring carried interest allocation revenues increased $26.5 million to $13.9 million for the three months ended September 30, 2024 as compared to the three months ended September 30, 2023 as a result of net unrealized appreciation in the fair value of certain underlying fund investments in the current year period as compared to the prior year period. The three months ended September 30, 2024 reflect gross realized carried interest allocations of $11.9 million and unrealized carried interest allocations, net of the reversal of realized carried interest allocations, of $2.0 million. The three months ended September 30, 2023 reflect gross realized carried interest allocations of $25.0 million and unrealized carried interest allocations, net of the reversal of realized carried interest allocations, of $(37.6) million.</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Six Months Ended September 30, 2024 Compared to Six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Total revenues increased $88.6 million, or 24%, to $458.1 million for the six months ended September 30, 2024 as compared to the six months ended September 30, 2023. The overall increase was driven by higher management and advisory fees, net, and positive legacy Greenspring carried interest allocations in the current period as compared to a reversal in the prior year period, partially offset by a decrease in carried interest allocations and lower incentive fees, in each case,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Management and advisory fees, net increased $82.5 million, or 29%, to $362.8 million for the six months ended September 30, 2024 as compared to the six months ended September 30, 2023. The increase was driven by new client activity and 13% growth in average FEAUM across the platform. The six months ended September 30, 2024 included retroactive fees of $31.5 million from the closings of StepStone’s Secondary Opportunities V, special situation real estate secondaries, infrastructure co-investment, and VC Global Partners XI funds. The six months ended September 30, 2023 included retroactive fees of $5.3 million from the closings of StepStone’s Secondary Opportunities V, VC Global Partners XI and infrastructure co-investment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 decreased $1.0 million, or 19%, to $4.0 million for the six months ended September 30, 2024 as compared to the six months ended September 30, 2023 due to lower realization activity.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Realized carried interest allocation revenues increased $43.4 million, or 270%, to $59.4 million for the six months ended September 30, 2024 as compared to the six months ended September 30, 2023, reflecting higher realization activity within our private equity and infrastructure funds. Unrealized carried interest allocation revenues include the reversal of realized carried interest allocation revenues. Excluding the reversal of $59.4 million, unrealized carried interest allocation revenues decreased $34.3 million, or 28%, to $86.5 million for the six months ended September 30, 2024 as compared to the six months ended September 30, 2023. The decrease in unrealized carried interest allocations for the six months ended September 30, 2024 primarily reflected a lower net increase in the cumulative allocation of gains associated with the underlying portfolios within our private equity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Legacy Greenspring carried interest allocation revenues increased $41.4 million to $4.8 million for the six months ended September 30, 2024 as compared to the six months ended September 30, 2023 as a result of lower net unrealized depreciation in the fair value of certain underlying fund investments in the current year period as compared to the prior year period. The six months ended September 30, 2024 reflect gross realized carried interest allocations of $18.6 million and unrealized carried interest allocations, net of the reversal of realized carried interest allocations, of $(13.7) million. The six months ended September 30, 2023 reflect gross realized carried interest allocations of $25.9 million and unrealized carried interest allocations, net of the reversal of realized carried interest allocations, of $(62.5) million.</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September 30, 2024 Compared to Three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Total expenses increased $90.4 million, or 69%, to $220.7 million for the three months ended September 30, 2024 as compared to the three months ended September 30, 2023. The overall increase resulted from increases in equity-based compensation, legacy Greenspring performance fee-related compensation, general, administrative, and other expenses, cash-based compensation, and performance fee-related compensation, in each case, as described below.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Cash-based compensation increased $8.0 million, or 11%, to $82.9 million for the three months ended September 30, 2024 as compared to the three months ended September 30, 2023, due to increased staffing and compensation levels. Our average headcount was 5% higher in the current year period as compared to the prior year period.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increased $31.4 million, or 531%, to $37.3 million for the three months ended September 30, 2024 as compared to the three months ended September 30, 2023. The increase was primarily attributable to a $30.8 million increase in expenses for liability classified awards related to the profits interest issued in the private wealth subsidiary in the current year period as compared to the prior year period, additional grants of RSUs made in February 2024 and no comparable expense for these grants in the prior year period, and expense related to the first offering period for the employee stock purchase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fee-related compensation expense increased $6.1 million, or 20%, to $36.5 million for the three months ended September 30, 2024 as compared to the three months ended September 30, 2023, primarily reflecting the increase in carried interest allocation revenue. Realized performance fee-related compensation increased $7.0 million, or 410%, to $8.8 million for the three months ended September 30, 2024 as compared to the three months ended September 30, 2023, primarily reflecting higher realization activity.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Legacy Greenspring performance fee-related compensation expense increased $26.5 million to $13.9 million for the three months ended September 30, 2024 as compared to the three months ended September 30, 2023. The three months ended September 30, 2024 reflect gross realized performance fee-related compensation expense of $11.9 million and unrealized performance fee-related compensation expense, net of the reversal of realized performance fee-related compensation expense, of $2.0 million. The three months ended September 30, 2023 reflect gross realized performance fee-related compensation expense of $25.0 million and unrealized performance fee-related compensation expense, net of the reversal of realized performance fee-related compensation expense, of $(37.6) million.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General, administrative and other expenses increased $18.3 million, or 58%, to $50.1 million for the three months ended September 30, 2024 as compared to the three months ended September 30, 2023. The overall increase primarily reflected increases of $13.8 million due to loss on change in fair value for contingent consideration obligation as compared to gain on change in fair value for contingent consideration obligation in the prior period, $1.5 million in professional fees, $1.4 million in travel and associated costs for investment evaluation and client service, $1.1 million in information and technology expenses and other general operating expenses.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Six Months Ended September 30, 2024 Compared to Six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Total expenses increased $108.4 million, or 43%, to $359.9 million for the six months ended September 30, 2024 as compared to the six months ended September 30, 2023. The overall increase resulted from increases in equity-based compensation, legacy Greenspring performance fee-related compensation, general, administrative and other expenses, and cash-based compensation, partially offset by a decrease in performance fee-related compensation in each case, as described below.</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Cash-based compensation increased $16.2 million, or 11%, to $161.1 million for the six months ended September 30, 2024 as compared to the six months ended September 30, 2023, due to increased staffing and compensation levels. Our average headcount was 6% higher in the current year period as compared to the prior year period.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increased $42.1 million, or 293%, to $56.5 million for the six months ended September 30, 2024 as compared to the six months ended September 30, 2023. The increase was primarily attributable to a $40.4 million increase in expenses for liability classified awards related to the profits interest issued in the private wealth subsidiary in the current year period as compared to the prior year period, additional grants of RSUs made in February 2024 and no comparable expense for these grants in the prior year period, and expense related to the first offering period for the ESPP.</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fee-related compensation expense decreased $17.3 million, or 27%, to $46.4 million for the six months ended September 30, 2024 as compared to the six months ended September 30, 2023, primarily reflecting the decrease in carried interest allocation revenue. Realized performance fee-related compensation increased $18.8 million, or 174%, to $29.6 million for the six months ended September 30, 2024 as compared to the six months ended September 30, 2023, primarily reflecting higher realization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Legacy Greenspring performance fee-related compensation expense increased $41.4 million to $4.8 million for the six months ended September 30, 2024 as compared to the six months ended September 30, 2023. The six months ended September 30, 2024 reflect gross realized performance fee-related compensation expense of $18.6 million and unrealized performance fee-related compensation expense, net of the reversal of realized performance fee-related compensation expense, of $(13.7) million. The six months ended September 30, 2023 reflect gross realized performance fee-related compensation expense of $25.9 million and unrealized performance fee-related compensation expense, net of the reversal of realized performance fee-related compensation expense, of $(62.5) million.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General, administrative and other expenses increased $26.1 million, or 40%, to $91.1 million for the six months ended September 30, 2024 as compared to the six months ended September 30, 2023. The overall increase primarily reflected increases of $18.0 million due to loss on change in fair value for contingent consideration obligation as compared to gain on change in fair value for contingent consideration obligation in the prior period, $3.0 million in travel and associated costs for investment evaluation and client service, $2.2 million in professional fees, $1.5 million in marketing expenses, and $1.0 million in human resources and recruiting expenses, partially offset by decreases of $1.3 million in accelerated depreciation for leasehold improvements due to a reduction in lease terms in the prior year and $1.0 million in insurance costs and other general operating expenses.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Other Income (Expense)</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September 30, 2024 Compared to Three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income decreased $1.0 million, or 33%, to $2.1 million for the three months ended September 30, 2024 as compared to the three months ended September 30, 2023, primarily reflecting overall changes in the valuations of the underlying investments in the StepStone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Legacy Greenspring investment loss increased $0.1 million, or 2%, to $4.0 million for the three months ended September 30, 2024 as compared to the three months ended September 30, 2023. The three months ended September 30, 2024 reflected gross realized investment income of $2.0 million and unrealized investment loss, net of the reversal of realized investment income, of $6.0 million. The three months ended September 30, 2023 reflected gross realized investment income of $3.9 million and unrealized investment loss, net of the reversal of realized investment income, of $7.9 million.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income of Consolidated Funds decreased $0.6 million, or 6%, to $8.2 million for the three months ended September 30, 2024 as compared to the three months ended September 30, 2023, primarily reflecting overall changes in the valuations of the underlying investments of the Consolidated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Interest income increased $2.0 million, or 209%, to $3.0 million for the three months ended September 30, 2024 as compared to the three months ended September 30, 2023, primarily due to higher average interest rates earned on cash and cash equivalent balances and higher average cash and cash equivalent balances during the current year period as compared with the prior year period. Interest income attributable to the Consolidated Funds was $1.4 million in the current year period as compared to $0.2 million in the prior year period.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 increased $1.4 million, or 67%, to $3.5 million for the three months ended September 30, 2024 as compared to the three months ended September 30, 2023. The increase was due to higher average interest rates and higher average outstanding balances under the Revolver during the current year period as compared with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Other income (loss) increased $2.0 million to income of $1.2 million for the three months ended September 30, 2024 as compared to the three months ended September 30, 2023, primarily reflecting net foreign currency transaction gains in the current period as compared with net foreign currency transaction losses in the prior year period.</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Six Months Ended September 30, 2024 Compared to Six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income decreased $1.5 million, or 25%, to $4.6 million for the six months ended September 30, 2024 as compared to the six months ended September 30, 2023, primarily reflecting overall changes in the valuations of the underlying investments in the StepStone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Legacy Greenspring investment loss decreased $1.5 million, or 23%, to $5.3 million for the six months ended September 30, 2024 as compared to the six months ended September 30, 2023. The six months ended September 30, 2024 reflected gross realized investment income of $2.9 million and unrealized investment loss, net of the reversal of realized investment income, of $8.1 million. The six months ended September 30, 2023 reflected gross realized investment income of $4.1 million and unrealized investment loss, net of the reversal of realized investment income, of $11.0 million.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income of Consolidated Funds increased $4.7 million, or 42%, to $15.8 million for the six months ended September 30, 2024 as compared to the six months ended September 30, 2023, primarily reflecting overall changes in the valuations of the underlying investments of the Consolidated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Interest income increased $3.7 million, or 260%, to $5.1 million for the six months ended September 30, 2024 as compared to the six months ended September 30, 2023, primarily due to higher average interest rates earned on cash and cash equivalent balances and higher average cash and cash equivalent balances during the current year period as compared with the prior year period. Interest income attributable to the Consolidated Funds was $2.3 million in the current year period as compared to $0.5 million in the prior year period.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 increased $2.4 million, or 58%, to $6.5 million for the six months ended September 30, 2024 as compared to the six months ended September 30, 2023. The increase was due to higher average interest rates and higher average outstanding balances under the Revolver during the current year period as compared with the prior year period.</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Other income (loss) increased $1.5 million to income of $0.8 million for the six months ended September 30, 2024 as compared to the six months ended September 30, 2023, primarily reflecting net foreign currency transaction gains in the current period as compared with net foreign currency transaction losses in the prior year period.</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Income Tax Expense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Income tax expense primarily reflects U.S. federal and state income taxes on our share of taxable income generated by the Partnership, as well as local and foreign income taxes of certain of the Partnership’s subsidiaries.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Our effective income tax rate was 8.2% and 11.5% for the three months ended September 30, 2024 and 2023, respectively, and 10.2% and 13.1% for the six months ended September 30, 2024 and 2023, respectively. Our overall effective tax rate in each of the periods described above is less than the statutory rate as a portion of income was allocated to non-controlling interests and the tax liability on such income is borne by the holders of non-controlling interests. The primary rate difference was driven by an increase in tax benefits related to income allocated to non-controlling interests, as well as an increase in tax benefits associated with the vesting of RSUs for the three and six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September 30, 2024 Compared to Three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Income tax expense decreased $3.0 million, or 39%, to $4.8 million for the three months ended September 30, 2024 as compared to the three months ended September 30, 2023. The decrease in income tax expense was primarily due to lower pre-tax income and an increased tax benefit from the vesting of RSUs for the three months ended September 30, 2024 compared to the three months ended September 30, 2023.</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Six Months Ended September 30, 2024 Compared to Six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Income tax expense decreased $4.8 million, or 29%, to $11.5 million for the six months ended September 30, 2024 as compared to the six months ended September 30, 2023. The decrease in income tax expense was primarily due to lower pre-tax income and an increased tax benefit from the vesting of RSUs for the six months ended September 30, 2024 compared to the six months ended September 30, 2023.</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Net Income Attributable to Non-Controlling Interests in Subsidiaries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non-controlling interests in subsidiaries increased $9.5 million, or 99%, to $19.1 million for the three months ended September 30, 2024 as compared to the three months ended September 30, 2023. The increase was primarily attributable to an increase in income generated by our consolidated subsidiaries not wholly-owned by us and an increase in our economic interests in the Asset Class Entities as a result of the Transaction Agreements.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non-controlling interests in subsidiaries increased $16.5 million, or 86%, to $35.7 million for the six months ended September 30, 2024 as compared to the six months ended September 30, 2023. The increase was primarily attributable to an increase in income generated by our consolidated subsidiaries not wholly-owned by us and an increase in our economic interests in the Asset Class Entities as a result of the Transaction Agreements.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Net Loss Attributable to Non-Controlling Interests in Legacy Greenspring Entities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loss attributable to non-controlling interests in legacy Greenspring entities was $4.0 million for the three months ended September 30, 2024 and 2023, respectively, and $5.3 million and $6.8 million for the six months ended September 30, 2024 and 2023, respectively.</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Net Income Attributable to Non-Controlling Interests in the Partnership</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(loss) attributable to non-controlling interests in the Partnership represents the portion of net income or loss attributable to the interests held by the Class B, Class C and Class D unitholders of the Partnership. Net income attributable to non-controlling interests in the Partnership was $13.6 million and $22.9 million for the three months ended September 30, 2024 and 2023, respectively, and $26.9 million and $42.8 million for the six months ended September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Net Income Attributable to Redeemable Non-Controlling Interests in Consolidated Funds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redeemable non-controlling interests in Consolidated Funds represents income of the Consolidated Funds attributable to third-party investors. Net income attributable to redeemable non-controlling interests in Consolidated Funds was $6.5 million and $4.4 million for the three months ended September 30, 2024 and 2023, respectively, and $12.2 million and $6.0 million for the six months ended September 30, 2024 and 2023, respectively.</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Net Income Attributable to Redeemable Non-Controlling Interests in Subsidiaries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redeemable non-controlling interests in subsidiaries was $0.3 million and $0.7 million for the three and six months ended September 30, 2024, respectively. There were no redeemable non-controlling interests in subsidiaries for the three and six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Key Operating Metrics</w:t>
      </w:r>
    </w:p>
    <w:p>
      <w:pPr>
        <w:pStyle w:val="TextBody"/>
        <w:bidi w:val="0"/>
        <w:spacing w:lineRule="auto" w:line="288" w:before="24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Assets Under Management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AUM was $176 billion as of September 30, 2024, $157 billion as of March 31, 2024 and $146 billion as of September 30, 2023.</w:t>
      </w:r>
    </w:p>
    <w:p>
      <w:pPr>
        <w:pStyle w:val="TextBody"/>
        <w:bidi w:val="0"/>
        <w:spacing w:lineRule="auto" w:line="288" w:before="24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Assets Under Advisement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Assets related to our advisory accounts were $506 billion as of September 30, 2024, $521 billion as of March 31, 2024 and $513 billion as of September 30, 2023.</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Fee-Earning AUM</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September 30, 2024</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FEAUM increased approximately $4.1 billion to $104.4 billion as of September 30, 2024 as compared to June 30, 2024. During the period, FEAUM from SMAs increased approximately $1.8 billion and FEAUM from commingled funds increased approximately $2.2 billion.</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Six Months Ended September 30, 2024</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FEAUM increased approximately $10.6 billion to $104.4 billion as of September 30, 2024 as compared to March 31, 2024. During the period, FEAUM from SMAs increased approximately $3.2 billion and FEAUM from commingled funds increased approximately $7.3 billion.</w:t>
      </w:r>
    </w:p>
    <w:tbl>
      <w:tblPr>
        <w:tblW w:w="10205" w:type="dxa"/>
        <w:jc w:val="left"/>
        <w:tblInd w:w="0" w:type="dxa"/>
        <w:tblLayout w:type="fixed"/>
        <w:tblCellMar>
          <w:top w:w="28" w:type="dxa"/>
          <w:left w:w="28" w:type="dxa"/>
          <w:bottom w:w="28" w:type="dxa"/>
          <w:right w:w="28" w:type="dxa"/>
        </w:tblCellMar>
      </w:tblPr>
      <w:tblGrid>
        <w:gridCol w:w="638"/>
        <w:gridCol w:w="493"/>
        <w:gridCol w:w="314"/>
        <w:gridCol w:w="211"/>
        <w:gridCol w:w="721"/>
        <w:gridCol w:w="109"/>
        <w:gridCol w:w="109"/>
        <w:gridCol w:w="109"/>
        <w:gridCol w:w="109"/>
        <w:gridCol w:w="273"/>
        <w:gridCol w:w="935"/>
        <w:gridCol w:w="142"/>
        <w:gridCol w:w="109"/>
        <w:gridCol w:w="109"/>
        <w:gridCol w:w="109"/>
        <w:gridCol w:w="211"/>
        <w:gridCol w:w="826"/>
        <w:gridCol w:w="109"/>
        <w:gridCol w:w="109"/>
        <w:gridCol w:w="109"/>
        <w:gridCol w:w="109"/>
        <w:gridCol w:w="211"/>
        <w:gridCol w:w="721"/>
        <w:gridCol w:w="109"/>
        <w:gridCol w:w="109"/>
        <w:gridCol w:w="109"/>
        <w:gridCol w:w="109"/>
        <w:gridCol w:w="273"/>
        <w:gridCol w:w="935"/>
        <w:gridCol w:w="142"/>
        <w:gridCol w:w="109"/>
        <w:gridCol w:w="109"/>
        <w:gridCol w:w="109"/>
        <w:gridCol w:w="211"/>
        <w:gridCol w:w="826"/>
        <w:gridCol w:w="160"/>
      </w:tblGrid>
      <w:tr>
        <w:trPr/>
        <w:tc>
          <w:tcPr>
            <w:tcW w:w="6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 2024</w:t>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SMAs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Focused Commingled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SMAs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Focused Commingled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Contributions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Distributions</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Market value, FX and other</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(1)Contributions consist of new capital commitments that earn fees on committed capital and capital contributions to funds and accounts that earn fees on net invested capital or NAV.</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(3)Market value, FX and other primarily consist of changes in market value appreciation (depreciation) for funds that pay on NAV and the effect of foreign exchange rate changes on non-U.S. dollar denominated commitments.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set forth FEAUM by asset class and selected weighted-average management fee rate data:</w:t>
      </w:r>
    </w:p>
    <w:tbl>
      <w:tblPr>
        <w:tblW w:w="6938" w:type="dxa"/>
        <w:jc w:val="left"/>
        <w:tblInd w:w="0" w:type="dxa"/>
        <w:tblLayout w:type="fixed"/>
        <w:tblCellMar>
          <w:top w:w="28" w:type="dxa"/>
          <w:left w:w="28" w:type="dxa"/>
          <w:bottom w:w="28" w:type="dxa"/>
          <w:right w:w="28" w:type="dxa"/>
        </w:tblCellMar>
      </w:tblPr>
      <w:tblGrid>
        <w:gridCol w:w="457"/>
        <w:gridCol w:w="400"/>
        <w:gridCol w:w="403"/>
        <w:gridCol w:w="326"/>
        <w:gridCol w:w="1276"/>
        <w:gridCol w:w="168"/>
        <w:gridCol w:w="109"/>
        <w:gridCol w:w="109"/>
        <w:gridCol w:w="109"/>
        <w:gridCol w:w="292"/>
        <w:gridCol w:w="998"/>
        <w:gridCol w:w="150"/>
        <w:gridCol w:w="109"/>
        <w:gridCol w:w="109"/>
        <w:gridCol w:w="109"/>
        <w:gridCol w:w="352"/>
        <w:gridCol w:w="1205"/>
        <w:gridCol w:w="257"/>
      </w:tblGrid>
      <w:tr>
        <w:trPr/>
        <w:tc>
          <w:tcPr>
            <w:tcW w:w="45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FEAUM</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debt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104,415 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87,285 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70"/>
        <w:gridCol w:w="1466"/>
        <w:gridCol w:w="1472"/>
        <w:gridCol w:w="389"/>
        <w:gridCol w:w="386"/>
        <w:gridCol w:w="964"/>
        <w:gridCol w:w="109"/>
        <w:gridCol w:w="109"/>
        <w:gridCol w:w="109"/>
        <w:gridCol w:w="319"/>
        <w:gridCol w:w="313"/>
        <w:gridCol w:w="783"/>
        <w:gridCol w:w="109"/>
        <w:gridCol w:w="109"/>
        <w:gridCol w:w="109"/>
        <w:gridCol w:w="365"/>
        <w:gridCol w:w="362"/>
        <w:gridCol w:w="1062"/>
      </w:tblGrid>
      <w:tr>
        <w:trPr/>
        <w:tc>
          <w:tcPr>
            <w:tcW w:w="167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4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Weighted-average fee rate</w:t>
            </w:r>
            <w:r>
              <w:rPr>
                <w:rFonts w:ascii="Times New Roman;sans-serif" w:hAnsi="Times New Roman;sans-serif"/>
                <w:b/>
                <w:color w:val="000000"/>
                <w:sz w:val="13"/>
              </w:rPr>
              <w:t>(1)</w:t>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equity</w:t>
            </w:r>
            <w:r>
              <w:rPr>
                <w:rFonts w:ascii="Times New Roman;sans-serif" w:hAnsi="Times New Roman;sans-serif"/>
                <w:b w:val="false"/>
                <w:color w:val="000000"/>
                <w:sz w:val="13"/>
              </w:rPr>
              <w:t>(2)</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Real estate, infrastructure and private debt asset classes</w:t>
            </w:r>
            <w:r>
              <w:rPr>
                <w:rFonts w:ascii="Times New Roman;sans-serif" w:hAnsi="Times New Roman;sans-serif"/>
                <w:b w:val="false"/>
                <w:color w:val="000000"/>
                <w:sz w:val="13"/>
              </w:rPr>
              <w:t>(3)</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(1)Weighted-average fee rates reflect the applicable management fees for the last 12 months ending on each period presented, and is inclusive of any retroactive fees for such period.</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change in weighted-average fee rates primarily reflected the timing of new funds and shifts in mix between SMAs and focused commingled funds. </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(3)The change in weighted-average fee rates primarily reflected the timing of new funds and shifts in asset class mix.</w:t>
      </w:r>
    </w:p>
    <w:p>
      <w:pPr>
        <w:pStyle w:val="TextBody"/>
        <w:bidi w:val="0"/>
        <w:spacing w:lineRule="auto" w:line="288" w:before="0" w:after="24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Undeployed Fee-Earning Capital</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September 30, 2024, we had $29.7 billion of undeployed fee-earning capital, which will generate management fee revenue once invested or activated.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Below is a description of our non-GAAP financial measures. These measures are presented on a basis other than GAAP and should be considered in addition to, and not as a substitute for or superior to, financial measures calculated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pPr>
      <w:r>
        <w:rPr>
          <w:rFonts w:ascii="Times New Roman;sans-serif" w:hAnsi="Times New Roman;sans-serif"/>
          <w:b/>
          <w:color w:val="000000"/>
          <w:sz w:val="22"/>
        </w:rPr>
        <w:t>Adjusted Net Income</w:t>
      </w:r>
      <w:r>
        <w:rPr>
          <w:color w:val="00000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adjusted management and advisory fees, net, adjusted incentive fees (including the deferred portion)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SPW, (d) amortization of intangibles, (e) net income (loss) attributable to non-controlling interests in our subsidiaries and realized gains attributable to the profits interests issued in SPW, (f) 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Adjusted Revenues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Adjusted revenues represents the components of revenues used in the determination of ANI and comprise adjusted management and advisory fees, net, adjusted incentive fees (including the deferred portion) and realized carried interest allocations. We believe adjusted revenues is useful to investors because it presents a measure of realized revenues.</w:t>
      </w:r>
    </w:p>
    <w:p>
      <w:pPr>
        <w:pStyle w:val="TextBody"/>
        <w:bidi w:val="0"/>
        <w:spacing w:lineRule="auto" w:line="288" w:before="0" w:after="240"/>
        <w:ind w:left="0" w:right="0" w:firstLine="720"/>
        <w:jc w:val="left"/>
        <w:rPr/>
      </w:pPr>
      <w:r>
        <w:rPr>
          <w:rFonts w:ascii="Times New Roman;sans-serif" w:hAnsi="Times New Roman;sans-serif"/>
          <w:b/>
          <w:color w:val="000000"/>
          <w:sz w:val="22"/>
        </w:rPr>
        <w:t>Fee-Related Earnings</w:t>
      </w:r>
      <w:r>
        <w:rPr>
          <w:color w:val="00000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Fee-related earnings (“FRE”) is a non-GAAP performance measure used to monitor our baseline earnings from recurring management and advisory fees. FRE is a component of ANI and comprises adjusted management and advisory fees, net,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SPW,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Adjusted Weighted-Average Shares and Adjusted Net Income Per Share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Fee-Related Earnings</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September 30, 2024 Compared to Three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FRE increased $28.5 million, or 65%, to $72.3 million for the three months ended September 30, 2024 as compared to the three months ended September 30, 2023, primarily reflecting higher adjusted management and advisory fees, net, partially offset by higher adjusted cash-based compensation, adjusted general, administrative and other expenses, and adjusted equity-based compensation.</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Six Months Ended September 30, 2024 Compared to Six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FRE increased $55.8 million, or 63%, to $144.0 million for the six months ended September 30, 2024 as compared to the six months ended September 30, 2023, primarily reflecting higher adjusted management and advisory fees, net, partially offset by higher adjusted cash-based compensation, adjusted general, administrative and other expenses, and adjusted equity-based compensation.</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Adjusted Revenues and Adjusted Net Income</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September 30, 2024 Compared to Three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Adjusted revenues increased $59.0 million, or 39%, to $208.8 million for the three months ended September 30, 2024 as compared to the three months ended September 30, 2023, primarily reflecting increases in adjusted management and advisory fees, net, and realized carried interest allocation revenues.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ANI increased $23.4 million, or 78%, to $53.6 million for the three months ended September 30, 2024 as compared to the three months ended September 30, 2023, primarily due to an increase in FRE as discussed above, higher net realized performance fee-related earnings (adjusted incentive fees, including the deferred portion, plus realized carried interest allocation revenues, less realized performance fee-related compensation) and higher realized investment income. The overall increase was partially offset by a higher allocation of income to non-controlling interests and higher interest expense.</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Six Months Ended September 30, 2024 Compared to Six Months Ended September 30, 2023</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Adjusted revenues increased $127.4 million, or 42%, to $430.0 million for the six months ended September 30, 2024 as compared to the six months ended September 30, 2023, primarily reflecting increases in adjusted management and advisory fees, net, realized carried interest allocation revenues, and adjusted incentive fees, including the deferred portion.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ANI increased $51.2 million, or 86%, to $110.8 million for the six months ended September 30, 2024 as compared to the six months ended September 30, 2023, primarily due to an increase in FRE as discussed above, higher net realized performance fee-related earnings (adjusted incentive fees, including the deferred portion, plus realized carried interest allocation revenues, less realized performance fee-related compensation) and higher realized investment income. The overall increase was partially offset by a higher allocation of income to non-controlling interests and higher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Adjusted Weighted-Average Shares and Adjusted Net Income Per Share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shows a reconciliation of diluted weighted-average shares of Class A common stock outstanding to adjusted weighted-average shares outstanding used in the computation of ANI per share for the three and six months ended September 30, 2024 and 2023.</w:t>
      </w:r>
    </w:p>
    <w:tbl>
      <w:tblPr>
        <w:tblW w:w="10205" w:type="dxa"/>
        <w:jc w:val="left"/>
        <w:tblInd w:w="0" w:type="dxa"/>
        <w:tblLayout w:type="fixed"/>
        <w:tblCellMar>
          <w:top w:w="28" w:type="dxa"/>
          <w:left w:w="28" w:type="dxa"/>
          <w:bottom w:w="28" w:type="dxa"/>
          <w:right w:w="28" w:type="dxa"/>
        </w:tblCellMar>
      </w:tblPr>
      <w:tblGrid>
        <w:gridCol w:w="1605"/>
        <w:gridCol w:w="1115"/>
        <w:gridCol w:w="1119"/>
        <w:gridCol w:w="273"/>
        <w:gridCol w:w="923"/>
        <w:gridCol w:w="125"/>
        <w:gridCol w:w="125"/>
        <w:gridCol w:w="125"/>
        <w:gridCol w:w="125"/>
        <w:gridCol w:w="273"/>
        <w:gridCol w:w="923"/>
        <w:gridCol w:w="125"/>
        <w:gridCol w:w="109"/>
        <w:gridCol w:w="109"/>
        <w:gridCol w:w="109"/>
        <w:gridCol w:w="264"/>
        <w:gridCol w:w="933"/>
        <w:gridCol w:w="116"/>
        <w:gridCol w:w="116"/>
        <w:gridCol w:w="116"/>
        <w:gridCol w:w="116"/>
        <w:gridCol w:w="267"/>
        <w:gridCol w:w="919"/>
        <w:gridCol w:w="175"/>
      </w:tblGrid>
      <w:tr>
        <w:trPr/>
        <w:tc>
          <w:tcPr>
            <w:tcW w:w="160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w:t>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ANI</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Basic</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68,772,051 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62,858,468 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67,486,964 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62,846,708 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of RSUs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601,620 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and exchange of Class B2 units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2,538,647 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2,521,725 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purchase under ESPP</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Exchange of Class B units in the Partnership</w:t>
            </w:r>
            <w:r>
              <w:rPr>
                <w:rFonts w:ascii="Times New Roman;sans-serif" w:hAnsi="Times New Roman;sans-serif"/>
                <w:b w:val="false"/>
                <w:color w:val="000000"/>
                <w:sz w:val="13"/>
              </w:rPr>
              <w:t>(1)</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45,212,921 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46,417,845 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45,518,634 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46,418,987 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Exchange of Class C units in the Partnership</w:t>
            </w:r>
            <w:r>
              <w:rPr>
                <w:rFonts w:ascii="Times New Roman;sans-serif" w:hAnsi="Times New Roman;sans-serif"/>
                <w:b w:val="false"/>
                <w:color w:val="000000"/>
                <w:sz w:val="13"/>
              </w:rPr>
              <w:t>(1)</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1,626,812 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2,502,086 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1,737,720 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2,508,053 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Exchange of Class D units in the Partnership</w:t>
            </w:r>
            <w:r>
              <w:rPr>
                <w:rFonts w:ascii="Times New Roman;sans-serif" w:hAnsi="Times New Roman;sans-serif"/>
                <w:b w:val="false"/>
                <w:color w:val="000000"/>
                <w:sz w:val="13"/>
              </w:rPr>
              <w:t>(1)</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2,239,185 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2,239,185 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weighted-average shares</w:t>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118,774,233 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115,118,060 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118,643,088 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114,897,093 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ANI per share</w:t>
            </w:r>
          </w:p>
        </w:tc>
        <w:tc>
          <w:tcPr>
            <w:tcW w:w="2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(1)Assumes the full exchange of Class B units, Class C units or Class D units in the Partnership for Class A common stock of SSG pursuant to the Class B Exchange Agreement, Class C Exchange Agreement or Class D Exchange Agreement, respectively.</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Reconciliation of GAAP to Non-GAAP Financial Measures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shows a reconciliation of revenues to adjusted revenues.</w:t>
      </w:r>
    </w:p>
    <w:tbl>
      <w:tblPr>
        <w:tblW w:w="10205" w:type="dxa"/>
        <w:jc w:val="left"/>
        <w:tblInd w:w="0" w:type="dxa"/>
        <w:tblLayout w:type="fixed"/>
        <w:tblCellMar>
          <w:top w:w="28" w:type="dxa"/>
          <w:left w:w="28" w:type="dxa"/>
          <w:bottom w:w="28" w:type="dxa"/>
          <w:right w:w="28" w:type="dxa"/>
        </w:tblCellMar>
      </w:tblPr>
      <w:tblGrid>
        <w:gridCol w:w="1522"/>
        <w:gridCol w:w="1291"/>
        <w:gridCol w:w="1294"/>
        <w:gridCol w:w="236"/>
        <w:gridCol w:w="928"/>
        <w:gridCol w:w="121"/>
        <w:gridCol w:w="121"/>
        <w:gridCol w:w="121"/>
        <w:gridCol w:w="121"/>
        <w:gridCol w:w="236"/>
        <w:gridCol w:w="928"/>
        <w:gridCol w:w="121"/>
        <w:gridCol w:w="109"/>
        <w:gridCol w:w="109"/>
        <w:gridCol w:w="109"/>
        <w:gridCol w:w="223"/>
        <w:gridCol w:w="878"/>
        <w:gridCol w:w="115"/>
        <w:gridCol w:w="115"/>
        <w:gridCol w:w="115"/>
        <w:gridCol w:w="115"/>
        <w:gridCol w:w="223"/>
        <w:gridCol w:w="878"/>
        <w:gridCol w:w="176"/>
      </w:tblGrid>
      <w:tr>
        <w:trPr/>
        <w:tc>
          <w:tcPr>
            <w:tcW w:w="152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4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369,433 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carried interest allocations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incentive fees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carried interest allocations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Management and advisory fee revenues for the Consolidated Funds</w:t>
            </w:r>
            <w:r>
              <w:rPr>
                <w:rFonts w:ascii="Times New Roman;sans-serif" w:hAnsi="Times New Roman;sans-serif"/>
                <w:b w:val="false"/>
                <w:color w:val="000000"/>
                <w:sz w:val="13"/>
              </w:rPr>
              <w:t>(1)</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Incentive fees for the Consolidated Funds</w:t>
            </w:r>
            <w:r>
              <w:rPr>
                <w:rFonts w:ascii="Times New Roman;sans-serif" w:hAnsi="Times New Roman;sans-serif"/>
                <w:b w:val="false"/>
                <w:color w:val="000000"/>
                <w:sz w:val="13"/>
              </w:rPr>
              <w:t>(2)</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revenues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208,788 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429,953 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302,580 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(1)Reflects the add back of management and advisory fee revenues for the Consolidated Funds, which have been eliminated in consolidation.</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(2)Reflects the add back of incentive fee revenues for the Consolidated Funds, which have been eliminated in consolidation.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tbl>
      <w:tblPr>
        <w:tblW w:w="10205" w:type="dxa"/>
        <w:jc w:val="left"/>
        <w:tblInd w:w="0" w:type="dxa"/>
        <w:tblLayout w:type="fixed"/>
        <w:tblCellMar>
          <w:top w:w="28" w:type="dxa"/>
          <w:left w:w="28" w:type="dxa"/>
          <w:bottom w:w="28" w:type="dxa"/>
          <w:right w:w="28" w:type="dxa"/>
        </w:tblCellMar>
      </w:tblPr>
      <w:tblGrid>
        <w:gridCol w:w="1512"/>
        <w:gridCol w:w="1311"/>
        <w:gridCol w:w="1287"/>
        <w:gridCol w:w="236"/>
        <w:gridCol w:w="927"/>
        <w:gridCol w:w="121"/>
        <w:gridCol w:w="121"/>
        <w:gridCol w:w="121"/>
        <w:gridCol w:w="121"/>
        <w:gridCol w:w="236"/>
        <w:gridCol w:w="927"/>
        <w:gridCol w:w="121"/>
        <w:gridCol w:w="109"/>
        <w:gridCol w:w="109"/>
        <w:gridCol w:w="109"/>
        <w:gridCol w:w="223"/>
        <w:gridCol w:w="877"/>
        <w:gridCol w:w="115"/>
        <w:gridCol w:w="115"/>
        <w:gridCol w:w="115"/>
        <w:gridCol w:w="115"/>
        <w:gridCol w:w="223"/>
        <w:gridCol w:w="877"/>
        <w:gridCol w:w="177"/>
      </w:tblGrid>
      <w:tr>
        <w:trPr/>
        <w:tc>
          <w:tcPr>
            <w:tcW w:w="151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management and advisory fees, net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280,238 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Management and advisory fee revenues for the Consolidated Funds</w:t>
            </w:r>
            <w:r>
              <w:rPr>
                <w:rFonts w:ascii="Times New Roman;sans-serif" w:hAnsi="Times New Roman;sans-serif"/>
                <w:b w:val="false"/>
                <w:color w:val="000000"/>
                <w:sz w:val="13"/>
              </w:rPr>
              <w:t>(1)</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management and advisory fees, net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280,628 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incentive fees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Incentive fee revenues for the Consolidated Funds</w:t>
            </w:r>
            <w:r>
              <w:rPr>
                <w:rFonts w:ascii="Times New Roman;sans-serif" w:hAnsi="Times New Roman;sans-serif"/>
                <w:b w:val="false"/>
                <w:color w:val="000000"/>
                <w:sz w:val="13"/>
              </w:rPr>
              <w:t>(2)</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incentive fees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interest income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Interest income earned by the Consolidated Funds</w:t>
            </w:r>
            <w:r>
              <w:rPr>
                <w:rFonts w:ascii="Times New Roman;sans-serif" w:hAnsi="Times New Roman;sans-serif"/>
                <w:b w:val="false"/>
                <w:color w:val="000000"/>
                <w:sz w:val="13"/>
              </w:rPr>
              <w:t>(3)</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interest income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other income (loss)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Adjustments</w:t>
            </w:r>
            <w:r>
              <w:rPr>
                <w:rFonts w:ascii="Times New Roman;sans-serif" w:hAnsi="Times New Roman;sans-serif"/>
                <w:b w:val="false"/>
                <w:color w:val="000000"/>
                <w:sz w:val="13"/>
              </w:rPr>
              <w:t>(4)</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other income (loss)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(1)Reflects the add-back of management and advisory fee revenues for the Consolidated Funds, which have been eliminated in consolidation.</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(2)Reflects the add-back of incentive fee revenues for the Consolidated Funds, which have been eliminated in consolidation.</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(3)Reflects the removal of interest income earned by the Consolidated Funds.</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(4)Reflects the removal of the impact of consolidation of the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605" cy="14605"/>
                <wp:effectExtent l="0" t="0" r="0" b="0"/>
                <wp:wrapNone/>
                <wp:docPr id="73" name="Frame7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shows a reconciliation of income before income tax to ANI and FRE.</w:t>
      </w:r>
    </w:p>
    <w:tbl>
      <w:tblPr>
        <w:tblW w:w="10205" w:type="dxa"/>
        <w:jc w:val="left"/>
        <w:tblInd w:w="0" w:type="dxa"/>
        <w:tblLayout w:type="fixed"/>
        <w:tblCellMar>
          <w:top w:w="28" w:type="dxa"/>
          <w:left w:w="28" w:type="dxa"/>
          <w:bottom w:w="28" w:type="dxa"/>
          <w:right w:w="28" w:type="dxa"/>
        </w:tblCellMar>
      </w:tblPr>
      <w:tblGrid>
        <w:gridCol w:w="1670"/>
        <w:gridCol w:w="1294"/>
        <w:gridCol w:w="1298"/>
        <w:gridCol w:w="245"/>
        <w:gridCol w:w="840"/>
        <w:gridCol w:w="126"/>
        <w:gridCol w:w="126"/>
        <w:gridCol w:w="126"/>
        <w:gridCol w:w="126"/>
        <w:gridCol w:w="245"/>
        <w:gridCol w:w="840"/>
        <w:gridCol w:w="126"/>
        <w:gridCol w:w="109"/>
        <w:gridCol w:w="109"/>
        <w:gridCol w:w="109"/>
        <w:gridCol w:w="222"/>
        <w:gridCol w:w="871"/>
        <w:gridCol w:w="114"/>
        <w:gridCol w:w="114"/>
        <w:gridCol w:w="114"/>
        <w:gridCol w:w="114"/>
        <w:gridCol w:w="222"/>
        <w:gridCol w:w="871"/>
        <w:gridCol w:w="174"/>
      </w:tblGrid>
      <w:tr>
        <w:trPr/>
        <w:tc>
          <w:tcPr>
            <w:tcW w:w="16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4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Net income attributable to non-controlling interests in subsidiaries</w:t>
            </w:r>
            <w:r>
              <w:rPr>
                <w:rFonts w:ascii="Times New Roman;sans-serif" w:hAnsi="Times New Roman;sans-serif"/>
                <w:b w:val="false"/>
                <w:color w:val="000000"/>
                <w:sz w:val="13"/>
              </w:rPr>
              <w:t>(1)</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 in legacy Greenspring entities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carried interest allocations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(104,735)</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performance fee-related compensation</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52,923 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investment income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Consolidated Funds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incentive fees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Equity-based compensation</w:t>
            </w:r>
            <w:r>
              <w:rPr>
                <w:rFonts w:ascii="Times New Roman;sans-serif" w:hAnsi="Times New Roman;sans-serif"/>
                <w:b w:val="false"/>
                <w:color w:val="000000"/>
                <w:sz w:val="13"/>
              </w:rPr>
              <w:t>(2)</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11,815 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26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Non-core items</w:t>
            </w:r>
            <w:r>
              <w:rPr>
                <w:rFonts w:ascii="Times New Roman;sans-serif" w:hAnsi="Times New Roman;sans-serif"/>
                <w:b w:val="false"/>
                <w:color w:val="000000"/>
                <w:sz w:val="13"/>
              </w:rPr>
              <w:t>(3)</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ANI</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142,594 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taxes</w:t>
            </w:r>
            <w:r>
              <w:rPr>
                <w:rFonts w:ascii="Times New Roman;sans-serif" w:hAnsi="Times New Roman;sans-serif"/>
                <w:b w:val="false"/>
                <w:color w:val="000000"/>
                <w:sz w:val="13"/>
              </w:rPr>
              <w:t>(4)</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ANI</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Income taxes</w:t>
            </w:r>
            <w:r>
              <w:rPr>
                <w:rFonts w:ascii="Times New Roman;sans-serif" w:hAnsi="Times New Roman;sans-serif"/>
                <w:b w:val="false"/>
                <w:color w:val="000000"/>
                <w:sz w:val="13"/>
              </w:rPr>
              <w:t>(4)</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carried interest allocations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Realized performance fee-related compensation</w:t>
            </w:r>
            <w:r>
              <w:rPr>
                <w:rFonts w:ascii="Times New Roman;sans-serif" w:hAnsi="Times New Roman;sans-serif"/>
                <w:b w:val="false"/>
                <w:color w:val="000000"/>
                <w:sz w:val="13"/>
              </w:rPr>
              <w:t>(5)</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income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Adjusted incentive fees</w:t>
            </w:r>
            <w:r>
              <w:rPr>
                <w:rFonts w:ascii="Times New Roman;sans-serif" w:hAnsi="Times New Roman;sans-serif"/>
                <w:b w:val="false"/>
                <w:color w:val="000000"/>
                <w:sz w:val="13"/>
              </w:rPr>
              <w:t>(6)</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incentive fees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Adjusted interest income</w:t>
            </w:r>
            <w:r>
              <w:rPr>
                <w:rFonts w:ascii="Times New Roman;sans-serif" w:hAnsi="Times New Roman;sans-serif"/>
                <w:b w:val="false"/>
                <w:color w:val="000000"/>
                <w:sz w:val="13"/>
              </w:rPr>
              <w:t>(6)</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Adjusted other (income) loss</w:t>
            </w:r>
            <w:r>
              <w:rPr>
                <w:rFonts w:ascii="Times New Roman;sans-serif" w:hAnsi="Times New Roman;sans-serif"/>
                <w:b w:val="false"/>
                <w:color w:val="000000"/>
                <w:sz w:val="13"/>
              </w:rPr>
              <w:t>(6)</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ans-serif" w:hAnsi="Times New Roman;sans-serif"/>
                <w:b w:val="false"/>
                <w:color w:val="000000"/>
                <w:sz w:val="20"/>
              </w:rPr>
              <w:t>Net income attributable to non-controlling interests in subsidiaries</w:t>
            </w:r>
            <w:r>
              <w:rPr>
                <w:rFonts w:ascii="Times New Roman;sans-serif" w:hAnsi="Times New Roman;sans-serif"/>
                <w:b w:val="false"/>
                <w:color w:val="000000"/>
                <w:sz w:val="13"/>
              </w:rPr>
              <w:t>(1)</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72,349 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(1)Reflects the portion of pre-tax ANI attributable to non-controlling interests in our subsidiaries and realized gains attributable to the profits interests issued in the private wealth subsidiary. Amounts attributable to the profits interests issued in the private wealth subsidiary were $2.3 million and $2.9 million for the three and six months ended September 30, 2024, respectively.</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(3)Includes (income) expense related to transaction costs ($0.1 million and $0.2 million for the three months ended September 30, 2024 and 2023, respectively, $0.8 million and $0.2 million for the six months ended September 30, 2024 and 2023, respectively), accelerated depreciation of leasehold improvements for changes in lease terms ($0.6 million and $1.3 million for the three and six months ended September 30, 2023, respectively), (gain) loss on change in fair value for contingent consideration obligation ($10.9 million and $(2.9) million for the three months ended September 30, 2024 and 2023, respectively, $13.8 million and $(4.1) million for the six months ended September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and 2023, respectively), compensation paid to certain employees as part of an acquisition earn-out ($0.3 million and $0.6 million for the three months ended September 30, 2024 and 2023, respectively, $0.8 million and $1.1 million for the six months ended September 30, 2024 and 2023, respectively) and other non-core operating income and expenses.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(4)Represents corporate income taxes at a blended statutory rate of 22.3% applied to pre-tax ANI for the three and six months ended September 30, 2024 and 2023, which is based on a federal statutory rate of 21.0% and a combined state, local and foreign rate net of federal benefits of 1.3%.</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(5)Includes carried interest-related compensation expense related to the portion of net carried interest allocation revenue attributable to equity holders of the Company’s consolidated subsidiaries that are not 100% owned ($2.2 million for the six months ended September 30, 2023).</w:t>
      </w:r>
    </w:p>
    <w:p>
      <w:pPr>
        <w:pStyle w:val="TextBody"/>
        <w:bidi w:val="0"/>
        <w:spacing w:lineRule="auto" w:line="256"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(6)Excludes the impact of consolidating the Consolidated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Investment Performance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June 30, 2024 and have not been adjusted to reflect acquisitions or disposals of investments subsequent to that date.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historical results of our investments are not indicative of future results to be expected of existing or new investment funds, and are not a proxy for the performance of our Class A common stock, including because: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market conditions and investment opportunities may differ from those in the past;</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the performance of our funds is largely based on the NAV (as defined below) of the funds’ investments, including unrealized gains, which may never be realized;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newly-established funds may generate lower investment returns during the period that they initially deploy their capital;</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the industries and businesses in which particular funds invest will vary.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Historical and future returns of investments included in our track record are not directly correlated to potential returns on our Class A common stock.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the purposes of the following table: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Invested capital” refers to the total amount of all investments made by a fund, including commitment-reducing and non-commitment-reducing capital calls;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NAV” refers to the estimated fair value of unrealized investments plus any net assets or liabilities associated with the investment as of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IRR” refers to the annualized internal rate of return for all investments within the relevant investment strategy on an inception-to-date basis as of June 30, 2024 (except as noted otherwise below), based on contributions, distributions and unrealized value;</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IRR” refers to IRR net of fees and expenses charged by both the underlying fund managers and StepStone;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TVM” refers to the total value to paid-in capital or invested capital expressed as a multiple, and is calculated as distributions plus unrealized valuations divided by invested capital (including all capitalized costs).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StepStone Performance Summary by Asset Class</w:t>
      </w:r>
    </w:p>
    <w:tbl>
      <w:tblPr>
        <w:tblW w:w="10205" w:type="dxa"/>
        <w:jc w:val="left"/>
        <w:tblInd w:w="0" w:type="dxa"/>
        <w:tblLayout w:type="fixed"/>
        <w:tblCellMar>
          <w:top w:w="28" w:type="dxa"/>
          <w:left w:w="28" w:type="dxa"/>
          <w:bottom w:w="28" w:type="dxa"/>
          <w:right w:w="28" w:type="dxa"/>
        </w:tblCellMar>
      </w:tblPr>
      <w:tblGrid>
        <w:gridCol w:w="488"/>
        <w:gridCol w:w="416"/>
        <w:gridCol w:w="418"/>
        <w:gridCol w:w="180"/>
        <w:gridCol w:w="170"/>
        <w:gridCol w:w="125"/>
        <w:gridCol w:w="183"/>
        <w:gridCol w:w="183"/>
        <w:gridCol w:w="184"/>
        <w:gridCol w:w="109"/>
        <w:gridCol w:w="109"/>
        <w:gridCol w:w="109"/>
        <w:gridCol w:w="597"/>
        <w:gridCol w:w="473"/>
        <w:gridCol w:w="475"/>
        <w:gridCol w:w="158"/>
        <w:gridCol w:w="158"/>
        <w:gridCol w:w="159"/>
        <w:gridCol w:w="183"/>
        <w:gridCol w:w="183"/>
        <w:gridCol w:w="184"/>
        <w:gridCol w:w="109"/>
        <w:gridCol w:w="109"/>
        <w:gridCol w:w="109"/>
        <w:gridCol w:w="512"/>
        <w:gridCol w:w="458"/>
        <w:gridCol w:w="459"/>
        <w:gridCol w:w="274"/>
        <w:gridCol w:w="274"/>
        <w:gridCol w:w="278"/>
        <w:gridCol w:w="109"/>
        <w:gridCol w:w="146"/>
        <w:gridCol w:w="146"/>
        <w:gridCol w:w="146"/>
        <w:gridCol w:w="430"/>
        <w:gridCol w:w="430"/>
        <w:gridCol w:w="434"/>
        <w:gridCol w:w="151"/>
        <w:gridCol w:w="151"/>
        <w:gridCol w:w="236"/>
      </w:tblGrid>
      <w:tr>
        <w:trPr/>
        <w:tc>
          <w:tcPr>
            <w:tcW w:w="4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INFRASTRUCTURE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DEBT</w:t>
            </w:r>
          </w:p>
        </w:tc>
        <w:tc>
          <w:tcPr>
            <w:tcW w:w="538" w:type="dxa"/>
            <w:gridSpan w:val="3"/>
            <w:tcBorders/>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475"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75"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(1,2,4)</w:t>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TVM</w:t>
            </w:r>
            <w:r>
              <w:rPr>
                <w:rFonts w:ascii="Times New Roman;sans-serif" w:hAnsi="Times New Roman;sans-serif"/>
                <w:b/>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(1,4,5)</w:t>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TVM</w:t>
            </w:r>
            <w:r>
              <w:rPr>
                <w:rFonts w:ascii="Times New Roman;sans-serif" w:hAnsi="Times New Roman;sans-serif"/>
                <w:b/>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(1,4,6)</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(1,4,8)</w:t>
            </w:r>
          </w:p>
        </w:tc>
        <w:tc>
          <w:tcPr>
            <w:tcW w:w="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r>
      <w:tr>
        <w:trPr/>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Primaries</w:t>
            </w:r>
          </w:p>
        </w:tc>
        <w:tc>
          <w:tcPr>
            <w:tcW w:w="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14.9%</w:t>
            </w:r>
          </w:p>
        </w:tc>
        <w:tc>
          <w:tcPr>
            <w:tcW w:w="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Core/Core+ fund investments</w:t>
            </w:r>
          </w:p>
        </w:tc>
        <w:tc>
          <w:tcPr>
            <w:tcW w:w="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Core/debt</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lending</w:t>
            </w:r>
          </w:p>
        </w:tc>
        <w:tc>
          <w:tcPr>
            <w:tcW w:w="5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c>
      </w:tr>
      <w:tr>
        <w:trPr/>
        <w:tc>
          <w:tcPr>
            <w:tcW w:w="1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Secondaries</w:t>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Value-add/opportunistic fund investments</w:t>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Core+/value-add - primary fund investments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Distressed debt</w:t>
            </w:r>
          </w:p>
        </w:tc>
        <w:tc>
          <w:tcPr>
            <w:tcW w:w="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r>
      <w:tr>
        <w:trPr/>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Co-investments</w:t>
            </w:r>
            <w:r>
              <w:rPr>
                <w:rFonts w:ascii="Times New Roman;sans-serif" w:hAnsi="Times New Roman;sans-serif"/>
                <w:b w:val="false"/>
                <w:color w:val="000000"/>
                <w:sz w:val="10"/>
              </w:rPr>
              <w:t>(7)</w:t>
            </w:r>
          </w:p>
        </w:tc>
        <w:tc>
          <w:tcPr>
            <w:tcW w:w="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w:t>
            </w:r>
          </w:p>
        </w:tc>
        <w:tc>
          <w:tcPr>
            <w:tcW w:w="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debt fund investments</w:t>
            </w:r>
          </w:p>
        </w:tc>
        <w:tc>
          <w:tcPr>
            <w:tcW w:w="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Core+/value-add - secondary fund investments</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Other</w:t>
            </w:r>
            <w:r>
              <w:rPr>
                <w:rFonts w:ascii="Times New Roman;sans-serif" w:hAnsi="Times New Roman;sans-serif"/>
                <w:b w:val="false"/>
                <w:color w:val="000000"/>
                <w:sz w:val="10"/>
              </w:rPr>
              <w:t>(9)</w:t>
            </w:r>
          </w:p>
        </w:tc>
        <w:tc>
          <w:tcPr>
            <w:tcW w:w="5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c>
      </w:tr>
      <w:tr>
        <w:trPr/>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Value-add/opportunistic secondaries &amp; co-investments</w:t>
            </w:r>
          </w:p>
        </w:tc>
        <w:tc>
          <w:tcPr>
            <w:tcW w:w="47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55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Core+/value-add - co-investments</w:t>
            </w:r>
          </w:p>
        </w:tc>
        <w:tc>
          <w:tcPr>
            <w:tcW w:w="8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475"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75"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0"/>
        <w:ind w:left="0" w:right="0" w:hanging="720"/>
        <w:jc w:val="left"/>
        <w:rPr/>
      </w:pPr>
      <w:r>
        <w:rPr>
          <w:rFonts w:ascii="Times New Roman;sans-serif" w:hAnsi="Times New Roman;sans-serif"/>
          <w:b w:val="false"/>
          <w:color w:val="231F20"/>
          <w:sz w:val="20"/>
        </w:rPr>
        <w:t>(1)</w:t>
      </w:r>
      <w:r>
        <w:rPr>
          <w:rFonts w:ascii="Times New Roman;sans-serif" w:hAnsi="Times New Roman;sans-serif"/>
          <w:b w:val="false"/>
          <w:color w:val="000000"/>
          <w:sz w:val="20"/>
        </w:rPr>
        <w:t xml:space="preserve">Investment returns reflect NAV data for underlying investments as of June 30, 2024, as reported by underlying managers up to </w:t>
      </w:r>
      <w:r>
        <w:rPr>
          <w:rFonts w:ascii="Times New Roman;sans-serif" w:hAnsi="Times New Roman;sans-serif"/>
          <w:b w:val="false"/>
          <w:color w:val="231F20"/>
          <w:sz w:val="20"/>
        </w:rPr>
        <w:t>the business day occurring on or after</w:t>
      </w:r>
      <w:r>
        <w:rPr>
          <w:color w:val="000000"/>
        </w:rPr>
        <w:t xml:space="preserve"> </w:t>
      </w:r>
      <w:r>
        <w:rPr>
          <w:rFonts w:ascii="Times New Roman;sans-serif" w:hAnsi="Times New Roman;sans-serif"/>
          <w:b w:val="false"/>
          <w:color w:val="231F20"/>
          <w:sz w:val="20"/>
        </w:rPr>
        <w:t>100</w:t>
      </w:r>
      <w:r>
        <w:rPr>
          <w:color w:val="000000"/>
        </w:rPr>
        <w:t xml:space="preserve"> </w:t>
      </w:r>
      <w:r>
        <w:rPr>
          <w:rFonts w:ascii="Times New Roman;sans-serif" w:hAnsi="Times New Roman;sans-serif"/>
          <w:b w:val="false"/>
          <w:color w:val="000000"/>
          <w:sz w:val="20"/>
        </w:rPr>
        <w:t xml:space="preserve">days following June 30, 2024. For investment returns where NAV data is not available by </w:t>
      </w:r>
      <w:r>
        <w:rPr>
          <w:rFonts w:ascii="Times New Roman;sans-serif" w:hAnsi="Times New Roman;sans-serif"/>
          <w:b w:val="false"/>
          <w:color w:val="231F20"/>
          <w:sz w:val="20"/>
        </w:rPr>
        <w:t>the business day occurring on or after</w:t>
      </w:r>
      <w:r>
        <w:rPr>
          <w:color w:val="000000"/>
        </w:rPr>
        <w:t xml:space="preserve"> </w:t>
      </w:r>
      <w:r>
        <w:rPr>
          <w:rFonts w:ascii="Times New Roman;sans-serif" w:hAnsi="Times New Roman;sans-serif"/>
          <w:b w:val="false"/>
          <w:color w:val="231F20"/>
          <w:sz w:val="20"/>
        </w:rPr>
        <w:t>100</w:t>
      </w:r>
      <w:r>
        <w:rPr>
          <w:color w:val="000000"/>
        </w:rPr>
        <w:t xml:space="preserve"> </w:t>
      </w:r>
      <w:r>
        <w:rPr>
          <w:rFonts w:ascii="Times New Roman;sans-serif" w:hAnsi="Times New Roman;sans-serif"/>
          <w:b w:val="false"/>
          <w:color w:val="000000"/>
          <w:sz w:val="20"/>
        </w:rPr>
        <w:t>days following June 30, 2024, such NAVs are adjusted for cash activity following the last available reported NAV. Investment returns are calculated on a constant currency adjusted reporting basis converting non-USD investment cash flows and NAVs to USD using the foreign currency exchange rate corresponding to each client’s first cash flow date.</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(2)Private equity includes 2,797 investments totaling $195.8 billion of capital commitments and excludes (i) two advisory co-investments, totaling $100.0 million of capital commitments, (ii) 258 client-directed private equity investments, totaling $30.8 billion of capital commitments, and (iii) investments for which StepStone does not provide monitoring and reporting services to the client that made the investment. Private equity includes buyout, venture capital, growth equity, fund-of-funds, and energy focused strategies. StepStone’s venture capital and growth equity strategy is composed of a) venture capital and growth equity focused commingled funds and separately managed accounts (the “StepStone VC Platform”) and b) underlying venture capital and growth equity investments within StepStone’s broader private equity funds.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i.Primaries management fee: 25 basis points of net invested capital for private equity, real estate and infrastructure; 25 basis points of net asset value for private debt; 75 basis points of committed capital for the StepStone VC Platform.</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ii.Secondaries management fee: 125 basis points, 125 basis points and 95 basis points of capital commitments for private equity, real estate and infrastructure, respectively, in years 1 through 4 for management fees, charged quarterly. In year 5, management fees step down to 90% of the previous year’s fee; 65 basis points of net asset value for private debt; 75 basis points of committed capital for the StepStone VC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iii.Co-investments management fee: 100 basis points of net committed capital for private equity and real estate; 85 and 50 basis points of net committed capital for infrastructure co-investments and direct asset management investments, respectively; 65 basis points of net asset value for private debt; 200 basis points of net invested capital for the StepStone VC Platform.</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iv.All investments assess 5 basis points of capital commitments for fund expenses, charged quarterly, and 1 basis point of capital commitments drawn down in the first cash flow quarter for organizational costs.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v.Private equity secondaries and co-investments include 12.5% and 10.0% of paid and unrealized carry, respectively, with an 8.0% 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IRR and Net TVM for certain investments may have been impacted by StepStone’s, or the underlying fund manager’s, use of subscription backed credit facilities by such vehicles. Reinvested/recycled amounts increase contributed capital.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(5)Real estate includes 477 investments totaling $80.8 billion of capital commitments and excludes (i) 92 client-directed real estate investments, totaling $14.4 billion of capital commitments, (ii) 15 secondary/co-investment core/core+ or credit investments, totaling $890.8 million of capital commitments, (iii) four advisory fund investments totaling $463.6 million of capital commitments, and (iv) investments for which StepStone does not provide monitoring and reporting services to the client that made the investment.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(6)Infrastructure includes 277 investments totaling $56.7 billion of capital commitments and excludes (i) 11 infrastructure investments made by the Partnership prior to the formation of the infrastructure subsidiary in 2013 or made prior to StepStone’s acquisition of Courtland Partners, Ltd. on April 1, 2018 (the “Courtland acquisition”), totaling $501.9 million of capital commitments, (ii) 34 client-directed infrastructure investments, totaling $6.4 billion of capital commitments, and (iii) investments for which StepStone does not provide monitoring and reporting services to the client that made the investment.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(7)Co-investments include venture capital and growth equity direct investments for private equity.</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(8)Private debt includes 975 investments totaling $51.7 billion of capital commitments and excludes (i) 42 client-directed debt investments, totaling $3.2 billion of capital commitments, (ii) 51 real estate credit investments that were recommended by Courtland Partners, Ltd. prior to the Courtland acquisition, totaling $5.1 billion of capital commitments, and (iii) investments for which StepStone does not provide monitoring and reporting services to the client that made the investment.</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(9)Other includes mezzanine debt, collateralized loan obligations, leasing, regulatory capital, trade finance, intellectual property/royalty, real estate debt and infrastructure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Sources and Uses of Liquidity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generate cash primarily from management and advisory fees and performance fees.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for property, equipment, and acquisitions to expand into new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September 30, 2024, we had $179.8 million of cash, cash equivalents and restricted cash ($225.4 million including Consolidated Funds) and $1,537.0 million of investments in StepStone Funds, including $1,381.1 million of accrued carried interest allocations, against $172.3 million in debt obligations, net of debt issuance costs, and $680.5 million in accrued carried interest-related compensation payable.</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Ongoing sources of cash include (a) management and advisory fees, which are collected monthly or quarterly, (b) performance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flows to meet our liquidity and capital resources requirements for the next 12 months.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our cash flows attributable to operating, investing and financing activities:</w:t>
      </w:r>
    </w:p>
    <w:tbl>
      <w:tblPr>
        <w:tblW w:w="7631" w:type="dxa"/>
        <w:jc w:val="left"/>
        <w:tblInd w:w="0" w:type="dxa"/>
        <w:tblLayout w:type="fixed"/>
        <w:tblCellMar>
          <w:top w:w="28" w:type="dxa"/>
          <w:left w:w="28" w:type="dxa"/>
          <w:bottom w:w="28" w:type="dxa"/>
          <w:right w:w="28" w:type="dxa"/>
        </w:tblCellMar>
      </w:tblPr>
      <w:tblGrid>
        <w:gridCol w:w="1705"/>
        <w:gridCol w:w="1501"/>
        <w:gridCol w:w="1504"/>
        <w:gridCol w:w="231"/>
        <w:gridCol w:w="907"/>
        <w:gridCol w:w="119"/>
        <w:gridCol w:w="119"/>
        <w:gridCol w:w="119"/>
        <w:gridCol w:w="119"/>
        <w:gridCol w:w="231"/>
        <w:gridCol w:w="907"/>
        <w:gridCol w:w="169"/>
      </w:tblGrid>
      <w:tr>
        <w:trPr/>
        <w:tc>
          <w:tcPr>
            <w:tcW w:w="170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September 30,</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Operating activities provided $103.9 million and $128.7 million of cash for the six months ended September 30, 2024 and 2023, respectively. For the six months ended September 30, 2024 and 2023, respectively, these amounts primarily consisted of the following: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income, after adjustments for non-cash items (including unrealized carried interest allocations, unrealized performance fee-related compensation, unrealized investment (income) loss and acquisition-related contingent consideration), of $190.2 million and $110.2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change in operating assets and liabilities of $14.6 million and $49.9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adjustments for unrealized investment income from Consolidated Funds of $15.6 million and $11.1 million;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purchases of investments of Consolidated Funds of $86.0 million and $26.8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change in operating assets and liabilities of Consolidated Funds of $0.7 million and $6.5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Investing Activities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Investing activities used $34.1 million and $27.4 million of cash for the six months ended September 30, 2024 and 2023, respectively, and primarily consisted of the following amounts: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contributions to investments of $20.3 million and $10.2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net contributions to investments in legacy Greenspring entities of $12.0 million and $2.6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purchases of fixed assets of $1.9 million and $14.6 million.</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Financing Activities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Financing activities used $23.6 million and $53.4 million of cash for the six months ended September 30, 2024 and 2023, respectively, and primarily consisted of the following: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borrowings on revolving credit facility of $25.0 million and $25.0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deferred financing costs of $1.8 million and $0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distributions to non-controlling interests of $78.4 million and $58.9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purchase of non-controlling interests of $5.4 million and $0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sale of non-controlling interests of $0 million and $3.0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redemption of redeemable non-controlling interests of $13.0 million and $0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proceeds from capital contributions to legacy Greenspring entities of $18.7 million and $4.6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distributions to non-controlling interests in legacy Greenspring entities of $9.7 million and $6.2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dividends paid to common stockholders of $40.1 million and $41.5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payments for employee taxes related to the net settlement of RSUs of $1.1 million and $0.6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proceeds from issuance of Class A common stock under ESPP of $1.1 million and $0 million;</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payments to related parties under the Tax Receivable Agreements of $9.8 million and $7.7 million; and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contributions from redeemable non-controlling interests in Consolidated Funds of $90.8 million and $28.7 million.</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Revolving Credit Facility</w:t>
      </w:r>
    </w:p>
    <w:p>
      <w:pPr>
        <w:pStyle w:val="TextBody"/>
        <w:bidi w:val="0"/>
        <w:spacing w:lineRule="auto" w:line="26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are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administrative agent and collateral agent, and certain other lenders party thereto and provides for a $300.0 million multicurrency Revolver. As of September 30, 2024, we had $172.3 million outstanding on the Revolver, net of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bear interest at a variable rate per annum. We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September 30, 2024 was 7.41%.</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Revolver bears a fee on undrawn commitments equal to 0.25% per annum if total utilization of revolving commitments is equal to or greater than 50% and 0.35% per annum if total utilization of revolving commitments is less than 50%.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As of September 30, 2024, we were in compliance with the total net leverage ratio and minimum fee-earning assets under management covenants.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can use available funding capacity under the Revolver to satisfy letters of credit in amounts up to $10.0 million. Amounts used to satisfy the letters of credit reduce the available capacity under the Revolver. As of September 30, 2024, we had outstanding letters of credit totaling $6.5 million. </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Debt Transactions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22, 2024, we issued $175.0 million aggregate principal amount of our 5.52% Series A senior notes due October 22, 2029 (the “Notes”), pursuant to a note purchase agreement, dated as of October 22, 2024 (the “Note Purchase Agreement”), by the Partnership and accepted and agreed to by the purchasers party thereto in a private placement exempt from registration under the Securities Act.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intend to use the net proceeds from the issue and sale of the Notes for general corporate purposes, including to make investments, repay existing debt and make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Interest on the Notes will be payable semi-annually in arrears on April 22 and October 22 of each year, commencing on April 22, 2025. Interest on the Notes will accrue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provided that, so long as no default or event of default shall have occurred and be continuing, no make-whole amount shall be due if the Notes are paid on or after April 22, 2029.</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Equity Transactions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June 2024, we issued 1,731,807 shares of Class A common stock to certain limited partners of the Partnership in exchange for 1,731,807 Class B units of the Partnership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71,766 shares of Class A common stock to certain limited partners of the Partnership in exchange for 71,766 Class C units of the Partnership pursuant to the Class C Exchange Agreement and a corresponding number of Class A units of the partnership were issued to us.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September 2024, we conducted an underwritten public offering of 4,099,997 shares of Class A common stock (the “September 2024 Offering”) at a public offering price of $50.00 per share. We used all of the net proceeds from the offering, after underwriting discounts and commissions and expenses, to purchase (i) 300,000 shares of our Class A common stock from certain selling stockholders, (ii) 3,094,981 Class B units of the Partnership from certain holders thereof, including certain of our directors and executive officers, and (iii) 705,016 Class C units of the Partnership from certain holders thereof. 3,094,981 shares of Class B common stock were automatically redeemed at par value and canceled in connection with such exchange and 3,799,997 Class A units of the Partnership were issued to us.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Also in September 2024, we issued 312,112 shares of Class A common stock to certain limited partners of the Partnership in exchange for 312,112 Class B units of the Partnership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34,027 shares of Class A common stock to certain limited partners of the Partnership in exchange for 34,027 Class C units of the Partnership pursuant to the Class C Exchange Agreement and a corresponding number of Class A units of the partnership were issued to us.</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Future Sources and Uses of Liquidity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Dividend and Distribution Policy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November 7, 2024, we announced a dividend of $0.24 per share of Class A common stock, payable on December 13, 2024 to holders of record at the close of business on November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information regarding cash quarterly dividends on Class A common shares for the periods indicated:</w:t>
      </w:r>
    </w:p>
    <w:tbl>
      <w:tblPr>
        <w:tblW w:w="9503" w:type="dxa"/>
        <w:jc w:val="left"/>
        <w:tblInd w:w="0" w:type="dxa"/>
        <w:tblLayout w:type="fixed"/>
        <w:tblCellMar>
          <w:top w:w="28" w:type="dxa"/>
          <w:left w:w="28" w:type="dxa"/>
          <w:bottom w:w="28" w:type="dxa"/>
          <w:right w:w="28" w:type="dxa"/>
        </w:tblCellMar>
      </w:tblPr>
      <w:tblGrid>
        <w:gridCol w:w="988"/>
        <w:gridCol w:w="870"/>
        <w:gridCol w:w="872"/>
        <w:gridCol w:w="109"/>
        <w:gridCol w:w="109"/>
        <w:gridCol w:w="109"/>
        <w:gridCol w:w="699"/>
        <w:gridCol w:w="699"/>
        <w:gridCol w:w="701"/>
        <w:gridCol w:w="109"/>
        <w:gridCol w:w="109"/>
        <w:gridCol w:w="109"/>
        <w:gridCol w:w="967"/>
        <w:gridCol w:w="2345"/>
        <w:gridCol w:w="708"/>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Quarterly Fiscal Period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 Share of Class A Common Stock</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Supplemental</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Supplemental</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(1)Dividends paid, as reported in this table, relate to the preceding quarterly period in which they were earned.</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supplemental cash dividend relates to earnings in respect of our full fiscal year 2023.</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(3)The supplemental cash dividend relates to earnings in respect of our full fiscal year 2024. </w:t>
      </w:r>
    </w:p>
    <w:p>
      <w:pPr>
        <w:pStyle w:val="TextBody"/>
        <w:bidi w:val="0"/>
        <w:spacing w:lineRule="auto" w:line="26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Tax Receivable Agreements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have entered into an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Contingent Earn-out Payment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Greenspring acquisition, the transaction agreement provides for the payment of an earn-out of up to $75.0 million payable in calendar year 2025, subject to the achievement of certain management fee revenue targets for calendar year 2024. As of September 30, 2024, the fair value of the contingent earn-out liability was $67.1 million. We expect to make payment of the contingent earn-out prior to the end of fiscal 2025. See note 6 to our condensed consolidated financial statements included elsewhere in this quarterly report for more information on the contingent consideration obligation.</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Option Agreement Payment</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November 2022, we entered into arrangements with the SPW management team (the “Private Wealth Transaction”) under which certain members of the SPW team received a profits interest in SPW and concurrently entered into an option agreement which provides that (i) 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up to 75% of the consideration in units of the Partnership, each to be exchangeable into shares of our Class A common stock, and, in either case, rights under one or more tax receivable agreements. As of September 30, 2024, based on the fair value of the liability classified awards, the estimated minimum and maximum amount of cash that would be potentially payable under the Private Wealth Transaction was $17.7 million and $70.8 million, respectively.</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Off-Balance Sheet Arrangements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Critical Accounting Estimates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See note 2 to our condensed consolidated financial statements included elsewhere in this quarterly report, and note 2 to our audited consolidated financial statements in our Form 10-K for the year ended March 31, 2024 for a summary of our significant accounting policies.</w:t>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Recent Accounting Developments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Information regarding recent accounting developments and their effects to us can be found in note 2 to our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Market Risk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 </w:t>
      </w:r>
    </w:p>
    <w:p>
      <w:pPr>
        <w:pStyle w:val="TextBody"/>
        <w:bidi w:val="0"/>
        <w:spacing w:lineRule="auto" w:line="26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Our management fee and advisory fee revenue is only marginally affected by changes in investment values because our management fees are generally based on commitments or net invested capital and our advisory fees are fixed. As of September 30, 2024, and March 31, 2024, NAV-based management fees represented approximately 11% and 9%, respectively, of total net management and advisory fees. We estimate that a 10% decline in market values of the investments held in our funds as of September 30, 2024 and March 31, 2024, would result in an approximate decrease to annual management fees of $8.3 million and $5.8 million, respectively.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September 30, 2024 and March 31, 2024, we had $22.9 million and $20.5 million, respectively, of deferred incentive fee revenue recorded in accounts payable, accrued expenses and other liabilities in the condensed consolidated balance sheets.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September 30, 2024, and March 31, 2024, the maximum amount of carried interest allocations (excluding legacy Greenspring carried interest allocations) subject to contingent repayment, net of tax, was an estimated $305.4 million and $287.5 million, respectively, assuming the fair value of all investments was zero, a possibility that we view as remote. The primary driver for the change in the contingent repayment between periods is due to additional carried interest allocation realizations in fiscal 2025 that are potentially subject to clawback.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September 30, 2024 and March 31, 2024, we estimate that a 10% decline in fair value of the investments in funds would result in a decrease in investment income of $15.6 million and $13.5 million, respectively.</w:t>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Exchange Rate Risk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 </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 </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bidi w:val="0"/>
        <w:spacing w:lineRule="auto" w:line="26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of September 30, 2024 and March 31, 2024, we had $175.0 million and $150.0 million, respectively, in borrowings outstanding under our Revolver. The Revolver accrues interest at a variable rate. As of September 30, 2024 and March 31, 2024, we estimate that interest expense would increase by $1.8 million and $1.5 million, respectively, on an annualized basis as a result of a 100 basis point increase in interest rates. Based on the $179.8 million and $144.1 million of cash, cash equivalents and restricted cash (excluding Consolidated Funds) as of September 30, 2024 and March 31, 2024, we estimate that interest income would increase by $1.8 million and $1.4 million, respectively, on an annualized basis as a result of a 100 basis point increase in interest rates. </w:t>
      </w:r>
    </w:p>
    <w:p>
      <w:pPr>
        <w:pStyle w:val="TextBody"/>
        <w:bidi w:val="0"/>
        <w:spacing w:lineRule="auto" w:line="288" w:before="0" w:after="24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Credit Risk</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lineRule="auto" w:line="288" w:before="0" w:after="240"/>
        <w:jc w:val="left"/>
        <w:rPr>
          <w:rFonts w:ascii="Times New Roman;sans-serif" w:hAnsi="Times New Roman;sans-serif"/>
          <w:b w:val="false"/>
          <w:i/>
          <w:color w:val="000000"/>
          <w:sz w:val="22"/>
        </w:rPr>
      </w:pPr>
      <w:r>
        <w:rPr>
          <w:rFonts w:ascii="Times New Roman;sans-serif" w:hAnsi="Times New Roman;sans-serif"/>
          <w:b w:val="false"/>
          <w:i/>
          <w:color w:val="000000"/>
          <w:sz w:val="22"/>
        </w:rPr>
        <w:t>Disclosure Controls and Procedures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240"/>
        <w:ind w:left="0" w:right="0" w:firstLine="720"/>
        <w:jc w:val="left"/>
        <w:rPr>
          <w:rFonts w:ascii="Times New Roman;sans-serif" w:hAnsi="Times New Roman;sans-serif"/>
          <w:b w:val="false"/>
          <w:i/>
          <w:color w:val="000000"/>
          <w:sz w:val="22"/>
        </w:rPr>
      </w:pPr>
      <w:r>
        <w:rPr>
          <w:rFonts w:ascii="Times New Roman;sans-serif" w:hAnsi="Times New Roman;sans-serif"/>
          <w:b w:val="false"/>
          <w:i/>
          <w:color w:val="000000"/>
          <w:sz w:val="22"/>
        </w:rPr>
        <w:t>Changes in Internal Controls over Financial Reporting</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in our internal control over financial reporting (as such term is defined in Rules 13a-15(f) and 15d-15(f) under the Exchange Act) during our most recent quarter ended September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required with respect to this item can be found under the heading “Litigation” in note 14, Commitments and Contingencies, to our condensed consolidated financial statements included elsewhere in this quarterly report, and such information is incorporated by reference into this Part II,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from the risk factors previously disclosed in Part I, Item 1A of our annual report on Form 10-K for the fiscal year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lineRule="auto" w:line="26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lineRule="auto" w:line="268" w:before="24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lineRule="auto" w:line="288" w:before="24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Trading Arrangements.</w:t>
      </w:r>
    </w:p>
    <w:p>
      <w:pPr>
        <w:pStyle w:val="TextBody"/>
        <w:bidi w:val="0"/>
        <w:spacing w:lineRule="auto" w:line="288" w:before="0" w:after="240"/>
        <w:ind w:left="0" w:right="0" w:firstLine="72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During the period covered by this Quarterly Report on Form 10-Q, none of our directors or officers (as defined in Exchange Act Rule 16a-1(f))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282"/>
        <w:gridCol w:w="248"/>
        <w:gridCol w:w="249"/>
        <w:gridCol w:w="2056"/>
        <w:gridCol w:w="1784"/>
        <w:gridCol w:w="1788"/>
        <w:gridCol w:w="200"/>
        <w:gridCol w:w="200"/>
        <w:gridCol w:w="187"/>
        <w:gridCol w:w="245"/>
        <w:gridCol w:w="245"/>
        <w:gridCol w:w="246"/>
        <w:gridCol w:w="218"/>
        <w:gridCol w:w="218"/>
        <w:gridCol w:w="219"/>
        <w:gridCol w:w="262"/>
        <w:gridCol w:w="262"/>
        <w:gridCol w:w="140"/>
        <w:gridCol w:w="335"/>
        <w:gridCol w:w="335"/>
        <w:gridCol w:w="48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or Furnished Herewith</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5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5628"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5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Incorporation of StepStone Group Inc.</w:t>
              </w:r>
            </w:hyperlink>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9/18/2020</w:t>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3.2</w:t>
              </w:r>
            </w:hyperlink>
          </w:p>
        </w:tc>
        <w:tc>
          <w:tcPr>
            <w:tcW w:w="5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StepStone Group Inc.</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2/09/2023</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4.1</w:t>
              </w:r>
            </w:hyperlink>
          </w:p>
        </w:tc>
        <w:tc>
          <w:tcPr>
            <w:tcW w:w="5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5.52% Series A Senior Note due October 22, 2029 (included in Exhibit 10.1).</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10/23/2024</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w:t>
            </w:r>
          </w:p>
        </w:tc>
        <w:tc>
          <w:tcPr>
            <w:tcW w:w="5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Note Purchase Agreement, dated October 22, 2024, by StepStone Group LP and acknowledged and agreed to by the purchasers party thereto.</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10/23/2024</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fy2025.htm">
              <w:r>
                <w:rPr>
                  <w:rStyle w:val="InternetLink"/>
                  <w:rFonts w:ascii="Times New Roman;sans-serif" w:hAnsi="Times New Roman;sans-serif"/>
                  <w:b w:val="false"/>
                  <w:color w:val="0000FF"/>
                  <w:sz w:val="20"/>
                  <w:u w:val="single"/>
                </w:rPr>
                <w:t>31.1</w:t>
              </w:r>
            </w:hyperlink>
          </w:p>
        </w:tc>
        <w:tc>
          <w:tcPr>
            <w:tcW w:w="5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fy2025.htm">
              <w:r>
                <w:rPr>
                  <w:rStyle w:val="InternetLink"/>
                  <w:rFonts w:ascii="Times New Roman;sans-serif" w:hAnsi="Times New Roman;sans-serif"/>
                  <w:b w:val="false"/>
                  <w:color w:val="0000FF"/>
                  <w:sz w:val="20"/>
                  <w:u w:val="single"/>
                </w:rPr>
                <w:t>Certification of Chief Executive Officer pursuant to Rule 13a-14(a) and Rule 15d-14(a) of the Securities Exchange Act, as amended</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fy2025.htm">
              <w:r>
                <w:rPr>
                  <w:rStyle w:val="InternetLink"/>
                  <w:rFonts w:ascii="Times New Roman;sans-serif" w:hAnsi="Times New Roman;sans-serif"/>
                  <w:b w:val="false"/>
                  <w:color w:val="0000FF"/>
                  <w:sz w:val="20"/>
                  <w:u w:val="single"/>
                </w:rPr>
                <w:t>31.2</w:t>
              </w:r>
            </w:hyperlink>
          </w:p>
        </w:tc>
        <w:tc>
          <w:tcPr>
            <w:tcW w:w="5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fy2025.htm">
              <w:r>
                <w:rPr>
                  <w:rStyle w:val="InternetLink"/>
                  <w:rFonts w:ascii="Times New Roman;sans-serif" w:hAnsi="Times New Roman;sans-serif"/>
                  <w:b w:val="false"/>
                  <w:color w:val="0000FF"/>
                  <w:sz w:val="20"/>
                  <w:u w:val="single"/>
                </w:rPr>
                <w:t>Certification of Chief Financial Officer pursuant to Rule 13a-14(a) and Rule 15d-14(a) of the Securities Exchange Act, as amended</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fy2025.htm">
              <w:r>
                <w:rPr>
                  <w:rStyle w:val="InternetLink"/>
                  <w:rFonts w:ascii="Times New Roman;sans-serif" w:hAnsi="Times New Roman;sans-serif"/>
                  <w:b w:val="false"/>
                  <w:color w:val="0000FF"/>
                  <w:sz w:val="20"/>
                  <w:u w:val="single"/>
                </w:rPr>
                <w:t>32.1</w:t>
              </w:r>
            </w:hyperlink>
          </w:p>
        </w:tc>
        <w:tc>
          <w:tcPr>
            <w:tcW w:w="5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fy2025.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fy2025.htm">
              <w:r>
                <w:rPr>
                  <w:rStyle w:val="InternetLink"/>
                  <w:rFonts w:ascii="Times New Roman;sans-serif" w:hAnsi="Times New Roman;sans-serif"/>
                  <w:b w:val="false"/>
                  <w:color w:val="0000FF"/>
                  <w:sz w:val="20"/>
                  <w:u w:val="single"/>
                </w:rPr>
                <w:t>32.2</w:t>
              </w:r>
            </w:hyperlink>
          </w:p>
        </w:tc>
        <w:tc>
          <w:tcPr>
            <w:tcW w:w="5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fy2025.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6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our quarterly report on Form 10-Q for the quarter ended September 30, 2024 formatted in Inline XBRL (Extensible Business Reporting Language): (i) the Condensed Consolidated Balance Sheets; (ii) the Condensed Consolidated Statements of Income; (iii) the Condensed Consolidated Statements of Comprehensive Income; (iv) the Condensed Consolidated Statements of Stockholders’ Equity; (v) the Condensed Consolidated Statements of Cash Flows; (vi) Notes to Condensed Consolidated Financial Statements; and (vii) Part II, Item 5(c).</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5628"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5628" w:type="dxa"/>
            <w:gridSpan w:val="3"/>
            <w:tcBorders/>
            <w:vAlign w:val="center"/>
          </w:tcPr>
          <w:p>
            <w:pPr>
              <w:pStyle w:val="TableContents"/>
              <w:bidi w:val="0"/>
              <w:spacing w:before="0" w:after="283"/>
              <w:jc w:val="left"/>
              <w:rPr>
                <w:sz w:val="4"/>
                <w:szCs w:val="4"/>
              </w:rPr>
            </w:pPr>
            <w:r>
              <w:rPr>
                <w:sz w:val="4"/>
                <w:szCs w:val="4"/>
              </w:rPr>
            </w:r>
          </w:p>
        </w:tc>
        <w:tc>
          <w:tcPr>
            <w:tcW w:w="3798" w:type="dxa"/>
            <w:gridSpan w:val="15"/>
            <w:tcBorders/>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information in this exhibit has been omitted.</w:t>
            </w:r>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5628" w:type="dxa"/>
            <w:gridSpan w:val="3"/>
            <w:tcBorders/>
            <w:vAlign w:val="center"/>
          </w:tcPr>
          <w:p>
            <w:pPr>
              <w:pStyle w:val="TableContents"/>
              <w:bidi w:val="0"/>
              <w:spacing w:before="0" w:after="283"/>
              <w:jc w:val="left"/>
              <w:rPr>
                <w:sz w:val="4"/>
                <w:szCs w:val="4"/>
              </w:rPr>
            </w:pPr>
            <w:r>
              <w:rPr>
                <w:sz w:val="4"/>
                <w:szCs w:val="4"/>
              </w:rPr>
            </w:r>
          </w:p>
        </w:tc>
        <w:tc>
          <w:tcPr>
            <w:tcW w:w="3798"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 on November 7, 2024</w:t>
      </w:r>
      <w:r>
        <w:rPr>
          <w:rFonts w:ascii="Times New Roman;sans-serif" w:hAnsi="Times New Roman;sans-serif"/>
          <w:b/>
          <w:color w:val="000000"/>
          <w:sz w:val="22"/>
        </w:rPr>
        <w:t>.</w:t>
      </w:r>
    </w:p>
    <w:tbl>
      <w:tblPr>
        <w:tblW w:w="601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534"/>
        <w:gridCol w:w="1534"/>
        <w:gridCol w:w="2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STEPSTONE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Y. Park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Y. Park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Financial Officer and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BY THE CHIEF EXECUTIVE OFFICER PURSUANT TO SECTION 302 OF THE SARBANES-OXLEY ACT OF 2002</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Scott W. Hart, certify that: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StepStone Group Inc.;</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d.Disclosed in this report any change in the registrant’s internal control over financial reporting that occurred during the registrant’s most recent fiscal quarter (the registrant’s fourth fiscal quarter in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tbl>
      <w:tblPr>
        <w:tblW w:w="5714" w:type="dxa"/>
        <w:jc w:val="left"/>
        <w:tblInd w:w="0" w:type="dxa"/>
        <w:tblLayout w:type="fixed"/>
        <w:tblCellMar>
          <w:top w:w="28" w:type="dxa"/>
          <w:left w:w="28" w:type="dxa"/>
          <w:bottom w:w="28" w:type="dxa"/>
          <w:right w:w="28" w:type="dxa"/>
        </w:tblCellMar>
      </w:tblPr>
      <w:tblGrid>
        <w:gridCol w:w="885"/>
        <w:gridCol w:w="778"/>
        <w:gridCol w:w="782"/>
        <w:gridCol w:w="144"/>
        <w:gridCol w:w="144"/>
        <w:gridCol w:w="146"/>
        <w:gridCol w:w="826"/>
        <w:gridCol w:w="826"/>
        <w:gridCol w:w="1183"/>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7, 2024</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Scott W. Hart</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Scott W. Hart</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 BY THE CHIEF FINANCIAL OFFICER PURSUANT TO SECTION 302 OF THE SARBANES-OXLEY ACT OF 2002</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David Y. Park, certify that: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StepStone Group Inc.;</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tbl>
      <w:tblPr>
        <w:tblW w:w="5713" w:type="dxa"/>
        <w:jc w:val="left"/>
        <w:tblInd w:w="0" w:type="dxa"/>
        <w:tblLayout w:type="fixed"/>
        <w:tblCellMar>
          <w:top w:w="28" w:type="dxa"/>
          <w:left w:w="28" w:type="dxa"/>
          <w:bottom w:w="28" w:type="dxa"/>
          <w:right w:w="28" w:type="dxa"/>
        </w:tblCellMar>
      </w:tblPr>
      <w:tblGrid>
        <w:gridCol w:w="885"/>
        <w:gridCol w:w="778"/>
        <w:gridCol w:w="782"/>
        <w:gridCol w:w="144"/>
        <w:gridCol w:w="144"/>
        <w:gridCol w:w="146"/>
        <w:gridCol w:w="829"/>
        <w:gridCol w:w="829"/>
        <w:gridCol w:w="1176"/>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7, 2024</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Y. Park</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Y. Park</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of StepStone Group Inc. (the “Company”) on Form 10-Q for the three months ended September 30, 2024,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The Report fully complies with the requirements of Section 13(a) or 15(d) of the Securities Exchange Act of 1934, as amended; and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The information contained in the Report fairly presents, in all material respects, the financial condition and results of operations of the Company.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7, 2024</w:t>
      </w:r>
    </w:p>
    <w:tbl>
      <w:tblPr>
        <w:tblW w:w="361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826"/>
        <w:gridCol w:w="826"/>
        <w:gridCol w:w="11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Scott W. 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Scott W. 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the Company and will be retained by the Company and furnished to the SEC or its staff 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Quarterly Report of StepStone Group Inc. (the “Company”) on Form 10-Q for the three months ended September 30, 2024,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 xml:space="preserve">The Report fully complies with the requirements of Section 13(a) or 15(d) of the Securities Exchange Act of 1934, as amended; and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2"/>
        </w:rPr>
        <w:t>The information contained in the Report fairly presents, in all material respects, the financial condition and results of operations of the Company.</w: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7, 2024</w:t>
      </w:r>
    </w:p>
    <w:tbl>
      <w:tblPr>
        <w:tblW w:w="3610"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829"/>
        <w:gridCol w:w="829"/>
        <w:gridCol w:w="11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Y. Park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Y. Park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Officer)</w:t>
            </w:r>
          </w:p>
        </w:tc>
      </w:tr>
    </w:tbl>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the Company and will be retained by the Company and furnished to the SEC or its staff 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96022/000119312520248881/d23934dex31.htm" TargetMode="External"/><Relationship Id="rId4" Type="http://schemas.openxmlformats.org/officeDocument/2006/relationships/hyperlink" Target="https://www.sec.gov/Archives/edgar/data/1796022/000119312520248881/d23934dex31.htm" TargetMode="External"/><Relationship Id="rId5" Type="http://schemas.openxmlformats.org/officeDocument/2006/relationships/hyperlink" Target="https://www.sec.gov/Archives/edgar/data/1796022/000179602223000011/exhibit32q3fy2023.htm" TargetMode="External"/><Relationship Id="rId6" Type="http://schemas.openxmlformats.org/officeDocument/2006/relationships/hyperlink" Target="https://www.sec.gov/Archives/edgar/data/1796022/000179602223000011/exhibit32q3fy2023.htm" TargetMode="External"/><Relationship Id="rId7" Type="http://schemas.openxmlformats.org/officeDocument/2006/relationships/hyperlink" Target="https://www.sec.gov/Archives/edgar/data/1796022/000119312524241230/d862000dex101.htm" TargetMode="External"/><Relationship Id="rId8" Type="http://schemas.openxmlformats.org/officeDocument/2006/relationships/hyperlink" Target="https://www.sec.gov/Archives/edgar/data/1796022/000119312524241230/d862000dex101.htm" TargetMode="External"/><Relationship Id="rId9" Type="http://schemas.openxmlformats.org/officeDocument/2006/relationships/hyperlink" Target="https://www.sec.gov/Archives/edgar/data/1796022/000119312524241230/d862000dex101.htm" TargetMode="External"/><Relationship Id="rId10" Type="http://schemas.openxmlformats.org/officeDocument/2006/relationships/hyperlink" Target="https://www.sec.gov/Archives/edgar/data/1796022/000119312524241230/d862000dex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43523</Words>
  <Characters>246462</Characters>
  <CharactersWithSpaces>287914</CharactersWithSpaces>
  <Paragraphs>4054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