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4"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31, 2023</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90" w:lineRule="exact"/>
        <w:rPr>
          <w:sz w:val="24"/>
          <w:szCs w:val="24"/>
          <w:color w:val="auto"/>
        </w:rPr>
      </w:pPr>
    </w:p>
    <w:p>
      <w:pPr>
        <w:ind w:left="2520" w:right="2500" w:hanging="2454"/>
        <w:spacing w:after="0" w:line="388" w:lineRule="auto"/>
        <w:tabs>
          <w:tab w:leader="none" w:pos="38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_______________________ to 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001-39510</w:t>
      </w:r>
    </w:p>
    <w:p>
      <w:pPr>
        <w:spacing w:after="0" w:line="53" w:lineRule="exact"/>
        <w:rPr>
          <w:sz w:val="24"/>
          <w:szCs w:val="24"/>
          <w:color w:val="auto"/>
        </w:rPr>
      </w:pPr>
    </w:p>
    <w:tbl>
      <w:tblPr>
        <w:tblLayout w:type="fixed"/>
        <w:tblInd w:w="1440" w:type="dxa"/>
        <w:tblCellMar>
          <w:top w:w="0" w:type="dxa"/>
          <w:left w:w="0" w:type="dxa"/>
          <w:bottom w:w="0" w:type="dxa"/>
          <w:right w:w="0" w:type="dxa"/>
        </w:tblCellMar>
      </w:tblPr>
      <w:tr>
        <w:trPr>
          <w:trHeight w:val="429"/>
        </w:trPr>
        <w:tc>
          <w:tcPr>
            <w:tcW w:w="100" w:type="dxa"/>
            <w:vAlign w:val="bottom"/>
          </w:tcPr>
          <w:p>
            <w:pPr>
              <w:spacing w:after="0"/>
              <w:rPr>
                <w:sz w:val="24"/>
                <w:szCs w:val="24"/>
                <w:color w:val="auto"/>
              </w:rPr>
            </w:pPr>
          </w:p>
        </w:tc>
        <w:tc>
          <w:tcPr>
            <w:tcW w:w="8200" w:type="dxa"/>
            <w:vAlign w:val="bottom"/>
            <w:gridSpan w:val="5"/>
          </w:tcPr>
          <w:p>
            <w:pPr>
              <w:jc w:val="center"/>
              <w:ind w:left="220"/>
              <w:spacing w:after="0"/>
              <w:rPr>
                <w:sz w:val="20"/>
                <w:szCs w:val="20"/>
                <w:color w:val="auto"/>
              </w:rPr>
            </w:pPr>
            <w:r>
              <w:rPr>
                <w:rFonts w:ascii="Times New Roman" w:cs="Times New Roman" w:eastAsia="Times New Roman" w:hAnsi="Times New Roman"/>
                <w:sz w:val="32"/>
                <w:szCs w:val="32"/>
                <w:b w:val="1"/>
                <w:bCs w:val="1"/>
                <w:color w:val="auto"/>
              </w:rPr>
              <w:t>STEPSTONE GROUP INC.</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16"/>
        </w:trPr>
        <w:tc>
          <w:tcPr>
            <w:tcW w:w="100" w:type="dxa"/>
            <w:vAlign w:val="bottom"/>
          </w:tcPr>
          <w:p>
            <w:pPr>
              <w:spacing w:after="0"/>
              <w:rPr>
                <w:sz w:val="18"/>
                <w:szCs w:val="18"/>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84-3868757</w:t>
            </w:r>
          </w:p>
        </w:tc>
      </w:tr>
      <w:tr>
        <w:trPr>
          <w:trHeight w:val="163"/>
        </w:trPr>
        <w:tc>
          <w:tcPr>
            <w:tcW w:w="100" w:type="dxa"/>
            <w:vAlign w:val="bottom"/>
          </w:tcPr>
          <w:p>
            <w:pPr>
              <w:spacing w:after="0"/>
              <w:rPr>
                <w:sz w:val="14"/>
                <w:szCs w:val="14"/>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00" w:type="dxa"/>
            <w:vAlign w:val="bottom"/>
          </w:tcPr>
          <w:p>
            <w:pPr>
              <w:spacing w:after="0"/>
              <w:rPr>
                <w:sz w:val="16"/>
                <w:szCs w:val="16"/>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0"/>
        </w:trPr>
        <w:tc>
          <w:tcPr>
            <w:tcW w:w="100" w:type="dxa"/>
            <w:vAlign w:val="bottom"/>
          </w:tcPr>
          <w:p>
            <w:pPr>
              <w:spacing w:after="0"/>
              <w:rPr>
                <w:sz w:val="24"/>
                <w:szCs w:val="24"/>
                <w:color w:val="auto"/>
              </w:rPr>
            </w:pPr>
          </w:p>
        </w:tc>
        <w:tc>
          <w:tcPr>
            <w:tcW w:w="3340" w:type="dxa"/>
            <w:vAlign w:val="bottom"/>
            <w:gridSpan w:val="2"/>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277 Park Avenue, 45</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0"/>
        </w:trPr>
        <w:tc>
          <w:tcPr>
            <w:tcW w:w="100" w:type="dxa"/>
            <w:vAlign w:val="bottom"/>
          </w:tcPr>
          <w:p>
            <w:pPr>
              <w:spacing w:after="0"/>
              <w:rPr>
                <w:sz w:val="16"/>
                <w:szCs w:val="16"/>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10172</w:t>
            </w:r>
          </w:p>
        </w:tc>
      </w:tr>
      <w:tr>
        <w:trPr>
          <w:trHeight w:val="203"/>
        </w:trPr>
        <w:tc>
          <w:tcPr>
            <w:tcW w:w="3440" w:type="dxa"/>
            <w:vAlign w:val="bottom"/>
            <w:gridSpan w:val="3"/>
          </w:tcPr>
          <w:p>
            <w:pPr>
              <w:jc w:val="center"/>
              <w:ind w:right="1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1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(212) 351-6100</w:t>
            </w:r>
          </w:p>
        </w:tc>
        <w:tc>
          <w:tcPr>
            <w:tcW w:w="100" w:type="dxa"/>
            <w:vAlign w:val="bottom"/>
          </w:tcPr>
          <w:p>
            <w:pPr>
              <w:spacing w:after="0"/>
              <w:rPr>
                <w:sz w:val="23"/>
                <w:szCs w:val="23"/>
                <w:color w:val="auto"/>
              </w:rPr>
            </w:pPr>
          </w:p>
        </w:tc>
        <w:tc>
          <w:tcPr>
            <w:tcW w:w="3460" w:type="dxa"/>
            <w:vAlign w:val="bottom"/>
          </w:tcPr>
          <w:p>
            <w:pPr>
              <w:spacing w:after="0"/>
              <w:rPr>
                <w:sz w:val="23"/>
                <w:szCs w:val="23"/>
                <w:color w:val="auto"/>
              </w:rPr>
            </w:pPr>
          </w:p>
        </w:tc>
      </w:tr>
      <w:tr>
        <w:trPr>
          <w:trHeight w:val="188"/>
        </w:trPr>
        <w:tc>
          <w:tcPr>
            <w:tcW w:w="100" w:type="dxa"/>
            <w:vAlign w:val="bottom"/>
          </w:tcPr>
          <w:p>
            <w:pPr>
              <w:spacing w:after="0"/>
              <w:rPr>
                <w:sz w:val="16"/>
                <w:szCs w:val="16"/>
                <w:color w:val="auto"/>
              </w:rPr>
            </w:pPr>
          </w:p>
        </w:tc>
        <w:tc>
          <w:tcPr>
            <w:tcW w:w="82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203"/>
        </w:trPr>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Title of each class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84"/>
        </w:trPr>
        <w:tc>
          <w:tcPr>
            <w:tcW w:w="10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47"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2"/>
        </w:trPr>
        <w:tc>
          <w:tcPr>
            <w:tcW w:w="1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140" w:type="dxa"/>
            <w:vAlign w:val="bottom"/>
            <w:vMerge w:val="continue"/>
          </w:tcPr>
          <w:p>
            <w:pPr>
              <w:spacing w:after="0"/>
              <w:rPr>
                <w:sz w:val="5"/>
                <w:szCs w:val="5"/>
                <w:color w:val="auto"/>
              </w:rPr>
            </w:pPr>
          </w:p>
        </w:tc>
        <w:tc>
          <w:tcPr>
            <w:tcW w:w="3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70"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registrant’s classes of common stock, as of the latest practicable date: As of February 6, 2024, there were</w:t>
      </w:r>
    </w:p>
    <w:p>
      <w:pPr>
        <w:spacing w:after="0" w:line="26" w:lineRule="exact"/>
        <w:rPr>
          <w:sz w:val="24"/>
          <w:szCs w:val="24"/>
          <w:color w:val="auto"/>
        </w:rPr>
      </w:pPr>
    </w:p>
    <w:p>
      <w:pPr>
        <w:ind w:right="740"/>
        <w:spacing w:after="0" w:line="270" w:lineRule="auto"/>
        <w:rPr>
          <w:sz w:val="20"/>
          <w:szCs w:val="20"/>
          <w:color w:val="auto"/>
        </w:rPr>
      </w:pPr>
      <w:r>
        <w:rPr>
          <w:rFonts w:ascii="Times New Roman" w:cs="Times New Roman" w:eastAsia="Times New Roman" w:hAnsi="Times New Roman"/>
          <w:sz w:val="16"/>
          <w:szCs w:val="16"/>
          <w:color w:val="auto"/>
        </w:rPr>
        <w:t>64,077,566 shares of the registrant’s Class A common stock, par value $0.001, and 46,314,543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1" w:name="page2"/>
    <w:bookmarkEnd w:id="1"/>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960" w:type="dxa"/>
            <w:vAlign w:val="bottom"/>
            <w:gridSpan w:val="9"/>
            <w:shd w:val="clear" w:color="auto" w:fill="CCEEFF"/>
          </w:tcPr>
          <w:p>
            <w:pPr>
              <w:jc w:val="center"/>
              <w:ind w:right="150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6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3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December 31, 2023 and March 31, 2023</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3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(Loss) for the Three and Nine Months Ended December 31, 2023 and 2022</w:t>
            </w:r>
          </w:p>
        </w:tc>
        <w:tc>
          <w:tcPr>
            <w:tcW w:w="880" w:type="dxa"/>
            <w:vAlign w:val="bottom"/>
            <w:gridSpan w:val="3"/>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3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for the Three and Nine Months Ended December 31, 2023</w:t>
            </w:r>
          </w:p>
        </w:tc>
        <w:tc>
          <w:tcPr>
            <w:tcW w:w="740" w:type="dxa"/>
            <w:vAlign w:val="bottom"/>
            <w:tcBorders>
              <w:right w:val="single" w:sz="8" w:color="CCEEFF"/>
            </w:tcBorders>
            <w:gridSpan w:val="2"/>
            <w:vMerge w:val="restart"/>
            <w:shd w:val="clear" w:color="auto" w:fill="CCEEFF"/>
          </w:tcPr>
          <w:p>
            <w:pPr>
              <w:spacing w:after="0"/>
              <w:rPr>
                <w:sz w:val="16"/>
                <w:szCs w:val="16"/>
                <w:color w:val="auto"/>
              </w:rPr>
            </w:pPr>
          </w:p>
        </w:tc>
        <w:tc>
          <w:tcPr>
            <w:tcW w:w="1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660" w:type="dxa"/>
            <w:vAlign w:val="bottom"/>
            <w:tcBorders>
              <w:top w:val="single" w:sz="8" w:color="0000FF"/>
              <w:bottom w:val="single" w:sz="8" w:color="0000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6"/>
              </w:rPr>
              <w:t>and 2022</w:t>
            </w:r>
          </w:p>
        </w:tc>
        <w:tc>
          <w:tcPr>
            <w:tcW w:w="850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top w:val="single" w:sz="8" w:color="CCEEFF"/>
              <w:bottom w:val="single" w:sz="8" w:color="0000FF"/>
              <w:right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3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December 31, 2023 and 2022</w:t>
            </w:r>
          </w:p>
        </w:tc>
        <w:tc>
          <w:tcPr>
            <w:tcW w:w="880" w:type="dxa"/>
            <w:vAlign w:val="bottom"/>
            <w:gridSpan w:val="3"/>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3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December 31, 2023 and 2022</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7880" w:type="dxa"/>
            <w:vAlign w:val="bottom"/>
            <w:tcBorders>
              <w:top w:val="single" w:sz="8" w:color="0000FF"/>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tcBorders>
              <w:top w:val="single" w:sz="8" w:color="CCEEFF"/>
            </w:tcBorders>
            <w:gridSpan w:val="3"/>
          </w:tcPr>
          <w:p>
            <w:pPr>
              <w:spacing w:after="0"/>
              <w:rPr>
                <w:sz w:val="16"/>
                <w:szCs w:val="16"/>
                <w:color w:val="auto"/>
              </w:rPr>
            </w:pPr>
          </w:p>
        </w:tc>
        <w:tc>
          <w:tcPr>
            <w:tcW w:w="7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13</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820" w:type="dxa"/>
            <w:vAlign w:val="bottom"/>
            <w:tcBorders>
              <w:bottom w:val="single" w:sz="8" w:color="CCEEFF"/>
            </w:tcBorders>
            <w:gridSpan w:val="4"/>
            <w:shd w:val="clear" w:color="auto" w:fill="CCEEFF"/>
          </w:tcPr>
          <w:p>
            <w:pPr>
              <w:spacing w:after="0"/>
              <w:rPr>
                <w:sz w:val="18"/>
                <w:szCs w:val="18"/>
                <w:color w:val="auto"/>
              </w:rPr>
            </w:pPr>
          </w:p>
        </w:tc>
        <w:tc>
          <w:tcPr>
            <w:tcW w:w="7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44</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Item 3. Qualitative and Quantitative Disclosures about Market Risk</w:t>
            </w:r>
          </w:p>
        </w:tc>
        <w:tc>
          <w:tcPr>
            <w:tcW w:w="880" w:type="dxa"/>
            <w:vAlign w:val="bottom"/>
            <w:gridSpan w:val="3"/>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6960" w:type="dxa"/>
            <w:vAlign w:val="bottom"/>
            <w:tcBorders>
              <w:top w:val="single" w:sz="8" w:color="CCEEFF"/>
            </w:tcBorders>
            <w:gridSpan w:val="9"/>
          </w:tcPr>
          <w:p>
            <w:pPr>
              <w:jc w:val="center"/>
              <w:ind w:right="152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7940" w:type="dxa"/>
            <w:vAlign w:val="bottom"/>
            <w:tcBorders>
              <w:bottom w:val="single" w:sz="8" w:color="CCEEFF"/>
            </w:tcBorders>
            <w:gridSpan w:val="12"/>
            <w:shd w:val="clear" w:color="auto" w:fill="CCEEFF"/>
          </w:tcPr>
          <w:p>
            <w:pPr>
              <w:spacing w:after="0"/>
              <w:rPr>
                <w:sz w:val="18"/>
                <w:szCs w:val="18"/>
                <w:color w:val="auto"/>
              </w:rPr>
            </w:pPr>
          </w:p>
        </w:tc>
        <w:tc>
          <w:tcPr>
            <w:tcW w:w="7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80" w:type="dxa"/>
            <w:vAlign w:val="bottom"/>
            <w:gridSpan w:val="3"/>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4940" w:type="dxa"/>
            <w:vAlign w:val="bottom"/>
            <w:tcBorders>
              <w:top w:val="single" w:sz="8" w:color="CCEEFF"/>
            </w:tcBorders>
            <w:gridSpan w:val="6"/>
          </w:tcPr>
          <w:p>
            <w:pPr>
              <w:spacing w:after="0"/>
              <w:rPr>
                <w:sz w:val="16"/>
                <w:szCs w:val="16"/>
                <w:color w:val="auto"/>
              </w:rPr>
            </w:pPr>
          </w:p>
        </w:tc>
        <w:tc>
          <w:tcPr>
            <w:tcW w:w="7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80</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7520" w:type="dxa"/>
            <w:vAlign w:val="bottom"/>
            <w:tcBorders>
              <w:top w:val="single" w:sz="8" w:color="CCEEFF"/>
            </w:tcBorders>
            <w:gridSpan w:val="10"/>
          </w:tcPr>
          <w:p>
            <w:pPr>
              <w:spacing w:after="0"/>
              <w:rPr>
                <w:sz w:val="16"/>
                <w:szCs w:val="16"/>
                <w:color w:val="auto"/>
              </w:rPr>
            </w:pPr>
          </w:p>
        </w:tc>
        <w:tc>
          <w:tcPr>
            <w:tcW w:w="7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80</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680" w:type="dxa"/>
            <w:vAlign w:val="bottom"/>
            <w:tcBorders>
              <w:top w:val="single" w:sz="8" w:color="CCEEFF"/>
            </w:tcBorders>
            <w:gridSpan w:val="16"/>
          </w:tcPr>
          <w:p>
            <w:pPr>
              <w:spacing w:after="0"/>
              <w:rPr>
                <w:sz w:val="16"/>
                <w:szCs w:val="16"/>
                <w:color w:val="auto"/>
              </w:rPr>
            </w:pPr>
          </w:p>
        </w:tc>
        <w:tc>
          <w:tcPr>
            <w:tcW w:w="7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82</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indicated or the context otherwise requires:</w:t>
      </w:r>
    </w:p>
    <w:p>
      <w:pPr>
        <w:spacing w:after="0" w:line="225" w:lineRule="exact"/>
        <w:rPr>
          <w:sz w:val="20"/>
          <w:szCs w:val="20"/>
          <w:color w:val="auto"/>
        </w:rPr>
      </w:pPr>
    </w:p>
    <w:p>
      <w:pPr>
        <w:ind w:left="660" w:right="104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Group Inc.</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SSG</w:t>
      </w:r>
      <w:r>
        <w:rPr>
          <w:rFonts w:ascii="Times New Roman" w:cs="Times New Roman" w:eastAsia="Times New Roman" w:hAnsi="Times New Roman"/>
          <w:sz w:val="20"/>
          <w:szCs w:val="20"/>
          <w:color w:val="auto"/>
        </w:rPr>
        <w:t>” refers solely to StepStone Group Inc., a Delaware corporation, and not to any of its subsidiaries;</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Partnership</w:t>
      </w:r>
      <w:r>
        <w:rPr>
          <w:rFonts w:ascii="Times New Roman" w:cs="Times New Roman" w:eastAsia="Times New Roman" w:hAnsi="Times New Roman"/>
          <w:sz w:val="20"/>
          <w:szCs w:val="20"/>
          <w:color w:val="auto"/>
        </w:rPr>
        <w:t>” refers solely to StepStone Group LP, a Delaware limited partnership, and not to any of its subsidiaries;</w:t>
      </w:r>
    </w:p>
    <w:p>
      <w:pPr>
        <w:spacing w:after="0" w:line="229" w:lineRule="exact"/>
        <w:rPr>
          <w:rFonts w:ascii="Times New Roman" w:cs="Times New Roman" w:eastAsia="Times New Roman" w:hAnsi="Times New Roman"/>
          <w:sz w:val="20"/>
          <w:szCs w:val="20"/>
          <w:color w:val="auto"/>
        </w:rPr>
      </w:pPr>
    </w:p>
    <w:p>
      <w:pPr>
        <w:ind w:left="660" w:right="60" w:hanging="4"/>
        <w:spacing w:after="0" w:line="273"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Partner</w:t>
      </w:r>
      <w:r>
        <w:rPr>
          <w:rFonts w:ascii="Times New Roman" w:cs="Times New Roman" w:eastAsia="Times New Roman" w:hAnsi="Times New Roman"/>
          <w:sz w:val="20"/>
          <w:szCs w:val="20"/>
          <w:color w:val="auto"/>
        </w:rPr>
        <w:t>” refers to StepStone Group Holdings LLC, a Delaware limited liability company, and the sole general partner of the Partnership;</w:t>
      </w:r>
    </w:p>
    <w:p>
      <w:pPr>
        <w:spacing w:after="0" w:line="165" w:lineRule="exact"/>
        <w:rPr>
          <w:rFonts w:ascii="Times New Roman" w:cs="Times New Roman" w:eastAsia="Times New Roman" w:hAnsi="Times New Roman"/>
          <w:sz w:val="20"/>
          <w:szCs w:val="20"/>
          <w:color w:val="auto"/>
        </w:rPr>
      </w:pPr>
    </w:p>
    <w:p>
      <w:pPr>
        <w:ind w:left="66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 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StepStone</w:t>
      </w:r>
      <w:r>
        <w:rPr>
          <w:rFonts w:ascii="Times New Roman" w:cs="Times New Roman" w:eastAsia="Times New Roman" w:hAnsi="Times New Roman"/>
          <w:sz w:val="20"/>
          <w:szCs w:val="20"/>
          <w:color w:val="auto"/>
        </w:rPr>
        <w:t>” and similar terms refer to SSG and its consolidated subsidiaries, including the Partnership;</w:t>
      </w:r>
    </w:p>
    <w:p>
      <w:pPr>
        <w:spacing w:after="0" w:line="138" w:lineRule="exact"/>
        <w:rPr>
          <w:rFonts w:ascii="Times New Roman" w:cs="Times New Roman" w:eastAsia="Times New Roman" w:hAnsi="Times New Roman"/>
          <w:sz w:val="20"/>
          <w:szCs w:val="20"/>
          <w:color w:val="auto"/>
        </w:rPr>
      </w:pPr>
    </w:p>
    <w:p>
      <w:pPr>
        <w:ind w:left="660" w:right="620" w:hanging="4"/>
        <w:spacing w:after="0" w:line="315" w:lineRule="auto"/>
        <w:tabs>
          <w:tab w:leader="none" w:pos="77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StepStone Funds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our funds</w:t>
      </w:r>
      <w:r>
        <w:rPr>
          <w:rFonts w:ascii="Times New Roman" w:cs="Times New Roman" w:eastAsia="Times New Roman" w:hAnsi="Times New Roman"/>
          <w:sz w:val="19"/>
          <w:szCs w:val="19"/>
          <w:color w:val="auto"/>
        </w:rPr>
        <w:t>” refer to our focused commingled funds and our separately managed accounts, including acquired Greenspring funds, for which we act as both investment adviser and general partner or managing member;</w:t>
      </w:r>
    </w:p>
    <w:p>
      <w:pPr>
        <w:spacing w:after="0" w:line="115" w:lineRule="exact"/>
        <w:rPr>
          <w:rFonts w:ascii="Times New Roman" w:cs="Times New Roman" w:eastAsia="Times New Roman" w:hAnsi="Times New Roman"/>
          <w:sz w:val="19"/>
          <w:szCs w:val="19"/>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Greenspring acquisition</w:t>
      </w:r>
      <w:r>
        <w:rPr>
          <w:rFonts w:ascii="Times New Roman" w:cs="Times New Roman" w:eastAsia="Times New Roman" w:hAnsi="Times New Roman"/>
          <w:sz w:val="20"/>
          <w:szCs w:val="20"/>
          <w:color w:val="auto"/>
        </w:rPr>
        <w:t>” refer to the acquisition of Greenspring Associates, Inc. and certain of its affiliates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Greenspring</w:t>
      </w:r>
      <w:r>
        <w:rPr>
          <w:rFonts w:ascii="Times New Roman" w:cs="Times New Roman" w:eastAsia="Times New Roman" w:hAnsi="Times New Roman"/>
          <w:sz w:val="20"/>
          <w:szCs w:val="20"/>
          <w:color w:val="auto"/>
        </w:rPr>
        <w:t>”) that was completed on September 20, 2021;</w:t>
      </w:r>
    </w:p>
    <w:p>
      <w:pPr>
        <w:spacing w:after="0" w:line="210" w:lineRule="exact"/>
        <w:rPr>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FY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fiscal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are to the fiscal year ended March 31 of the applicable year;</w:t>
      </w:r>
    </w:p>
    <w:p>
      <w:pPr>
        <w:spacing w:after="0" w:line="215" w:lineRule="exact"/>
        <w:rPr>
          <w:rFonts w:ascii="Times New Roman" w:cs="Times New Roman" w:eastAsia="Times New Roman" w:hAnsi="Times New Roman"/>
          <w:sz w:val="20"/>
          <w:szCs w:val="20"/>
          <w:color w:val="auto"/>
        </w:rPr>
      </w:pPr>
    </w:p>
    <w:p>
      <w:pPr>
        <w:ind w:left="660" w:right="44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Reorganization</w:t>
      </w:r>
      <w:r>
        <w:rPr>
          <w:rFonts w:ascii="Times New Roman" w:cs="Times New Roman" w:eastAsia="Times New Roman" w:hAnsi="Times New Roman"/>
          <w:sz w:val="20"/>
          <w:szCs w:val="20"/>
          <w:color w:val="auto"/>
        </w:rPr>
        <w:t>” refer to the series of transactions immediately before the Company’s initial public offering (“</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which was completed on September 18, 2020;</w:t>
      </w:r>
    </w:p>
    <w:p>
      <w:pPr>
        <w:spacing w:after="0" w:line="138" w:lineRule="exact"/>
        <w:rPr>
          <w:rFonts w:ascii="Times New Roman" w:cs="Times New Roman" w:eastAsia="Times New Roman" w:hAnsi="Times New Roman"/>
          <w:sz w:val="20"/>
          <w:szCs w:val="20"/>
          <w:color w:val="auto"/>
        </w:rPr>
      </w:pPr>
    </w:p>
    <w:p>
      <w:pPr>
        <w:ind w:left="660" w:right="38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private markets allocations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total capital responsibility</w:t>
      </w:r>
      <w:r>
        <w:rPr>
          <w:rFonts w:ascii="Times New Roman" w:cs="Times New Roman" w:eastAsia="Times New Roman" w:hAnsi="Times New Roman"/>
          <w:sz w:val="20"/>
          <w:szCs w:val="20"/>
          <w:color w:val="auto"/>
        </w:rPr>
        <w:t>” refer to the aggregate amount of our assets under management (“</w:t>
      </w:r>
      <w:r>
        <w:rPr>
          <w:rFonts w:ascii="Times New Roman" w:cs="Times New Roman" w:eastAsia="Times New Roman" w:hAnsi="Times New Roman"/>
          <w:sz w:val="20"/>
          <w:szCs w:val="20"/>
          <w:b w:val="1"/>
          <w:bCs w:val="1"/>
          <w:color w:val="auto"/>
        </w:rPr>
        <w:t>AUM</w:t>
      </w:r>
      <w:r>
        <w:rPr>
          <w:rFonts w:ascii="Times New Roman" w:cs="Times New Roman" w:eastAsia="Times New Roman" w:hAnsi="Times New Roman"/>
          <w:sz w:val="20"/>
          <w:szCs w:val="20"/>
          <w:color w:val="auto"/>
        </w:rPr>
        <w:t>”) and our assets under advisement (“</w:t>
      </w:r>
      <w:r>
        <w:rPr>
          <w:rFonts w:ascii="Times New Roman" w:cs="Times New Roman" w:eastAsia="Times New Roman" w:hAnsi="Times New Roman"/>
          <w:sz w:val="20"/>
          <w:szCs w:val="20"/>
          <w:b w:val="1"/>
          <w:bCs w:val="1"/>
          <w:color w:val="auto"/>
        </w:rPr>
        <w:t>AUA”</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high-net-worth</w:t>
      </w:r>
      <w:r>
        <w:rPr>
          <w:rFonts w:ascii="Times New Roman" w:cs="Times New Roman" w:eastAsia="Times New Roman" w:hAnsi="Times New Roman"/>
          <w:sz w:val="20"/>
          <w:szCs w:val="20"/>
          <w:color w:val="auto"/>
        </w:rPr>
        <w:t>” individuals refer to individuals with net worth of over $5 million, excluding primary residence;</w:t>
      </w:r>
    </w:p>
    <w:p>
      <w:pPr>
        <w:spacing w:after="0" w:line="215" w:lineRule="exact"/>
        <w:rPr>
          <w:rFonts w:ascii="Times New Roman" w:cs="Times New Roman" w:eastAsia="Times New Roman" w:hAnsi="Times New Roman"/>
          <w:sz w:val="20"/>
          <w:szCs w:val="20"/>
          <w:color w:val="auto"/>
        </w:rPr>
      </w:pPr>
    </w:p>
    <w:p>
      <w:pPr>
        <w:ind w:left="660" w:right="22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mass affluent</w:t>
      </w:r>
      <w:r>
        <w:rPr>
          <w:rFonts w:ascii="Times New Roman" w:cs="Times New Roman" w:eastAsia="Times New Roman" w:hAnsi="Times New Roman"/>
          <w:sz w:val="20"/>
          <w:szCs w:val="20"/>
          <w:color w:val="auto"/>
        </w:rPr>
        <w:t>” individuals refer to individuals with annual income over $200,000 or net worth between $1 million and $5 million, excluding primary residence; and</w:t>
      </w:r>
    </w:p>
    <w:p>
      <w:pPr>
        <w:spacing w:after="0" w:line="138" w:lineRule="exact"/>
        <w:rPr>
          <w:rFonts w:ascii="Times New Roman" w:cs="Times New Roman" w:eastAsia="Times New Roman" w:hAnsi="Times New Roman"/>
          <w:sz w:val="20"/>
          <w:szCs w:val="20"/>
          <w:color w:val="auto"/>
        </w:rPr>
      </w:pPr>
    </w:p>
    <w:p>
      <w:pPr>
        <w:ind w:left="660" w:right="10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Consolidated Funds</w:t>
      </w:r>
      <w:r>
        <w:rPr>
          <w:rFonts w:ascii="Times New Roman" w:cs="Times New Roman" w:eastAsia="Times New Roman" w:hAnsi="Times New Roman"/>
          <w:sz w:val="20"/>
          <w:szCs w:val="20"/>
          <w:color w:val="auto"/>
        </w:rPr>
        <w:t>” refer to the StepStone Funds that we are required to consolidate as of the applicable reporting period.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26" w:lineRule="exact"/>
        <w:rPr>
          <w:sz w:val="20"/>
          <w:szCs w:val="20"/>
          <w:color w:val="auto"/>
        </w:rPr>
      </w:pPr>
    </w:p>
    <w:p>
      <w:pPr>
        <w:ind w:left="660" w:right="160" w:hanging="4"/>
        <w:spacing w:after="0" w:line="263" w:lineRule="auto"/>
        <w:tabs>
          <w:tab w:leader="none" w:pos="77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SRA</w:t>
      </w:r>
      <w:r>
        <w:rPr>
          <w:rFonts w:ascii="Times New Roman" w:cs="Times New Roman" w:eastAsia="Times New Roman" w:hAnsi="Times New Roman"/>
          <w:sz w:val="20"/>
          <w:szCs w:val="20"/>
          <w:color w:val="auto"/>
        </w:rPr>
        <w:t>” refer to StepStone Group Real Assets LP, references to “</w:t>
      </w:r>
      <w:r>
        <w:rPr>
          <w:rFonts w:ascii="Times New Roman" w:cs="Times New Roman" w:eastAsia="Times New Roman" w:hAnsi="Times New Roman"/>
          <w:sz w:val="20"/>
          <w:szCs w:val="20"/>
          <w:b w:val="1"/>
          <w:bCs w:val="1"/>
          <w:color w:val="auto"/>
        </w:rPr>
        <w:t>SRE</w:t>
      </w:r>
      <w:r>
        <w:rPr>
          <w:rFonts w:ascii="Times New Roman" w:cs="Times New Roman" w:eastAsia="Times New Roman" w:hAnsi="Times New Roman"/>
          <w:sz w:val="20"/>
          <w:szCs w:val="20"/>
          <w:color w:val="auto"/>
        </w:rPr>
        <w:t>” refer to StepStone Group Real Estate LP, references to “</w:t>
      </w:r>
      <w:r>
        <w:rPr>
          <w:rFonts w:ascii="Times New Roman" w:cs="Times New Roman" w:eastAsia="Times New Roman" w:hAnsi="Times New Roman"/>
          <w:sz w:val="20"/>
          <w:szCs w:val="20"/>
          <w:b w:val="1"/>
          <w:bCs w:val="1"/>
          <w:color w:val="auto"/>
        </w:rPr>
        <w:t>SPD</w:t>
      </w:r>
      <w:r>
        <w:rPr>
          <w:rFonts w:ascii="Times New Roman" w:cs="Times New Roman" w:eastAsia="Times New Roman" w:hAnsi="Times New Roman"/>
          <w:sz w:val="20"/>
          <w:szCs w:val="20"/>
          <w:color w:val="auto"/>
        </w:rPr>
        <w:t>” refer to Swiss Capital Alternative Investments AG, and references to “</w:t>
      </w:r>
      <w:r>
        <w:rPr>
          <w:rFonts w:ascii="Times New Roman" w:cs="Times New Roman" w:eastAsia="Times New Roman" w:hAnsi="Times New Roman"/>
          <w:sz w:val="20"/>
          <w:szCs w:val="20"/>
          <w:b w:val="1"/>
          <w:bCs w:val="1"/>
          <w:color w:val="auto"/>
        </w:rPr>
        <w:t>SPW</w:t>
      </w:r>
      <w:r>
        <w:rPr>
          <w:rFonts w:ascii="Times New Roman" w:cs="Times New Roman" w:eastAsia="Times New Roman" w:hAnsi="Times New Roman"/>
          <w:sz w:val="20"/>
          <w:szCs w:val="20"/>
          <w:color w:val="auto"/>
        </w:rPr>
        <w:t>” refer to StepStone Group Private Wealth LLC.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TRADEMARKS, SERVICE MARKS AND TRADE NAMES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2023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0" w:type="dxa"/>
            <w:vAlign w:val="bottom"/>
          </w:tcPr>
          <w:p>
            <w:pPr>
              <w:spacing w:after="0"/>
              <w:rPr>
                <w:sz w:val="1"/>
                <w:szCs w:val="1"/>
                <w:color w:val="auto"/>
              </w:rPr>
            </w:pPr>
          </w:p>
        </w:tc>
      </w:tr>
      <w:tr>
        <w:trPr>
          <w:trHeight w:val="18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139,970</w:t>
            </w:r>
          </w:p>
        </w:tc>
        <w:tc>
          <w:tcPr>
            <w:tcW w:w="4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102,565</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and accounts receivable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44,450</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from affiliates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64,021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54,322</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Investments in funds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115,187</w:t>
            </w:r>
          </w:p>
        </w:tc>
        <w:tc>
          <w:tcPr>
            <w:tcW w:w="0" w:type="dxa"/>
            <w:vAlign w:val="bottom"/>
          </w:tcPr>
          <w:p>
            <w:pPr>
              <w:spacing w:after="0"/>
              <w:rPr>
                <w:sz w:val="1"/>
                <w:szCs w:val="1"/>
                <w:color w:val="auto"/>
              </w:rPr>
            </w:pPr>
          </w:p>
        </w:tc>
      </w:tr>
      <w:tr>
        <w:trPr>
          <w:trHeight w:val="195"/>
        </w:trPr>
        <w:tc>
          <w:tcPr>
            <w:tcW w:w="8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carried interest allocations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1,203,847</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1,227,173</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Legacy Greenspring investments in funds and accrued carried interest allocations</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632,414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770,652</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45,330</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44,358</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right-of-use assets, net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97,404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101,130</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 and receivables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58,758</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44,060</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Intangibles, net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315,296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354,645</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580,542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580,542</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Assets of Consolidated Funds: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33,589</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25,997</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109,822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30,595</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221"/>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3,468,181</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3,497,403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102,786</w:t>
            </w:r>
          </w:p>
        </w:tc>
        <w:tc>
          <w:tcPr>
            <w:tcW w:w="4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89,396</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131,735</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66,614</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carried interest-related compensation</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644,517</w:t>
            </w:r>
          </w:p>
        </w:tc>
        <w:tc>
          <w:tcPr>
            <w:tcW w:w="0" w:type="dxa"/>
            <w:vAlign w:val="bottom"/>
          </w:tcPr>
          <w:p>
            <w:pPr>
              <w:spacing w:after="0"/>
              <w:rPr>
                <w:sz w:val="1"/>
                <w:szCs w:val="1"/>
                <w:color w:val="auto"/>
              </w:rPr>
            </w:pPr>
          </w:p>
        </w:tc>
      </w:tr>
      <w:tr>
        <w:trPr>
          <w:trHeight w:val="203"/>
        </w:trPr>
        <w:tc>
          <w:tcPr>
            <w:tcW w:w="81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Legacy Greenspring accrued carried interest-related compensation</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486,677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617,994</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affiliates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202,225</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205,424</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118,443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121,224</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obligations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123,704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98,351</w:t>
            </w: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Liabilities of Consolidated Funds: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189"/>
        </w:trPr>
        <w:tc>
          <w:tcPr>
            <w:tcW w:w="8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1,802,333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1,844,086</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 in Consolidated Funds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76,076</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24,530</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A common stock, $0.001 par value, 650,000,000 authorized; 64,068,952 and 62,834,791 issued and outstanding as of December 31,</w:t>
            </w:r>
          </w:p>
        </w:tc>
        <w:tc>
          <w:tcPr>
            <w:tcW w:w="14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5"/>
        </w:trPr>
        <w:tc>
          <w:tcPr>
            <w:tcW w:w="8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2023 and March 31, 2023, respectively</w:t>
            </w: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B common stock, $0.001 par value, 125,000,000 authorized; 46,314,543 and 46,420,141 issued and outstanding as of December 31,</w:t>
            </w:r>
          </w:p>
        </w:tc>
        <w:tc>
          <w:tcPr>
            <w:tcW w:w="1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2023 and March 31, 2023, respectively</w:t>
            </w:r>
          </w:p>
        </w:tc>
        <w:tc>
          <w:tcPr>
            <w:tcW w:w="14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630,208</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610,567</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131,338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160,430</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StepStone Group Inc. stockholders’ equity</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761,842</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771,567</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 in subsidiaries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36,827</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36,380</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 in legacy Greenspring entities</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145,738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152,658</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in the Partnership</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645,365</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668,182</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1,589,772</w:t>
            </w:r>
          </w:p>
        </w:tc>
        <w:tc>
          <w:tcPr>
            <w:tcW w:w="4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1,628,787</w:t>
            </w:r>
          </w:p>
        </w:tc>
        <w:tc>
          <w:tcPr>
            <w:tcW w:w="0" w:type="dxa"/>
            <w:vAlign w:val="bottom"/>
          </w:tcPr>
          <w:p>
            <w:pPr>
              <w:spacing w:after="0"/>
              <w:rPr>
                <w:sz w:val="1"/>
                <w:szCs w:val="1"/>
                <w:color w:val="auto"/>
              </w:rPr>
            </w:pPr>
          </w:p>
        </w:tc>
      </w:tr>
      <w:tr>
        <w:trPr>
          <w:trHeight w:val="190"/>
        </w:trPr>
        <w:tc>
          <w:tcPr>
            <w:tcW w:w="8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3,468,181</w:t>
            </w:r>
          </w:p>
        </w:tc>
        <w:tc>
          <w:tcPr>
            <w:tcW w:w="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3,497,403</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amounts attributable to consolidated VIEs for which the Company did not acquire any direct economic interests. See note 5 for more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ind w:left="504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78"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The following presents the portion of the condensed consolidated balances presented above attributable to consolidated variable interest entities.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46,613</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39,996</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632,414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770,652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25,997</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965,000</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964,192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19,769</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29,869</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accrued carried interest-related compensation</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486,677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617,994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592,178</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682,718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 w:name="page7"/>
    <w:bookmarkEnd w:id="6"/>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 (Loss) (Unaudited)</w:t>
      </w:r>
    </w:p>
    <w:p>
      <w:pPr>
        <w:spacing w:after="0" w:line="1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60" w:type="dxa"/>
            <w:vAlign w:val="bottom"/>
          </w:tcPr>
          <w:p>
            <w:pPr>
              <w:spacing w:after="0"/>
              <w:rPr>
                <w:sz w:val="15"/>
                <w:szCs w:val="15"/>
                <w:color w:val="auto"/>
              </w:rPr>
            </w:pPr>
          </w:p>
        </w:tc>
        <w:tc>
          <w:tcPr>
            <w:tcW w:w="2480" w:type="dxa"/>
            <w:vAlign w:val="bottom"/>
            <w:gridSpan w:val="4"/>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8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advisory fees, net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151,492</w:t>
            </w:r>
          </w:p>
        </w:tc>
        <w:tc>
          <w:tcPr>
            <w:tcW w:w="24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128,753</w:t>
            </w:r>
          </w:p>
        </w:tc>
        <w:tc>
          <w:tcPr>
            <w:tcW w:w="26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431,730</w:t>
            </w:r>
          </w:p>
        </w:tc>
        <w:tc>
          <w:tcPr>
            <w:tcW w:w="2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364,606</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fees: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Incentive fees</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Carried interest allocations: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Realized</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31,347</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112,396</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Unrealized</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(129,584)</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(63,367)</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(24,849)</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(354,095)</w:t>
            </w:r>
          </w:p>
        </w:tc>
        <w:tc>
          <w:tcPr>
            <w:tcW w:w="0" w:type="dxa"/>
            <w:vAlign w:val="bottom"/>
          </w:tcPr>
          <w:p>
            <w:pPr>
              <w:spacing w:after="0"/>
              <w:rPr>
                <w:sz w:val="1"/>
                <w:szCs w:val="1"/>
                <w:color w:val="auto"/>
              </w:rPr>
            </w:pPr>
          </w:p>
        </w:tc>
      </w:tr>
      <w:tr>
        <w:trPr>
          <w:trHeight w:val="189"/>
        </w:trPr>
        <w:tc>
          <w:tcPr>
            <w:tcW w:w="5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carried interest allocations</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(114,295)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(47,047)</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(241,699)</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Legacy Greenspring carried interest allocations</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(69,700)</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(88,921)</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(106,250)</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(371,200)</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performance fees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(166,104)</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(132,988)</w:t>
            </w:r>
          </w:p>
        </w:tc>
        <w:tc>
          <w:tcPr>
            <w:tcW w:w="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(76,909)</w:t>
            </w: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(604,554)</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(14,612)</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354,821</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(239,948)</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Cash-based compensation</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73,619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62,628</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218,551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182,190</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Equity-based compensation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15,605</w:t>
            </w:r>
          </w:p>
        </w:tc>
        <w:tc>
          <w:tcPr>
            <w:tcW w:w="0" w:type="dxa"/>
            <w:vAlign w:val="bottom"/>
          </w:tcPr>
          <w:p>
            <w:pPr>
              <w:spacing w:after="0"/>
              <w:rPr>
                <w:sz w:val="1"/>
                <w:szCs w:val="1"/>
                <w:color w:val="auto"/>
              </w:rPr>
            </w:pPr>
          </w:p>
        </w:tc>
      </w:tr>
      <w:tr>
        <w:trPr>
          <w:trHeight w:val="195"/>
        </w:trPr>
        <w:tc>
          <w:tcPr>
            <w:tcW w:w="53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Performance fee-related compensation:</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Realized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67,091</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4"/>
                <w:szCs w:val="14"/>
                <w:color w:val="auto"/>
              </w:rPr>
              <w:t>Unrealized</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(62,243)</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(31,875)</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(9,320)</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(172,554)</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performance fee-related compensation</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(46,799)</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(20,149)</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(105,463)</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tcPr>
          <w:p>
            <w:pPr>
              <w:ind w:left="400"/>
              <w:spacing w:after="0" w:line="202" w:lineRule="exact"/>
              <w:rPr>
                <w:sz w:val="20"/>
                <w:szCs w:val="20"/>
                <w:color w:val="auto"/>
              </w:rPr>
            </w:pPr>
            <w:r>
              <w:rPr>
                <w:rFonts w:ascii="Times New Roman" w:cs="Times New Roman" w:eastAsia="Times New Roman" w:hAnsi="Times New Roman"/>
                <w:sz w:val="14"/>
                <w:szCs w:val="14"/>
                <w:color w:val="auto"/>
              </w:rPr>
              <w:t>Legacy Greenspring performance fee-related compensation</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(69,700)</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(88,921)</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(106,250)</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(371,200)</w:t>
            </w: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(28,848)</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(38,334)</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157,667</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(278,868)</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48,001</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43,582</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113,007</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111,547</w:t>
            </w: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19,153</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270,674</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(167,321)</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 (loss)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(5,473)</w:t>
            </w:r>
          </w:p>
        </w:tc>
        <w:tc>
          <w:tcPr>
            <w:tcW w:w="0" w:type="dxa"/>
            <w:vAlign w:val="bottom"/>
          </w:tcPr>
          <w:p>
            <w:pPr>
              <w:spacing w:after="0"/>
              <w:rPr>
                <w:sz w:val="1"/>
                <w:szCs w:val="1"/>
                <w:color w:val="auto"/>
              </w:rPr>
            </w:pPr>
          </w:p>
        </w:tc>
      </w:tr>
      <w:tr>
        <w:trPr>
          <w:trHeight w:val="203"/>
        </w:trPr>
        <w:tc>
          <w:tcPr>
            <w:tcW w:w="53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Legacy Greenspring investment loss</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(32,927)</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 of Consolidated Funds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11,223</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22,357</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0" w:type="dxa"/>
            <w:vAlign w:val="bottom"/>
          </w:tcPr>
          <w:p>
            <w:pPr>
              <w:spacing w:after="0"/>
              <w:rPr>
                <w:sz w:val="1"/>
                <w:szCs w:val="1"/>
                <w:color w:val="auto"/>
              </w:rPr>
            </w:pP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(loss)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4,408</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9,623</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(4,804)</w:t>
            </w:r>
          </w:p>
        </w:tc>
        <w:tc>
          <w:tcPr>
            <w:tcW w:w="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16,734</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(36,332)</w:t>
            </w:r>
          </w:p>
        </w:tc>
        <w:tc>
          <w:tcPr>
            <w:tcW w:w="0" w:type="dxa"/>
            <w:vAlign w:val="bottom"/>
          </w:tcPr>
          <w:p>
            <w:pPr>
              <w:spacing w:after="0"/>
              <w:rPr>
                <w:sz w:val="1"/>
                <w:szCs w:val="1"/>
                <w:color w:val="auto"/>
              </w:rPr>
            </w:pPr>
          </w:p>
        </w:tc>
      </w:tr>
      <w:tr>
        <w:trPr>
          <w:trHeight w:val="189"/>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(14,287)</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100,881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(108,959)</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15,603</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w:t>
            </w:r>
          </w:p>
        </w:tc>
        <w:tc>
          <w:tcPr>
            <w:tcW w:w="0" w:type="dxa"/>
            <w:vAlign w:val="bottom"/>
          </w:tcPr>
          <w:p>
            <w:pPr>
              <w:spacing w:after="0"/>
              <w:rPr>
                <w:sz w:val="1"/>
                <w:szCs w:val="1"/>
                <w:color w:val="auto"/>
              </w:rPr>
            </w:pPr>
          </w:p>
        </w:tc>
      </w:tr>
      <w:tr>
        <w:trPr>
          <w:trHeight w:val="189"/>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(13,555)</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85,278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(102,091)</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 in subsidiaries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25,836</w:t>
            </w:r>
          </w:p>
        </w:tc>
        <w:tc>
          <w:tcPr>
            <w:tcW w:w="0" w:type="dxa"/>
            <w:vAlign w:val="bottom"/>
          </w:tcPr>
          <w:p>
            <w:pPr>
              <w:spacing w:after="0"/>
              <w:rPr>
                <w:sz w:val="1"/>
                <w:szCs w:val="1"/>
                <w:color w:val="auto"/>
              </w:rPr>
            </w:pPr>
          </w:p>
        </w:tc>
      </w:tr>
      <w:tr>
        <w:trPr>
          <w:trHeight w:val="203"/>
        </w:trPr>
        <w:tc>
          <w:tcPr>
            <w:tcW w:w="5380" w:type="dxa"/>
            <w:vAlign w:val="bottom"/>
          </w:tcPr>
          <w:p>
            <w:pPr>
              <w:ind w:left="400"/>
              <w:spacing w:after="0" w:line="202" w:lineRule="exact"/>
              <w:rPr>
                <w:sz w:val="20"/>
                <w:szCs w:val="20"/>
                <w:color w:val="auto"/>
              </w:rPr>
            </w:pPr>
            <w:r>
              <w:rPr>
                <w:rFonts w:ascii="Times New Roman" w:cs="Times New Roman" w:eastAsia="Times New Roman" w:hAnsi="Times New Roman"/>
                <w:sz w:val="14"/>
                <w:szCs w:val="14"/>
                <w:color w:val="auto"/>
              </w:rPr>
              <w:t>Less: Net loss attributable to non-controlling interests in legacy Greenspring entities</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(32,927)</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 in the Partnership</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(20,111)</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22,677</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(48,192)</w:t>
            </w:r>
          </w:p>
        </w:tc>
        <w:tc>
          <w:tcPr>
            <w:tcW w:w="0" w:type="dxa"/>
            <w:vAlign w:val="bottom"/>
          </w:tcPr>
          <w:p>
            <w:pPr>
              <w:spacing w:after="0"/>
              <w:rPr>
                <w:sz w:val="1"/>
                <w:szCs w:val="1"/>
                <w:color w:val="auto"/>
              </w:rPr>
            </w:pPr>
          </w:p>
        </w:tc>
      </w:tr>
      <w:tr>
        <w:trPr>
          <w:trHeight w:val="139"/>
        </w:trPr>
        <w:tc>
          <w:tcPr>
            <w:tcW w:w="5380" w:type="dxa"/>
            <w:vAlign w:val="bottom"/>
          </w:tcPr>
          <w:p>
            <w:pPr>
              <w:ind w:left="400"/>
              <w:spacing w:after="0" w:line="139" w:lineRule="exact"/>
              <w:rPr>
                <w:sz w:val="20"/>
                <w:szCs w:val="20"/>
                <w:color w:val="auto"/>
              </w:rPr>
            </w:pPr>
            <w:r>
              <w:rPr>
                <w:rFonts w:ascii="Times New Roman" w:cs="Times New Roman" w:eastAsia="Times New Roman" w:hAnsi="Times New Roman"/>
                <w:sz w:val="14"/>
                <w:szCs w:val="14"/>
                <w:color w:val="auto"/>
              </w:rPr>
              <w:t>Less: Net income attributable to redeemable non-controlling interests in Consolidated</w:t>
            </w: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5,588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11,590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93"/>
        </w:trPr>
        <w:tc>
          <w:tcPr>
            <w:tcW w:w="53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Funds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StepStone Group Inc.</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(20,226)</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27,268</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per share of Class A common stock:</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24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26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0.43</w:t>
            </w:r>
          </w:p>
        </w:tc>
        <w:tc>
          <w:tcPr>
            <w:tcW w:w="26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0" w:type="dxa"/>
            <w:vAlign w:val="bottom"/>
          </w:tcPr>
          <w:p>
            <w:pPr>
              <w:spacing w:after="0"/>
              <w:rPr>
                <w:sz w:val="1"/>
                <w:szCs w:val="1"/>
                <w:color w:val="auto"/>
              </w:rPr>
            </w:pPr>
          </w:p>
        </w:tc>
      </w:tr>
      <w:tr>
        <w:trPr>
          <w:trHeight w:val="181"/>
        </w:trPr>
        <w:tc>
          <w:tcPr>
            <w:tcW w:w="5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0.43</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0" w:type="dxa"/>
            <w:vAlign w:val="bottom"/>
          </w:tcPr>
          <w:p>
            <w:pPr>
              <w:spacing w:after="0"/>
              <w:rPr>
                <w:sz w:val="1"/>
                <w:szCs w:val="1"/>
                <w:color w:val="auto"/>
              </w:rPr>
            </w:pPr>
          </w:p>
        </w:tc>
      </w:tr>
      <w:tr>
        <w:trPr>
          <w:trHeight w:val="170"/>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shares of Class A common stock:</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64,068,952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62,192,899</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63,255,604</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61,583,215</w:t>
            </w:r>
          </w:p>
        </w:tc>
        <w:tc>
          <w:tcPr>
            <w:tcW w:w="0" w:type="dxa"/>
            <w:vAlign w:val="bottom"/>
          </w:tcPr>
          <w:p>
            <w:pPr>
              <w:spacing w:after="0"/>
              <w:rPr>
                <w:sz w:val="1"/>
                <w:szCs w:val="1"/>
                <w:color w:val="auto"/>
              </w:rPr>
            </w:pPr>
          </w:p>
        </w:tc>
      </w:tr>
      <w:tr>
        <w:trPr>
          <w:trHeight w:val="164"/>
        </w:trPr>
        <w:tc>
          <w:tcPr>
            <w:tcW w:w="53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64,068,952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62,192,899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66,299,982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61,583,215</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8" w:right="2420" w:firstLine="8"/>
        <w:spacing w:after="0" w:line="348" w:lineRule="auto"/>
        <w:tabs>
          <w:tab w:leader="none" w:pos="638"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amounts attributable to consolidated VIEs for which the Company did not acquire any direct economic interests. See notes 3 and 5 for more information. </w:t>
      </w: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4"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Income (Loss)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1"/>
        </w:trPr>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(102,091)</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before non-controlling interests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(102,270)</w:t>
            </w:r>
          </w:p>
        </w:tc>
      </w:tr>
    </w:tbl>
    <w:p>
      <w:pPr>
        <w:spacing w:after="0" w:line="1" w:lineRule="exact"/>
        <w:rPr>
          <w:sz w:val="20"/>
          <w:szCs w:val="20"/>
          <w:color w:val="auto"/>
        </w:rPr>
      </w:pPr>
    </w:p>
    <w:p>
      <w:pPr>
        <w:sectPr>
          <w:pgSz w:w="11900" w:h="16838" w:orient="portrait"/>
          <w:cols w:equalWidth="0" w:num="1">
            <w:col w:w="11240"/>
          </w:cols>
          <w:pgMar w:left="320" w:top="114" w:right="339" w:bottom="1440" w:gutter="0" w:footer="0" w:header="0"/>
        </w:sectPr>
      </w:pPr>
    </w:p>
    <w:p>
      <w:pPr>
        <w:ind w:left="560" w:right="120" w:hanging="161"/>
        <w:spacing w:after="0" w:line="234" w:lineRule="auto"/>
        <w:rPr>
          <w:sz w:val="20"/>
          <w:szCs w:val="20"/>
          <w:color w:val="auto"/>
        </w:rPr>
      </w:pPr>
      <w:r>
        <w:rPr>
          <w:rFonts w:ascii="Times New Roman" w:cs="Times New Roman" w:eastAsia="Times New Roman" w:hAnsi="Times New Roman"/>
          <w:sz w:val="18"/>
          <w:szCs w:val="18"/>
          <w:color w:val="auto"/>
        </w:rPr>
        <w:t>Less: Comprehensive income attributable to non-controlling interests in subsidiaries</w:t>
      </w:r>
    </w:p>
    <w:p>
      <w:pPr>
        <w:spacing w:after="0" w:line="10" w:lineRule="exact"/>
        <w:rPr>
          <w:sz w:val="20"/>
          <w:szCs w:val="20"/>
          <w:color w:val="auto"/>
        </w:rPr>
      </w:pPr>
    </w:p>
    <w:p>
      <w:pPr>
        <w:ind w:left="560" w:right="380" w:hanging="161"/>
        <w:spacing w:after="0" w:line="237" w:lineRule="auto"/>
        <w:rPr>
          <w:sz w:val="20"/>
          <w:szCs w:val="20"/>
          <w:color w:val="auto"/>
        </w:rPr>
      </w:pPr>
      <w:r>
        <w:rPr>
          <w:rFonts w:ascii="Times New Roman" w:cs="Times New Roman" w:eastAsia="Times New Roman" w:hAnsi="Times New Roman"/>
          <w:sz w:val="18"/>
          <w:szCs w:val="18"/>
          <w:color w:val="auto"/>
        </w:rPr>
        <w:t>Less: Comprehensive loss attributable to non-controlling interests in legacy Greenspring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560" w:right="500" w:hanging="161"/>
        <w:spacing w:after="0" w:line="237" w:lineRule="auto"/>
        <w:rPr>
          <w:sz w:val="20"/>
          <w:szCs w:val="20"/>
          <w:color w:val="auto"/>
        </w:rPr>
      </w:pPr>
      <w:r>
        <w:rPr>
          <w:rFonts w:ascii="Times New Roman" w:cs="Times New Roman" w:eastAsia="Times New Roman" w:hAnsi="Times New Roman"/>
          <w:sz w:val="18"/>
          <w:szCs w:val="18"/>
          <w:color w:val="auto"/>
        </w:rPr>
        <w:t>Less: Comprehensive income (loss) attributable to non-controlling interests in the Partnership</w:t>
      </w:r>
    </w:p>
    <w:p>
      <w:pPr>
        <w:spacing w:after="0" w:line="10" w:lineRule="exact"/>
        <w:rPr>
          <w:sz w:val="20"/>
          <w:szCs w:val="20"/>
          <w:color w:val="auto"/>
        </w:rPr>
      </w:pPr>
    </w:p>
    <w:p>
      <w:pPr>
        <w:ind w:left="560" w:right="860" w:hanging="161"/>
        <w:spacing w:after="0" w:line="237" w:lineRule="auto"/>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 Consolidated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Comprehensive income (loss) attributable to StepStone Group Inc.</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13,274</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32,309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25,748</w:t>
            </w:r>
          </w:p>
        </w:tc>
      </w:tr>
      <w:tr>
        <w:trPr>
          <w:trHeight w:val="418"/>
        </w:trPr>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(2,222)</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(9,054)</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(32,927)</w:t>
            </w:r>
          </w:p>
        </w:tc>
      </w:tr>
      <w:tr>
        <w:trPr>
          <w:trHeight w:val="418"/>
        </w:trPr>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4"/>
              </w:rPr>
              <w:t>(20,226)</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22,459</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(48,232)</w:t>
            </w:r>
          </w:p>
        </w:tc>
      </w:tr>
      <w:tr>
        <w:trPr>
          <w:trHeight w:val="418"/>
        </w:trPr>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5,588</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11,590</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4"/>
              </w:rPr>
              <w:t>(20,378)</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26,984</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(47,250)</w:t>
            </w:r>
          </w:p>
        </w:tc>
      </w:tr>
      <w:tr>
        <w:trPr>
          <w:trHeight w:val="20"/>
        </w:trPr>
        <w:tc>
          <w:tcPr>
            <w:tcW w:w="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-33655</wp:posOffset>
            </wp:positionV>
            <wp:extent cx="796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-7620</wp:posOffset>
            </wp:positionV>
            <wp:extent cx="796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-187960</wp:posOffset>
            </wp:positionV>
            <wp:extent cx="7969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520"/>
            <w:col w:w="5020"/>
          </w:cols>
          <w:pgMar w:left="320" w:top="114"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4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4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Legacy</w:t>
            </w: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Entities</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September 30, 2023</w:t>
            </w: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628,977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165,240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30,394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144,255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669,097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1,638,411</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13,552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(29,007)</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4,257</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2,874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2,166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5,188</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(13,213)</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(13,676)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(13,676)</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transactions affecting</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ownership in the Partnership, including net amounts</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(1,643)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(1,643)</w:t>
            </w: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payable under Tax Receivable Agreements</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2023</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630,208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131,338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36,827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145,738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645,365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1,589,772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2023</w:t>
            </w: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610,567</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160,430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36,380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152,658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668,182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1,628,787</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27,268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32,797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22,677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73,688</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8,870</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7,949</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6,117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14,510</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(78,229)</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(56,360)</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Vesting of RSUs, net of shares withheld for employee</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taxes</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and Class C units for Class A</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w w:val="99"/>
              </w:rPr>
              <w:t>common stock and redemption of corresponding Class</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B common shares</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Sale of non-controlling interests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3,045</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14,123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transactions affecting</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ownership in the Partnership, including net amounts</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(2,936)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(2,936)</w:t>
            </w: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payable under Tax Receivable Agreements</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2023</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630,208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131,338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36,827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145,738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645,365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1,589,772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10 and 13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4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4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Legacy</w:t>
            </w: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Entities</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September 30, 2022</w:t>
            </w: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596,355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164,044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28,922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173,443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677,565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1,641,109</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9,575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(13,946)</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2,011</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2,259</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1,797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4,308</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(14,352)</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(12,606)</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w w:val="98"/>
              </w:rPr>
              <w:t>Exchange of Class B units for Class A common stock and</w:t>
            </w:r>
          </w:p>
        </w:tc>
        <w:tc>
          <w:tcPr>
            <w:tcW w:w="14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redemption of corresponding Class B common shares</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8,950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transactions affecting</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ownership in the Partnership, including net amounts</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payable under Tax Receivable Agreements</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2022</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606,497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144,500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34,311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165,345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653,845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1,605,217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2022</w:t>
            </w: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587,243</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229,615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32,063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194,480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780,162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1,824,330</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25,836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(102,482)</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10,813</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6,385</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5,160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11,805</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(93,999)</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(37,916)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(37,916)</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Vesting of RSUs, net of shares withheld for employee</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(1,504)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taxes</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w w:val="98"/>
              </w:rPr>
              <w:t>Exchange of Class B units for Class A common stock and</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redemption of corresponding Class B common shares</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18,821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(18,825)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transactions affecting</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rPr>
              <w:t>ownership in the Partnership, including net amounts</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(4,447)</w:t>
            </w: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payable under Tax Receivable Agreements</w:t>
            </w:r>
            <w:r>
              <w:rPr>
                <w:rFonts w:ascii="Times New Roman" w:cs="Times New Roman" w:eastAsia="Times New Roman" w:hAnsi="Times New Roman"/>
                <w:sz w:val="14"/>
                <w:szCs w:val="14"/>
                <w:color w:val="auto"/>
                <w:vertAlign w:val="superscript"/>
              </w:rPr>
              <w:t>(1)</w:t>
            </w: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2022</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606,497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144,500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34,311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165,345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653,845</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1,605,217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10 and 13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1"/>
        </w:trPr>
        <w:tc>
          <w:tcPr>
            <w:tcW w:w="7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85,278</w:t>
            </w:r>
          </w:p>
        </w:tc>
        <w:tc>
          <w:tcPr>
            <w:tcW w:w="2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(102,091)</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35,308</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carried interest allocations and investment loss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364,314</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legacy Greenspring carried interest allocations and investment loss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145,828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453,582</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performance fee-related compensation</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(172,554)</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legacy Greenspring performance fee-related compensation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(132,228)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(416,574)</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15,605</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deferred income taxes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(18,624)</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for acquisition-related contingent consideration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9,949</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remeasurement of lease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subsidiary</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non-cash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Adjustments to reconcile net income (loss) to net cash used in operating activities of Consolidated Funds: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income of Consolidated Funds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 of Consolidated Funds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(58,476)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(9,417)</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 of Consolidated Funds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Fees and accounts receivable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(13,706)</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(8,628)</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Due from affiliates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(16,380)</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receivables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(6,642)</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35,059</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Due to affiliates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 right-of-use assets, net and lease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 of Consolidated Funds: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receivables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13"/>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liabilities and payables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12"/>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153,893</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151,699</w:t>
            </w:r>
          </w:p>
        </w:tc>
      </w:tr>
      <w:tr>
        <w:trPr>
          <w:trHeight w:val="19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to investments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(17,163)</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received from investments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4,772</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to investments in legacy Greenspring entities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(10,634)</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received from investments in legacy Greenspring entities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(18,692)</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r>
      <w:tr>
        <w:trPr>
          <w:trHeight w:val="207"/>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(38,264)</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(23,412)</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capital contributions from non-controlling interests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non-controlling interests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(87,157)</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capital contributions to legacy Greenspring entities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 in legacy Greenspring entities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common stockholders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employee taxes related to net settlement of RSUs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related parties under Tax Receivable Agreements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 of Consolidated Funds: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redeemable non-controlling interests in Consolidated Funds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39,956</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(67,237)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(104,652)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129,517</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117,449</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174,310</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141,031</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dividends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Deferred tax effect resulting from transactions affecting ownership in the Partnership, including net</w:t>
            </w:r>
          </w:p>
        </w:tc>
        <w:tc>
          <w:tcPr>
            <w:tcW w:w="2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0" w:type="dxa"/>
            <w:vAlign w:val="bottom"/>
          </w:tcPr>
          <w:p>
            <w:pPr>
              <w:spacing w:after="0"/>
              <w:rPr>
                <w:sz w:val="1"/>
                <w:szCs w:val="1"/>
                <w:color w:val="auto"/>
              </w:rPr>
            </w:pPr>
          </w:p>
        </w:tc>
      </w:tr>
      <w:tr>
        <w:trPr>
          <w:trHeight w:val="149"/>
        </w:trPr>
        <w:tc>
          <w:tcPr>
            <w:tcW w:w="786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amounts payable under Tax Receivable Agreements</w:t>
            </w:r>
          </w:p>
        </w:tc>
        <w:tc>
          <w:tcPr>
            <w:tcW w:w="240" w:type="dxa"/>
            <w:vAlign w:val="bottom"/>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786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Establishment of lease liabilities in exchange for lease right-of-use assets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Remeasurement of lease liabilities</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note related to sale of subsidiary</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139,970</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120,093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and cash equivalents of Consolidated Funds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Organization</w:t>
      </w:r>
    </w:p>
    <w:p>
      <w:pPr>
        <w:spacing w:after="0" w:line="233"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StepStone Group Inc. (“SSG”) was incorporated in the state of Delaware on November 20, 2019. The company was formed for the purpose of completing an initial public offering (“IPO”) in order to conduct the business of StepStone Group LP (the “Partnership”) as a publicly-traded entity.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spacing w:after="0" w:line="19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is a global private markets investment firm focused on providing customized investment solutions and advisory, data and administrative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2" w:lineRule="exact"/>
        <w:rPr>
          <w:sz w:val="20"/>
          <w:szCs w:val="20"/>
          <w:color w:val="auto"/>
        </w:rPr>
      </w:pPr>
    </w:p>
    <w:p>
      <w:pPr>
        <w:ind w:right="180" w:firstLine="648"/>
        <w:spacing w:after="0" w:line="310" w:lineRule="auto"/>
        <w:rPr>
          <w:sz w:val="20"/>
          <w:szCs w:val="20"/>
          <w:color w:val="auto"/>
        </w:rPr>
      </w:pPr>
      <w:r>
        <w:rPr>
          <w:rFonts w:ascii="Times New Roman" w:cs="Times New Roman" w:eastAsia="Times New Roman" w:hAnsi="Times New Roman"/>
          <w:sz w:val="19"/>
          <w:szCs w:val="19"/>
          <w:color w:val="auto"/>
        </w:rPr>
        <w:t>The Company, through its subsidiaries, acts as the investment advisor and general partner or managing member to separately managed accounts (“SMAs”) and focused commingled funds, including acquired Greenspring funds (collectively, the “StepStone Funds”).</w:t>
      </w:r>
    </w:p>
    <w:p>
      <w:pPr>
        <w:spacing w:after="0" w:line="13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and Class C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December 31, 2023, SSG held approximately 57.0% of the economic interest in the Partnership. As the Partnership’s limited partners exchange their Class B and Class C units into SSG’s Class A common stock in the future, SSG’s economic interest in the Partnership will increase relative to that of the Class B and Class C unitholders.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2023 filed with the Securities and Exchange Commission (“SEC”).</w:t>
      </w:r>
    </w:p>
    <w:p>
      <w:pPr>
        <w:spacing w:after="0" w:line="17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Reclassifications</w:t>
      </w:r>
    </w:p>
    <w:p>
      <w:pPr>
        <w:spacing w:after="0" w:line="23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Certain prior year amounts have been reclassified to conform to the current period presentation. Amounts relating to unpaid realized carried interest-related compensation that were previously reported within accrued carried interest-related compensation have been presented within accrued compensation and benefits in the condensed consolidated balance sheets.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182"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spacing w:after="0" w:line="19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has determined that certain of its operating subsidiaries, StepStone Group Real Assets LP (“SRA”), StepStone Group Real Estate LP (“SRE”), Swiss Capital Alternative Investments AG (“SPD”),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90"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auto"/>
        </w:rPr>
        <w:t>In connection with the acquisition of Greenspring Associates, Inc. and certain of its affiliates (“Greenspring”) that was completed on September 20, 2021,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20"/>
          <w:szCs w:val="20"/>
          <w:color w:val="auto"/>
        </w:rPr>
        <w:t>The Company and its subsidiaries manages or controls certain entities that constitute client investment funds that have been consolidated in the accompanying condensed consolidated financial statements (“Consolidated Funds”). Including the results of the Consolidated Funds increases the reported amounts of the assets, liabilities, expenses and cash flows in the accompanying condensed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spacing w:after="0" w:line="188" w:lineRule="exact"/>
        <w:rPr>
          <w:sz w:val="20"/>
          <w:szCs w:val="20"/>
          <w:color w:val="auto"/>
        </w:rPr>
      </w:pPr>
    </w:p>
    <w:p>
      <w:pPr>
        <w:ind w:right="42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SRA, SRE, and SPD (the variable interest entities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4"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legacy Greenspring entities </w:t>
      </w:r>
      <w:r>
        <w:rPr>
          <w:rFonts w:ascii="Times New Roman" w:cs="Times New Roman" w:eastAsia="Times New Roman" w:hAnsi="Times New Roman"/>
          <w:sz w:val="20"/>
          <w:szCs w:val="20"/>
          <w:color w:val="auto"/>
        </w:rPr>
        <w:t>represent the economic interests in the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The Company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64" w:lineRule="exact"/>
        <w:rPr>
          <w:sz w:val="20"/>
          <w:szCs w:val="20"/>
          <w:color w:val="auto"/>
        </w:rPr>
      </w:pPr>
    </w:p>
    <w:p>
      <w:pPr>
        <w:ind w:right="50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the Partnership </w:t>
      </w:r>
      <w:r>
        <w:rPr>
          <w:rFonts w:ascii="Times New Roman" w:cs="Times New Roman" w:eastAsia="Times New Roman" w:hAnsi="Times New Roman"/>
          <w:sz w:val="20"/>
          <w:szCs w:val="20"/>
          <w:color w:val="auto"/>
        </w:rPr>
        <w:t>represent the economic interests related to the Class B and Class C units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SSG, but are held by the client investors in the funds. These interests are presented as redeemable non-controlling interests in Consolidated Funds within the condensed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Accounting for Differing Fiscal Periods</w:t>
      </w:r>
    </w:p>
    <w:p>
      <w:pPr>
        <w:spacing w:after="0" w:line="23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0"/>
          <w:szCs w:val="20"/>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ended December 31, 2023, the Company used the September 30, 2023 unaudited financial statements of the StepStone Funds, which reflect the underlying private market funds as of September 30, 2023, to record its investments (including any carried interest allocated by those investments), as adjusted for capital contributions and distributions during the three-month lag period ended December 31, 2023.</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does not account for management and advisory fees or incentive fees on a three-month lag.</w:t>
      </w:r>
    </w:p>
    <w:p>
      <w:pPr>
        <w:spacing w:after="0" w:line="229"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In 2023, signs of slowing inflation coupled with a strong labor market contributed to a rebound in financial markets despite banking system volatility as recession fears receded in anticipation that interest rates may not rise as much as previously expected. For calendar 2023, most financial markets posted positive returns, despite ongoing concerns of a sustained period of higher interest rates, slowing economic growth and moderated job gains.</w:t>
      </w:r>
    </w:p>
    <w:p>
      <w:pPr>
        <w:spacing w:after="0" w:line="187" w:lineRule="exact"/>
        <w:rPr>
          <w:sz w:val="20"/>
          <w:szCs w:val="20"/>
          <w:color w:val="auto"/>
        </w:rPr>
      </w:pPr>
    </w:p>
    <w:p>
      <w:pPr>
        <w:ind w:right="260" w:firstLine="648"/>
        <w:spacing w:after="0" w:line="251" w:lineRule="auto"/>
        <w:rPr>
          <w:sz w:val="20"/>
          <w:szCs w:val="20"/>
          <w:color w:val="auto"/>
        </w:rPr>
      </w:pPr>
      <w:r>
        <w:rPr>
          <w:rFonts w:ascii="Times New Roman" w:cs="Times New Roman" w:eastAsia="Times New Roman" w:hAnsi="Times New Roman"/>
          <w:sz w:val="20"/>
          <w:szCs w:val="20"/>
          <w:color w:val="auto"/>
        </w:rPr>
        <w:t>The Company is continuing to closely monitor developments related to inflation, rising interest rates, the ongoing Russia-Ukraine conflict, banking system volatility, the Israel-Hamas conflict and the geopolitical responses thereto,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overall economy and the Company’s condensed consolidated financial statements.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20"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9"/>
          <w:szCs w:val="19"/>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57"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 – Pricing inputs are unadjusted, quoted prices in active markets for identical assets or liabilities as of the measurement date.</w:t>
      </w:r>
    </w:p>
    <w:p>
      <w:pPr>
        <w:spacing w:after="0" w:line="229" w:lineRule="exact"/>
        <w:rPr>
          <w:rFonts w:ascii="Times New Roman" w:cs="Times New Roman" w:eastAsia="Times New Roman" w:hAnsi="Times New Roman"/>
          <w:sz w:val="20"/>
          <w:szCs w:val="20"/>
          <w:color w:val="auto"/>
        </w:rPr>
      </w:pPr>
    </w:p>
    <w:p>
      <w:pPr>
        <w:ind w:left="660" w:right="60" w:hanging="328"/>
        <w:spacing w:after="0" w:line="254"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87" w:lineRule="exact"/>
        <w:rPr>
          <w:rFonts w:ascii="Times New Roman" w:cs="Times New Roman" w:eastAsia="Times New Roman" w:hAnsi="Times New Roman"/>
          <w:sz w:val="20"/>
          <w:szCs w:val="20"/>
          <w:color w:val="auto"/>
        </w:rPr>
      </w:pPr>
    </w:p>
    <w:p>
      <w:pPr>
        <w:ind w:left="660" w:right="320" w:hanging="328"/>
        <w:spacing w:after="0" w:line="261"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92"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The Company considers its cash, cash equivalents, restricted cash, fees and accounts receivable, accounts payable, investments, revolving credit facility, and contingent consideration obligation balance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obligation balance and see note 8 for additional details regarding the fair value of the Company’s revolving credit facility balance.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Restricted Cash</w:t>
      </w:r>
    </w:p>
    <w:p>
      <w:pPr>
        <w:spacing w:after="0" w:line="233"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Restricted cash consists of cash that the Company is contractually obligated to maintain to secure its letters of credit used primarily related to its office facilities and other obligations.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233"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Investments of Consolidated Funds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condensed consolidated statements of income. In addition, the Consolidated Funds do not consolidate their majority-owned and controlled investments in underlying portfolio companies.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Operating lease expense associated with minimum lease payments is recognized on a straight-line basis over the lease term in general, administrative and other expenses in the condensed consolidated statements of income. Minimum lease payments for leases with an initial term of twelve months or less are not recorded in the condensed consolidated balance sheets. See note 14 for more information.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Intangibles and Goodwill</w:t>
      </w:r>
    </w:p>
    <w:p>
      <w:pPr>
        <w:spacing w:after="0" w:line="220"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20"/>
          <w:szCs w:val="20"/>
          <w:color w:val="auto"/>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December 31, 2023.</w:t>
      </w:r>
    </w:p>
    <w:p>
      <w:pPr>
        <w:spacing w:after="0" w:line="16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and nine months ended December 31, 2023 and 2022.</w:t>
      </w:r>
    </w:p>
    <w:p>
      <w:pPr>
        <w:spacing w:after="0" w:line="18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Accounting Standards Codification Topic 606 (“ASC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Revenue is recognized in a manner that depicts the transfer of promised goods or services to customers and for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 Management fees include income-based incentive fees, which are predictable and recurring in nature and paid quarterly based on net investment income of certain funds that are regulated as a business development company (“BDC”). Capital gains-based incentive fees from BDC funds are recognized as performance fees. There have been no capital-gains based incentive fees recognized to date.</w:t>
      </w:r>
    </w:p>
    <w:p>
      <w:pPr>
        <w:spacing w:after="0" w:line="1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Based on certain facts and circumstances specific to each individual fund structure, the Company has determined that for accounting purposes, either the StepStone Fund or the individual investors in the fund may be considered to be the customer for arrangements with focused commingled funds.</w:t>
      </w:r>
    </w:p>
    <w:p>
      <w:pPr>
        <w:spacing w:after="0" w:line="17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may incur certain costs in connection with satisfying its performance obligations for investment management services</w:t>
      </w:r>
    </w:p>
    <w:p>
      <w:pPr>
        <w:spacing w:after="0" w:line="4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 primarily employee travel costs – for which it receives reimbursements from its customers. For reimbursable employee travel costs, the Company concluded it controls the services provided by its employees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earns two types of performance fee revenues: incentive fees and carried interest allocations, as described below.</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are generally calculated as a percentage of the profits (up to 15%) earned in respect of certain accounts,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i w:val="1"/>
          <w:iCs w:val="1"/>
          <w:color w:val="231F20"/>
        </w:rPr>
        <w:t xml:space="preserve">Legacy Greenspring carried interest allocations </w:t>
      </w:r>
      <w:r>
        <w:rPr>
          <w:rFonts w:ascii="Times New Roman" w:cs="Times New Roman" w:eastAsia="Times New Roman" w:hAnsi="Times New Roman"/>
          <w:sz w:val="20"/>
          <w:szCs w:val="20"/>
          <w:color w:val="231F20"/>
        </w:rPr>
        <w:t>reflect the allocation of carried interest to legacy Greenspring general partner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Times New Roman" w:cs="Times New Roman" w:eastAsia="Times New Roman" w:hAnsi="Times New Roman"/>
          <w:sz w:val="20"/>
          <w:szCs w:val="20"/>
          <w:color w:val="000000"/>
        </w:rPr>
        <w:t>because it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is presumed to have significant influence as the general partner or managing member</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000000"/>
        </w:rPr>
        <w:t xml:space="preserve"> Accordingly, legacy Greenspring carried interest allocations are not deemed to be within the scope of ASC 606. </w:t>
      </w:r>
      <w:r>
        <w:rPr>
          <w:rFonts w:ascii="Times New Roman" w:cs="Times New Roman" w:eastAsia="Times New Roman" w:hAnsi="Times New Roman"/>
          <w:sz w:val="20"/>
          <w:szCs w:val="20"/>
          <w:color w:val="231F20"/>
        </w:rPr>
        <w:t>The Company does not hold any direct economic interests in the legacy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w:t>
      </w:r>
    </w:p>
    <w:p>
      <w:pPr>
        <w:spacing w:after="0" w:line="19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9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December 31, 2023 and March 31, 2023, no material amounts for potential clawback obligations had been accrued.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Equity-Based Compensation</w:t>
      </w:r>
    </w:p>
    <w:p>
      <w:pPr>
        <w:spacing w:after="0" w:line="233"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0"/>
          <w:szCs w:val="20"/>
          <w:color w:val="auto"/>
        </w:rPr>
        <w:t>Equity-based compensation represents grants of equity-based awards or arrangements to certain employees and directors. 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condensed consolidated statements of income. The fair value of RSUs is determined by the closing stock price on the grant date. Forfeitures of equity-based awards are recognized as they occur. Awards classified as liabilities are remeasured at the end of each reporting period until settlement. See note 9 for additional information regarding the Company’s accounting for equity-based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As a result, the Partnership does not record U.S. federal and state income taxes on income in the Partnership or its subsidiaries, except for certain local and foreign income taxes discussed above.</w:t>
      </w:r>
    </w:p>
    <w:p>
      <w:pPr>
        <w:spacing w:after="0" w:line="18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spacing w:after="0" w:line="17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8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9"/>
          <w:szCs w:val="19"/>
          <w:color w:val="auto"/>
        </w:rPr>
        <w:t xml:space="preserve">The Company is subject to the provisions of ASC Subtopic 740-10, </w:t>
      </w:r>
      <w:r>
        <w:rPr>
          <w:rFonts w:ascii="Times New Roman" w:cs="Times New Roman" w:eastAsia="Times New Roman" w:hAnsi="Times New Roman"/>
          <w:sz w:val="19"/>
          <w:szCs w:val="19"/>
          <w:i w:val="1"/>
          <w:iCs w:val="1"/>
          <w:color w:val="auto"/>
        </w:rPr>
        <w:t>Accounting for Uncertainty in Income Taxes</w:t>
      </w:r>
      <w:r>
        <w:rPr>
          <w:rFonts w:ascii="Times New Roman" w:cs="Times New Roman" w:eastAsia="Times New Roman" w:hAnsi="Times New Roman"/>
          <w:sz w:val="19"/>
          <w:szCs w:val="19"/>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See note 10 for more information.</w:t>
      </w:r>
    </w:p>
    <w:p>
      <w:pPr>
        <w:spacing w:after="0" w:line="179"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The Company has elected to account for global intangible low-taxed income (“GILTI”) earned by foreign subsidiaries in the period the tax is incurred.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judgment is required in determining tax expense and in evaluating tax positions, including evaluating uncertainties under GAAP.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reviews its tax positions quarterly and adjusts its tax balances as new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Tax Receivable Agreements</w:t>
      </w:r>
    </w:p>
    <w:p>
      <w:pPr>
        <w:spacing w:after="0" w:line="233"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The Tax Receivable Agreements provide for payment by SSG to the Class B limited partners, Class C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See note 13 for more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w:t>
      </w:r>
    </w:p>
    <w:p>
      <w:pPr>
        <w:spacing w:after="0" w:line="220" w:lineRule="exact"/>
        <w:rPr>
          <w:sz w:val="20"/>
          <w:szCs w:val="20"/>
          <w:color w:val="auto"/>
        </w:rPr>
      </w:pPr>
    </w:p>
    <w:p>
      <w:pPr>
        <w:ind w:right="140" w:firstLine="648"/>
        <w:spacing w:after="0" w:line="265" w:lineRule="auto"/>
        <w:rPr>
          <w:sz w:val="20"/>
          <w:szCs w:val="20"/>
          <w:color w:val="auto"/>
        </w:rPr>
      </w:pPr>
      <w:r>
        <w:rPr>
          <w:rFonts w:ascii="Times New Roman" w:cs="Times New Roman" w:eastAsia="Times New Roman" w:hAnsi="Times New Roman"/>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0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defined benefit plan, net</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20"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20"/>
          <w:szCs w:val="20"/>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spacing w:after="0" w:line="15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March 2020, the FASB issued ASU 2020-04, </w:t>
      </w:r>
      <w:r>
        <w:rPr>
          <w:rFonts w:ascii="Times New Roman" w:cs="Times New Roman" w:eastAsia="Times New Roman" w:hAnsi="Times New Roman"/>
          <w:sz w:val="20"/>
          <w:szCs w:val="20"/>
          <w:i w:val="1"/>
          <w:iCs w:val="1"/>
          <w:color w:val="auto"/>
        </w:rPr>
        <w:t>Reference Rate Reform (Topic 848): Facilitation of the Effects of Reference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Reform on Financial Reporting</w:t>
      </w:r>
      <w:r>
        <w:rPr>
          <w:rFonts w:ascii="Times New Roman" w:cs="Times New Roman" w:eastAsia="Times New Roman" w:hAnsi="Times New Roman"/>
          <w:sz w:val="20"/>
          <w:szCs w:val="20"/>
          <w:color w:val="auto"/>
        </w:rPr>
        <w:t>, which amends current guidance to provide optional practical expedients and exceptions, if certain criteria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met, for applying GAAP to contracts, hedging relationships and other transactions that are affected by the reference rate reform. The expedients and exceptions in this update apply only to contracts, hedging relationships and other transactions that reference the London Interbank Offered Rate (“LIBOR”). Initially the update did not apply to contract modifications or hedging relationships entered into after December 31, 2022, but in December 2022, the FASB issued ASU 2022-06, which defers the sunset date for applying reference rate reform relief in ASC 848 to December 31, 2024. This guidance is effective for adoption anytime after March 12, 2020, but must be adopted prior to December 31, 2024. The Company is currently evaluating the impact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i w:val="1"/>
          <w:iCs w:val="1"/>
          <w:color w:val="auto"/>
        </w:rPr>
        <w:t>Segment Reporting (Topic 280): Improvements to Reportable Segment</w:t>
      </w:r>
    </w:p>
    <w:p>
      <w:pPr>
        <w:spacing w:after="0" w:line="3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i w:val="1"/>
          <w:iCs w:val="1"/>
          <w:color w:val="auto"/>
        </w:rPr>
        <w:t xml:space="preserve">Disclosures, </w:t>
      </w:r>
      <w:r>
        <w:rPr>
          <w:rFonts w:ascii="Times New Roman" w:cs="Times New Roman" w:eastAsia="Times New Roman" w:hAnsi="Times New Roman"/>
          <w:sz w:val="19"/>
          <w:szCs w:val="19"/>
          <w:color w:val="auto"/>
        </w:rPr>
        <w:t>which amends current guidance for reportable segment disclosure requirements. The updated disclosure requirements include:</w:t>
      </w:r>
    </w:p>
    <w:p>
      <w:pPr>
        <w:spacing w:after="0" w:line="18" w:lineRule="exact"/>
        <w:rPr>
          <w:sz w:val="20"/>
          <w:szCs w:val="20"/>
          <w:color w:val="auto"/>
        </w:rPr>
      </w:pPr>
    </w:p>
    <w:p>
      <w:pPr>
        <w:ind w:right="20" w:firstLine="8"/>
        <w:spacing w:after="0" w:line="249" w:lineRule="auto"/>
        <w:tabs>
          <w:tab w:leader="none" w:pos="2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of segment expenses that are regularly provided to the CODM and included within each reported measure of segment profit or loss, (2) reporting of an amount for other segment items by reportable segment and a description of its composition, (3) reporting in interim periods of all annual disclosures about a reportable segment’s profit or loss and assets as currently required by Topic 280, (4) reporting of one or more additional measures of segment profit or loss if used by the CODM in assessing segment performance and determining allocation of resources, (5) reporting of the title and position of the CODM and an explanation of how the CODM uses the reported measure(s) of segment profit or loss, and (6) the requirement for single reportable segment entities to provide all required disclosures in Topic 280 for annual and interim periods. The amendments are effective for fiscal years beginning after December 15, 2023, and interim periods within fiscal years beginning after December 15, 2024, with early adoption permitted. The Company is currently evaluating the impact to its financial statements and related disclosures.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which amends current guidance to provide expanded disclosure for the rate reconciliation with information about specific categories and reconciling items that meet a specific threshold, and to provide additional information about income taxes paid disaggregated by jurisdiction. The amendments are effective for annual periods beginning after December 15, 2024, with early adoption permitted. The Company is currently evaluating the impact to its financial statements and related disclosures.</w:t>
      </w:r>
    </w:p>
    <w:p>
      <w:pPr>
        <w:spacing w:after="0" w:line="1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Revenues</w:t>
      </w:r>
    </w:p>
    <w:p>
      <w:pPr>
        <w:spacing w:after="0" w:line="220"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The following presents revenues disaggregated by product offering, which aligns with the Company’s performance obligations and the basis for calculating each amount: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and Advisory Fees, Net</w:t>
            </w: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Focused commingled funds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215,757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164,975</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156,154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and other services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 reimbursement revenues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management and advisory fees,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431,730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BDC income-based incentive fees of $0.6 million for the three and nine months ended December 31,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 Fees</w:t>
            </w: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incentive fees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Carried Interest Allocations</w:t>
            </w: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(205,019)</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14,272</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carried interest allocations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(241,699)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Legacy Greenspring Carried Interest Allocations</w:t>
            </w:r>
          </w:p>
        </w:tc>
        <w:tc>
          <w:tcPr>
            <w:tcW w:w="120" w:type="dxa"/>
            <w:vAlign w:val="bottom"/>
          </w:tcPr>
          <w:p>
            <w:pPr>
              <w:spacing w:after="0"/>
              <w:rPr>
                <w:sz w:val="24"/>
                <w:szCs w:val="24"/>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24"/>
                <w:szCs w:val="24"/>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(371,200)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00"/>
              <w:spacing w:after="0" w:line="223" w:lineRule="exact"/>
              <w:rPr>
                <w:sz w:val="20"/>
                <w:szCs w:val="20"/>
                <w:color w:val="auto"/>
              </w:rPr>
            </w:pPr>
            <w:r>
              <w:rPr>
                <w:rFonts w:ascii="Times New Roman" w:cs="Times New Roman" w:eastAsia="Times New Roman" w:hAnsi="Times New Roman"/>
                <w:sz w:val="18"/>
                <w:szCs w:val="18"/>
                <w:color w:val="auto"/>
              </w:rPr>
              <w:t>Total legacy Greenspring carried interest allocations</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(88,921)</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320" w:hanging="652"/>
        <w:spacing w:after="0" w:line="265"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three months ended December 31, 2023 and 2022 reflect the net effect of gross realized carried interest allocations of $0.1 million and $5.2 million, respectively, and the nine months ended December 31, 2023 and 2022 reflect the net effect of gross realized carried interest allocations of $26.0 million and $45.4 million, respectively, and the reversal of such amounts in unrealized carried interest allocations for such periods.</w:t>
      </w:r>
    </w:p>
    <w:p>
      <w:pPr>
        <w:spacing w:after="0" w:line="172"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The decrease in carried interest allocations for the three months ended December 31, 2023 was primarily attributable to net unrealized depreciation in the fair value of certain underlying investments in the Company’s private equity funds. The increase in carried interest allocations for the nine months ended December 31, 2023 was primarily attributable to net unrealized appreciation in the fair value of certain underlying investments in the Company’s private equity funds. The decrease in legacy Greenspring carried interest allocations for the three months ended December 31, 2023 was primarily attributable to net unrealized depreciation in the fair value of certain underlying fund investments. The increase in legacy Greenspring carried interest allocations for the nine months ended December 31, 2023 was primarily attributable to lower net unrealized depreciation in the fair value of certain underlying fund investments as compared to the nine months ended December 31, 2022. See note 2 for a discussion of the Company’s accounting policy for investments on a three-month lag.</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derives revenues from clients located in both the United States and other countries. The table below presents the</w:t>
      </w:r>
    </w:p>
    <w:p>
      <w:pPr>
        <w:spacing w:after="0"/>
        <w:rPr>
          <w:sz w:val="20"/>
          <w:szCs w:val="20"/>
          <w:color w:val="auto"/>
        </w:rPr>
      </w:pPr>
      <w:r>
        <w:rPr>
          <w:rFonts w:ascii="Times New Roman" w:cs="Times New Roman" w:eastAsia="Times New Roman" w:hAnsi="Times New Roman"/>
          <w:sz w:val="20"/>
          <w:szCs w:val="20"/>
          <w:color w:val="auto"/>
        </w:rPr>
        <w:t>Company’s revenues by geographic location: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(223,480)</w:t>
            </w:r>
          </w:p>
        </w:tc>
        <w:tc>
          <w:tcPr>
            <w:tcW w:w="0" w:type="dxa"/>
            <w:vAlign w:val="bottom"/>
          </w:tcPr>
          <w:p>
            <w:pPr>
              <w:spacing w:after="0"/>
              <w:rPr>
                <w:sz w:val="1"/>
                <w:szCs w:val="1"/>
                <w:color w:val="auto"/>
              </w:rPr>
            </w:pP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 countries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271,044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(16,468)</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460" w:hanging="652"/>
        <w:spacing w:after="0" w:line="260"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attributed to countries based on client location for SMAs and advisory and other services, or location of investment vehicle for focused commingled funds.</w:t>
      </w:r>
    </w:p>
    <w:p>
      <w:pPr>
        <w:spacing w:after="0" w:line="177"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For the three and nine months ended December 31, 2023 and 2022, no individual client represented 10% or more of the Company’s net management and advisory fees.</w:t>
      </w:r>
    </w:p>
    <w:p>
      <w:pPr>
        <w:spacing w:after="0" w:line="17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As of December 31, 2023 and March 31, 2023, the Company had $24.5 million and $21.6 million, respectively, of deferred revenues, which is included in accounts payable, accrued expenses and other liabilities in the condensed consolidated balance sheets. During the nine months ended December 31, 2023, the Company had recognized $3.6 million as revenue from amounts included in the deferred revenue balance as of March 31, 2023.</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Variable Interest Entities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Consolidated VIEs</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consolidates certain VIEs for which it is the primary beneficiary. Such VIEs consist of certain operating entities not wholly-owned by the Company (e.g., SPD, SRA and SRE), SPW, legacy Greenspring general partner entities and certain StepStone Funds. See note 2 for more information on the Company’s accounting policies related to the consolidation of VIEs. The assets of the consolidated VIEs totaled $965.0 million and $964.2 million as of December 31, 2023 and March 31, 2023, respectively. The liabilities of the consolidated VIEs totaled $592.2 million and $682.7 million as of December 31, 2023 and March 31, 2023,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December 31, 2023 and March 31, 2023, no material amounts previously distributed have been accrued for clawback liabilities.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Unconsolidated VIEs</w:t>
      </w:r>
    </w:p>
    <w:p>
      <w:pPr>
        <w:spacing w:after="0" w:line="233"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20"/>
          <w:szCs w:val="20"/>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152,658</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 net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subsidiaries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legacy Greenspring entities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145,738</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152,658</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exposure to loss</w:t>
            </w: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134,294</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124,772</w:t>
            </w:r>
          </w:p>
        </w:tc>
      </w:tr>
      <w:tr>
        <w:trPr>
          <w:trHeight w:val="20"/>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Investments</w:t>
      </w:r>
    </w:p>
    <w:p>
      <w:pPr>
        <w:spacing w:after="0" w:line="220"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9"/>
          <w:szCs w:val="19"/>
          <w:color w:val="auto"/>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in the condensed consolidated statements of income.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Method Investments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equity method investments consist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5"/>
        </w:trPr>
        <w:tc>
          <w:tcPr>
            <w:tcW w:w="814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Investments in funds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115,187</w:t>
            </w:r>
          </w:p>
        </w:tc>
      </w:tr>
      <w:tr>
        <w:trPr>
          <w:trHeight w:val="230"/>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1,203,847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1,227,173</w:t>
            </w:r>
          </w:p>
        </w:tc>
      </w:tr>
      <w:tr>
        <w:trPr>
          <w:trHeight w:val="229"/>
        </w:trPr>
        <w:tc>
          <w:tcPr>
            <w:tcW w:w="81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632,414</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770,652</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1,963,074</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2,113,012</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340" w:hanging="652"/>
        <w:spacing w:after="0" w:line="250"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investments in funds were $187.9 million and $147.5 million as of December 31, 2023 and March 31, 2023, respectively. The consolidation of the Consolidated Funds results in the elimination of the Company’s investments in such funds.</w:t>
      </w:r>
    </w:p>
    <w:p>
      <w:pPr>
        <w:ind w:left="660" w:right="420" w:hanging="652"/>
        <w:spacing w:after="0" w:line="260"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investments in funds of $145.7 million and $152.7 million and carried interest allocations of $486.7 million and $618.0 million as of December 31, 2023 and March 31, 2023, respectively.</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recognized equity method income (loss)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1"/>
        </w:trPr>
        <w:tc>
          <w:tcPr>
            <w:tcW w:w="5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Carried interest allocations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(241,699)</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(371,200)</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 loss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(32,927)</w:t>
            </w: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equity method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(188,268)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(145,615)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(104,691)</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(651,299)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As of December 31, 2023 and March 31, 2023, the Company’s investments in two SMAs each individually represented 10% or more of the total accrued carried interest allocations balance, and in the aggregate each represented approximately 24% of the total accrued carried interest allocations balance as of those dates. As of December 31, 2023 and March 31, 2023, the Company’s investments in two commingled funds each individually represented 10% or more of the total legacy Greenspring accrued carried interest allocations balance, and in the aggregate represented approximately 26% and 24%, respectively, of the total legacy Greenspring accrued carried interest allocations balances as of those dates.</w:t>
      </w:r>
    </w:p>
    <w:p>
      <w:pPr>
        <w:spacing w:after="0" w:line="192" w:lineRule="exact"/>
        <w:rPr>
          <w:sz w:val="20"/>
          <w:szCs w:val="20"/>
          <w:color w:val="auto"/>
        </w:rPr>
      </w:pPr>
    </w:p>
    <w:p>
      <w:pPr>
        <w:ind w:right="340" w:firstLine="648"/>
        <w:spacing w:after="0" w:line="251" w:lineRule="auto"/>
        <w:rPr>
          <w:sz w:val="20"/>
          <w:szCs w:val="20"/>
          <w:color w:val="auto"/>
        </w:rPr>
      </w:pPr>
      <w:r>
        <w:rPr>
          <w:rFonts w:ascii="Times New Roman" w:cs="Times New Roman" w:eastAsia="Times New Roman" w:hAnsi="Times New Roman"/>
          <w:sz w:val="20"/>
          <w:szCs w:val="20"/>
          <w:color w:val="auto"/>
        </w:rPr>
        <w:t>Of the total accrued carried interest allocations balance as of December 31, 2023 and March 31, 2023, $635.2 million and $644.5 million, respectively, were payable to affiliates and are included in accrued carried interest-related compensation in the condensed consolidated balance sheets. Of the total legacy Greenspring investments in funds and accrued carried interest allocations balance as of December 31, 2023 and March 31, 2023, $486.7 million and $618.0 million, respectively, were payable to employees who are considered affiliates of the Company and are included in legacy Greenspring accrued carried interest-related compensation in the condensed consolidated balance sheets and $145.7 million and $152.7 million, respectively, are reflected as non-controlling interests in legacy Greenspring entities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The Company evaluates each of its equity method investments to determine if any are considered significant as defined by the SEC. As of December 31, 2023 and March 31, 2023 and for the three and nine months ended December 31, 2023 and 2022, no individual equity method investment held by the Company met the significance criteria. As a result, the Company is not required to provide separate financial statements for any of its equity method investments.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 of Consolidated Funds</w:t>
      </w:r>
    </w:p>
    <w:p>
      <w:pPr>
        <w:spacing w:after="0" w:line="233" w:lineRule="exact"/>
        <w:rPr>
          <w:sz w:val="20"/>
          <w:szCs w:val="20"/>
          <w:color w:val="auto"/>
        </w:rPr>
      </w:pPr>
    </w:p>
    <w:p>
      <w:pPr>
        <w:ind w:right="920" w:firstLine="648"/>
        <w:spacing w:after="0" w:line="283" w:lineRule="auto"/>
        <w:rPr>
          <w:sz w:val="20"/>
          <w:szCs w:val="20"/>
          <w:color w:val="auto"/>
        </w:rPr>
      </w:pPr>
      <w:r>
        <w:rPr>
          <w:rFonts w:ascii="Times New Roman" w:cs="Times New Roman" w:eastAsia="Times New Roman" w:hAnsi="Times New Roman"/>
          <w:sz w:val="20"/>
          <w:szCs w:val="20"/>
          <w:color w:val="auto"/>
        </w:rPr>
        <w:t>The Company consolidates funds and entities when it is deemed to hold a controlling financial interest. The activity of the Consolidated Funds is reflected within the condensed consolidated financial statements.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Investments held by the Consolidated Funds are summarized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240" w:type="dxa"/>
            <w:vAlign w:val="bottom"/>
          </w:tcPr>
          <w:p>
            <w:pPr>
              <w:spacing w:after="0"/>
              <w:rPr>
                <w:sz w:val="18"/>
                <w:szCs w:val="18"/>
                <w:color w:val="auto"/>
              </w:rPr>
            </w:pPr>
          </w:p>
        </w:tc>
        <w:tc>
          <w:tcPr>
            <w:tcW w:w="290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Percentage of Total Investments as of</w:t>
            </w:r>
          </w:p>
        </w:tc>
        <w:tc>
          <w:tcPr>
            <w:tcW w:w="0" w:type="dxa"/>
            <w:vAlign w:val="bottom"/>
          </w:tcPr>
          <w:p>
            <w:pPr>
              <w:spacing w:after="0"/>
              <w:rPr>
                <w:sz w:val="1"/>
                <w:szCs w:val="1"/>
                <w:color w:val="auto"/>
              </w:rPr>
            </w:pPr>
          </w:p>
        </w:tc>
      </w:tr>
      <w:tr>
        <w:trPr>
          <w:trHeight w:val="158"/>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122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240" w:type="dxa"/>
            <w:vAlign w:val="bottom"/>
          </w:tcPr>
          <w:p>
            <w:pPr>
              <w:spacing w:after="0"/>
              <w:rPr>
                <w:sz w:val="13"/>
                <w:szCs w:val="13"/>
                <w:color w:val="auto"/>
              </w:rPr>
            </w:pPr>
          </w:p>
        </w:tc>
        <w:tc>
          <w:tcPr>
            <w:tcW w:w="158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32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58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securities (cost of $5.6 million and $— million as of</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and March 31, 2023, 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Partnership and LLC interests (cost of $73.2 million and $21.3 million as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December 31, 2023 and March 31, 2023, respectively)</w:t>
            </w: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104,185</w:t>
            </w:r>
          </w:p>
        </w:tc>
        <w:tc>
          <w:tcPr>
            <w:tcW w:w="2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investments of Consolidated Funds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109,822</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2023 and March 31, 2023, no individual investment had a fair value greater than 5% of the Company’s total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net realized and unrealized gains (losses) from investment activities of the Consolidated Funds: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40" w:type="dxa"/>
            <w:vAlign w:val="bottom"/>
          </w:tcPr>
          <w:p>
            <w:pPr>
              <w:spacing w:after="0"/>
              <w:rPr>
                <w:sz w:val="18"/>
                <w:szCs w:val="18"/>
                <w:color w:val="auto"/>
              </w:rPr>
            </w:pPr>
          </w:p>
        </w:tc>
        <w:tc>
          <w:tcPr>
            <w:tcW w:w="2580" w:type="dxa"/>
            <w:vAlign w:val="bottom"/>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233"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The Company measures certain assets and liabilities at fair value on a recurring basis. The following tables provide details regarding the classification of these assets and liabilities within the fair value hierarchy as of the dates presented: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the Company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41,279</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1"/>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Contingent consideration obligations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three and nine months ended December 31, 2023 and 2022.</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the Company are set forth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40" w:type="dxa"/>
            <w:vAlign w:val="bottom"/>
          </w:tcPr>
          <w:p>
            <w:pPr>
              <w:spacing w:after="0"/>
              <w:rPr>
                <w:sz w:val="18"/>
                <w:szCs w:val="18"/>
                <w:color w:val="auto"/>
              </w:rPr>
            </w:pPr>
          </w:p>
        </w:tc>
        <w:tc>
          <w:tcPr>
            <w:tcW w:w="2580" w:type="dxa"/>
            <w:vAlign w:val="bottom"/>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obligations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32,352</w:t>
            </w:r>
          </w:p>
        </w:tc>
        <w:tc>
          <w:tcPr>
            <w:tcW w:w="2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35,656</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37,473</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37,473</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Changes in unrealized losses included in earnings related to financial</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24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4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0" w:type="dxa"/>
            <w:vAlign w:val="bottom"/>
          </w:tcPr>
          <w:p>
            <w:pPr>
              <w:spacing w:after="0"/>
              <w:rPr>
                <w:sz w:val="1"/>
                <w:szCs w:val="1"/>
                <w:color w:val="auto"/>
              </w:rPr>
            </w:pPr>
          </w:p>
        </w:tc>
      </w:tr>
      <w:tr>
        <w:trPr>
          <w:trHeight w:val="221"/>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 still held at the reporting date</w:t>
            </w:r>
          </w:p>
        </w:tc>
        <w:tc>
          <w:tcPr>
            <w:tcW w:w="1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Contingent Consideration</w:t>
      </w:r>
    </w:p>
    <w:p>
      <w:pPr>
        <w:spacing w:after="0" w:line="233"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The fair value of the contingent consideration obligation liabilities is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obligation liabilities primarily relate to the future expected revenues and the discount rate applied to the expected future revenues and payments of obligations which was 7% as of December 31, 2023. The contingent consideration obligation liabilities are included in accounts payable, accrued expenses and other liabilities in the condensed consolidated balance sheets. Changes in the fair value of the liabilities are included in general, administrative and other expenses in the condensed consolidated statements of income.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Consolidated Funds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19,944</w:t>
            </w:r>
          </w:p>
        </w:tc>
      </w:tr>
      <w:tr>
        <w:trPr>
          <w:trHeight w:val="21"/>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As of March 31, 2023</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three and nine months ended December 31, 2023 and 2022.</w:t>
      </w:r>
    </w:p>
    <w:p>
      <w:pPr>
        <w:spacing w:after="0" w:line="14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Company generally values its investment funds, which are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December 31, 2023 and March 31, 2023, investments with a combined fair value of $89.9 million and $23.7 million, respectively, are excluded from presentation in the fair value hierarchy as the fair value of these investments were measured at net asset value. As of December 31, 2023 and March 31, 2023, investments with a combined fair value of $19.9 million and $6.9 million, respectively, were classified as Level III investments. The significant unobservable input used to value these investments classified as Level III are the discounts to recent transaction prices.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Consolidated Funds are set forth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40" w:type="dxa"/>
            <w:vAlign w:val="bottom"/>
          </w:tcPr>
          <w:p>
            <w:pPr>
              <w:spacing w:after="0"/>
              <w:rPr>
                <w:sz w:val="18"/>
                <w:szCs w:val="18"/>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1"/>
        </w:trPr>
        <w:tc>
          <w:tcPr>
            <w:tcW w:w="5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Partnership and LLC interests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2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Transfers into Level III</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Transfers out of Level III</w:t>
            </w:r>
          </w:p>
        </w:tc>
        <w:tc>
          <w:tcPr>
            <w:tcW w:w="1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w:t>
            </w:r>
          </w:p>
        </w:tc>
      </w:tr>
      <w:tr>
        <w:trPr>
          <w:trHeight w:val="21"/>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Intangibles and Goodwill</w:t>
      </w:r>
    </w:p>
    <w:p>
      <w:pPr>
        <w:spacing w:after="0" w:line="220" w:lineRule="exact"/>
        <w:rPr>
          <w:sz w:val="20"/>
          <w:szCs w:val="20"/>
          <w:color w:val="auto"/>
        </w:rPr>
      </w:pPr>
    </w:p>
    <w:p>
      <w:pPr>
        <w:ind w:right="980" w:firstLine="648"/>
        <w:spacing w:after="0" w:line="283" w:lineRule="auto"/>
        <w:rPr>
          <w:sz w:val="20"/>
          <w:szCs w:val="20"/>
          <w:color w:val="auto"/>
        </w:rPr>
      </w:pPr>
      <w:r>
        <w:rPr>
          <w:rFonts w:ascii="Times New Roman" w:cs="Times New Roman" w:eastAsia="Times New Roman" w:hAnsi="Times New Roman"/>
          <w:sz w:val="20"/>
          <w:szCs w:val="20"/>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consists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contracts</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agreements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(133,356)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(103,544)</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Intangible assets, net</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315,296</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354,645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Amortization expense related to intangible assets was $10.7 million and $10.9 million for the three months ended December 31, 2023 and 2022, respectively, and $32.0 million and $32.6 million for the nine months ended December 31, 2023 and 2022, respectively. These amounts are included in general, administrative and other expenses in the condensed consolidated statements of income.</w:t>
      </w:r>
    </w:p>
    <w:p>
      <w:pPr>
        <w:spacing w:after="0" w:line="18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On December 31, 2023, the Company completed the sale of 100% of the equity interests in Greenspring Back Office Solutions, LLC (“GBOS”) in exchange for a secured promissory note in the amount of $8.4 million to be received by the Company over approximately six years. GBOS was acquired by the Company as part of the Greenspring Acquisition and was primarily engaged in the business of providing fund administration services for a select number of third-party managed venture capital funds as well as the Company’s venture capital focused commingled funds and separately managed accounts (together, the “venture funds”). The GBOS team comprised 42 employees as of December 31, 2023. GBOS was sold to a newly formed, independent entity owned by a number of former employees of GBOS, and renamed Viridis Fund Solutions, LLC (“Viridis”). Viridis is expected to continue to perform fund administration services for the Company’s venture funds as well as for its own current and future third-party clients. The results of GBOS’s operations have been included in the condensed consolidated financial statements through December 31, 2023. In the three months ended December 31, 2023, the Company recorded a net charge in the amount of $0.8 million related to the sale of GBOS, including service agreements intangibles related to GBOS of $7.4 million, which is included in other income (loss)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9800" w:type="dxa"/>
            <w:vAlign w:val="bottom"/>
          </w:tcPr>
          <w:p>
            <w:pPr>
              <w:jc w:val="center"/>
              <w:ind w:left="1368"/>
              <w:spacing w:after="0"/>
              <w:rPr>
                <w:sz w:val="20"/>
                <w:szCs w:val="20"/>
                <w:color w:val="auto"/>
              </w:rPr>
            </w:pPr>
            <w:r>
              <w:rPr>
                <w:rFonts w:ascii="Times New Roman" w:cs="Times New Roman" w:eastAsia="Times New Roman" w:hAnsi="Times New Roman"/>
                <w:sz w:val="20"/>
                <w:szCs w:val="20"/>
                <w:b w:val="1"/>
                <w:bCs w:val="1"/>
                <w:color w:val="auto"/>
                <w:w w:val="98"/>
              </w:rPr>
              <w:t>StepStone Group Inc.</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2"/>
        </w:trPr>
        <w:tc>
          <w:tcPr>
            <w:tcW w:w="9800" w:type="dxa"/>
            <w:vAlign w:val="bottom"/>
          </w:tcPr>
          <w:p>
            <w:pPr>
              <w:jc w:val="center"/>
              <w:ind w:left="1348"/>
              <w:spacing w:after="0"/>
              <w:rPr>
                <w:sz w:val="20"/>
                <w:szCs w:val="20"/>
                <w:color w:val="auto"/>
              </w:rPr>
            </w:pPr>
            <w:r>
              <w:rPr>
                <w:rFonts w:ascii="Times New Roman" w:cs="Times New Roman" w:eastAsia="Times New Roman" w:hAnsi="Times New Roman"/>
                <w:sz w:val="20"/>
                <w:szCs w:val="20"/>
                <w:b w:val="1"/>
                <w:bCs w:val="1"/>
                <w:color w:val="auto"/>
                <w:w w:val="98"/>
              </w:rPr>
              <w:t>Notes to Condensed Consolidated Financial Statements (Unaudited)</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8"/>
        </w:trPr>
        <w:tc>
          <w:tcPr>
            <w:tcW w:w="9800" w:type="dxa"/>
            <w:vAlign w:val="bottom"/>
          </w:tcPr>
          <w:p>
            <w:pPr>
              <w:jc w:val="center"/>
              <w:ind w:left="1368"/>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73"/>
        </w:trPr>
        <w:tc>
          <w:tcPr>
            <w:tcW w:w="9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At December 31, 2023, the expected future amortization of finite-lived intangible assets is as follows: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1"/>
        </w:trPr>
        <w:tc>
          <w:tcPr>
            <w:tcW w:w="9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FY2024</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FY2025</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41,001</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40,776</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141,526</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315,296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260" w:firstLine="648"/>
        <w:spacing w:after="0" w:line="283" w:lineRule="auto"/>
        <w:rPr>
          <w:sz w:val="20"/>
          <w:szCs w:val="20"/>
          <w:color w:val="auto"/>
        </w:rPr>
      </w:pPr>
      <w:r>
        <w:rPr>
          <w:rFonts w:ascii="Times New Roman" w:cs="Times New Roman" w:eastAsia="Times New Roman" w:hAnsi="Times New Roman"/>
          <w:sz w:val="20"/>
          <w:szCs w:val="20"/>
          <w:color w:val="auto"/>
        </w:rPr>
        <w:t>The carrying value of goodwill was $580.5 million as of December 31, 2023 and March 31, 2023. The Company determined there was no indication of goodwill impairment as of December 31, 2023 and March 31,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Debt Obligations</w:t>
      </w:r>
    </w:p>
    <w:p>
      <w:pPr>
        <w:spacing w:after="0" w:line="23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The Company is party to a credit agreement, as amended in April 2023, with various lenders (the “Credit Agreement”) that was arranged by JPMorgan Chase Bank, N.A., as the administrative agent, and provides for a $225.0 million multicurrency revolving credit facility (the “Revolver”) with a five-year maturity. As of December 31, 2023, the Company had $123.7 million outstanding on the Revolver, net of debt issuance costs.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debt obligations consist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Pr>
          <w:p>
            <w:pPr>
              <w:spacing w:after="0"/>
              <w:rPr>
                <w:sz w:val="19"/>
                <w:szCs w:val="19"/>
                <w:color w:val="auto"/>
              </w:rPr>
            </w:pPr>
          </w:p>
        </w:tc>
        <w:tc>
          <w:tcPr>
            <w:tcW w:w="1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The Company may designate each borrowing as (i) in the case of any borrowing in U.S. dollars, a base rate loan or a Term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December 31, 2023 was 7.48%.</w:t>
      </w:r>
    </w:p>
    <w:p>
      <w:pPr>
        <w:spacing w:after="0" w:line="20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4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81"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As of December 31, 2023, the Company was in compliance with the total net leverage ratio and minimum fee-earning assets under management covenants.</w:t>
      </w:r>
    </w:p>
    <w:p>
      <w:pPr>
        <w:spacing w:after="0" w:line="19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The Company can use available funding capacity under the Revolver to satisfy letters of credit in amounts up to $10.0 million. Amounts used to satisfy the letters of credit reduce the available capacity under the Revolver. As of December 31, 2023, the Company had outstanding letters of credit totaling $8.0 million.</w:t>
      </w:r>
    </w:p>
    <w:p>
      <w:pPr>
        <w:spacing w:after="0" w:line="16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Equity-Based Compensation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RSUs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Date Fair Value Per 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22.46</w:t>
            </w: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center"/>
              <w:ind w:left="1313"/>
              <w:spacing w:after="0"/>
              <w:rPr>
                <w:sz w:val="20"/>
                <w:szCs w:val="20"/>
                <w:color w:val="auto"/>
              </w:rPr>
            </w:pPr>
            <w:r>
              <w:rPr>
                <w:rFonts w:ascii="Times New Roman" w:cs="Times New Roman" w:eastAsia="Times New Roman" w:hAnsi="Times New Roman"/>
                <w:sz w:val="18"/>
                <w:szCs w:val="18"/>
                <w:color w:val="auto"/>
                <w:w w:val="98"/>
              </w:rPr>
              <w:t>31.66</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24.66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Unvested Partnership Units</w:t>
      </w:r>
    </w:p>
    <w:p>
      <w:pPr>
        <w:spacing w:after="0" w:line="23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All Class B2 units will automatically convert into Class B units upon final vesting in 2024 and unitholders will be entitled to purchase from the Company one share of Class B common stock for each Class B unit at its par value. Prior to vesting, holders of Class B2 units do not have the right to receive any distributions from the Partnership, other than tax-related distributions.</w:t>
      </w:r>
    </w:p>
    <w:p>
      <w:pPr>
        <w:spacing w:after="0" w:line="18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As of December 31, 2023, there were 2,566,566 Class B2 units outstanding. During the nine months ended December 31, 2023, none of the outstanding Class B2 units were forfeited. As of December 31, 2023, 299,433 Class B2 units were unvested and 2,267,133 Class B2 units were vested.</w:t>
      </w:r>
    </w:p>
    <w:p>
      <w:pPr>
        <w:spacing w:after="0" w:line="168" w:lineRule="exact"/>
        <w:rPr>
          <w:sz w:val="20"/>
          <w:szCs w:val="20"/>
          <w:color w:val="auto"/>
        </w:rPr>
      </w:pPr>
    </w:p>
    <w:p>
      <w:pPr>
        <w:ind w:right="760" w:firstLine="648"/>
        <w:spacing w:after="0" w:line="283" w:lineRule="auto"/>
        <w:rPr>
          <w:sz w:val="20"/>
          <w:szCs w:val="20"/>
          <w:color w:val="auto"/>
        </w:rPr>
      </w:pPr>
      <w:r>
        <w:rPr>
          <w:rFonts w:ascii="Times New Roman" w:cs="Times New Roman" w:eastAsia="Times New Roman" w:hAnsi="Times New Roman"/>
          <w:sz w:val="20"/>
          <w:szCs w:val="20"/>
          <w:color w:val="auto"/>
        </w:rPr>
        <w:t>As of December 31, 2023, $27.3 million of unrecognized non-cash compensation expense in respect of equity-based awards remained to be recognized over a weighted-average period of approximately 3.7 years.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Liability Classified Awards</w:t>
      </w:r>
    </w:p>
    <w:p>
      <w:pPr>
        <w:spacing w:after="0" w:line="233" w:lineRule="exact"/>
        <w:rPr>
          <w:sz w:val="20"/>
          <w:szCs w:val="20"/>
          <w:color w:val="auto"/>
        </w:rPr>
      </w:pPr>
    </w:p>
    <w:p>
      <w:pPr>
        <w:jc w:val="both"/>
        <w:ind w:right="220" w:firstLine="648"/>
        <w:spacing w:after="0" w:line="271" w:lineRule="auto"/>
        <w:rPr>
          <w:sz w:val="20"/>
          <w:szCs w:val="20"/>
          <w:color w:val="auto"/>
        </w:rPr>
      </w:pPr>
      <w:r>
        <w:rPr>
          <w:rFonts w:ascii="Times New Roman" w:cs="Times New Roman" w:eastAsia="Times New Roman" w:hAnsi="Times New Roman"/>
          <w:sz w:val="19"/>
          <w:szCs w:val="19"/>
          <w:color w:val="auto"/>
        </w:rPr>
        <w:t>The Company recognized $5.8 million and $3.8 million during the three months ended December 31, 2023 and 2022, respectively, and $10.8 million and $3.8 million during the nine months ended December 31, 2023 and 2022, respectively, of expense related to the fair value of liability classified awards within equity-based compensation expense in the condensed consolidated statements of income. For the three and nine months ended December 31, 2023 and 2022, no amounts were paid related to the settlement of liability classified awards.</w:t>
      </w:r>
    </w:p>
    <w:p>
      <w:pPr>
        <w:spacing w:after="0" w:line="1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33"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20"/>
          <w:szCs w:val="20"/>
          <w:color w:val="auto"/>
        </w:rPr>
        <w:t>The Company made payments of $2.6 million and $1.1 million during the three months ended December 31, 2023 and 2022, respectively, and $10.3 million and $6.0 million during the nine months ended December 31, 2023 and 2022, respectively, under the Tax Receivable Agreements. As of December 31, 2023, the Company’s total Tax Receivable Agreements liability was $195.9 million. See note 12 for more information.</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Company’s effective tax rate was 3.0% and 5.1% for the three months ended December 31, 2023 and 2022, respectively, and 15.5% and 6.3% for the nine months ended December 31, 2023 and 2022, respectively. The Company’s overall effective tax rate in each of the periods described above is less than the statutory rate as a portion of income was allocated to non-controlling interests and the tax liability on such income is borne by the holders of non-controlling interests. For the three months ended December 31, 2023 as compared to the three months ended December 31, 2022, the primary rate difference was due to a decrease in tax expense associated with income allocated to non-controlling interests, partially offset by an increase in tax expense related to return to provision adjustments. For the nine months ended December 31, 2023 and 2022, the primary rate difference was due to the Company recognizing pre-tax net income for the nine months ended December 31, 2023 as compared to the Company recognizing pre-tax net loss for the nine months ended December 31, 2022. Additionally, there was an increase in foreign tax expense for the nine months ended December 31, 2023.</w:t>
      </w:r>
    </w:p>
    <w:p>
      <w:pPr>
        <w:spacing w:after="0" w:line="176"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146"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As of December 31, 2023, the Company has not recorded any unrecognized tax benefits and does not expect there to be any material changes to uncertain tax positions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Basic and diluted earnings per share of Class A common stock are presented for the three and nine months ended December 31, 2023 and 2022. The following table sets forth reconciliations of the numerators and denominators used to compute basic and diluted earnings per share of Class A common stock: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40" w:type="dxa"/>
            <w:vAlign w:val="bottom"/>
          </w:tcPr>
          <w:p>
            <w:pPr>
              <w:spacing w:after="0"/>
              <w:rPr>
                <w:sz w:val="20"/>
                <w:szCs w:val="20"/>
                <w:color w:val="auto"/>
              </w:rPr>
            </w:pPr>
          </w:p>
        </w:tc>
        <w:tc>
          <w:tcPr>
            <w:tcW w:w="31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StepStone Group Inc.</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0" w:type="dxa"/>
            <w:vAlign w:val="bottom"/>
          </w:tcPr>
          <w:p>
            <w:pPr>
              <w:spacing w:after="0"/>
              <w:rPr>
                <w:sz w:val="1"/>
                <w:szCs w:val="1"/>
                <w:color w:val="auto"/>
              </w:rPr>
            </w:pPr>
          </w:p>
        </w:tc>
      </w:tr>
      <w:tr>
        <w:trPr>
          <w:trHeight w:val="230"/>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Incremental income from assumed vesting of RSUs</w:t>
            </w: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24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Incremental income from assumed vesting and</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exchange of Class B2 units</w:t>
            </w:r>
          </w:p>
        </w:tc>
        <w:tc>
          <w:tcPr>
            <w:tcW w:w="2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2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StepStone Group Inc.</w:t>
            </w: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100" w:type="dxa"/>
            <w:vAlign w:val="bottom"/>
          </w:tcPr>
          <w:p>
            <w:pPr>
              <w:spacing w:after="0"/>
              <w:rPr>
                <w:sz w:val="17"/>
                <w:szCs w:val="17"/>
                <w:color w:val="auto"/>
              </w:rPr>
            </w:pPr>
          </w:p>
        </w:tc>
        <w:tc>
          <w:tcPr>
            <w:tcW w:w="38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8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0" w:type="dxa"/>
            <w:vAlign w:val="bottom"/>
          </w:tcPr>
          <w:p>
            <w:pPr>
              <w:spacing w:after="0"/>
              <w:rPr>
                <w:sz w:val="1"/>
                <w:szCs w:val="1"/>
                <w:color w:val="auto"/>
              </w:rPr>
            </w:pPr>
          </w:p>
        </w:tc>
      </w:tr>
      <w:tr>
        <w:trPr>
          <w:trHeight w:val="226"/>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Diluted</w:t>
            </w:r>
          </w:p>
        </w:tc>
        <w:tc>
          <w:tcPr>
            <w:tcW w:w="26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outstanding – Basic</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64,068,952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62,192,899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63,255,604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61,583,215</w:t>
            </w:r>
          </w:p>
        </w:tc>
        <w:tc>
          <w:tcPr>
            <w:tcW w:w="0" w:type="dxa"/>
            <w:vAlign w:val="bottom"/>
          </w:tcPr>
          <w:p>
            <w:pPr>
              <w:spacing w:after="0"/>
              <w:rPr>
                <w:sz w:val="1"/>
                <w:szCs w:val="1"/>
                <w:color w:val="auto"/>
              </w:rPr>
            </w:pPr>
          </w:p>
        </w:tc>
      </w:tr>
      <w:tr>
        <w:trPr>
          <w:trHeight w:val="230"/>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and exchange of Class B2 units</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2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64,068,952</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62,192,899</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66,299,982</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61,583,215</w:t>
            </w:r>
          </w:p>
        </w:tc>
        <w:tc>
          <w:tcPr>
            <w:tcW w:w="0" w:type="dxa"/>
            <w:vAlign w:val="bottom"/>
          </w:tcPr>
          <w:p>
            <w:pPr>
              <w:spacing w:after="0"/>
              <w:rPr>
                <w:sz w:val="1"/>
                <w:szCs w:val="1"/>
                <w:color w:val="auto"/>
              </w:rPr>
            </w:pPr>
          </w:p>
        </w:tc>
      </w:tr>
      <w:tr>
        <w:trPr>
          <w:trHeight w:val="221"/>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outstanding – Diluted</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34"/>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9"/>
          <w:szCs w:val="19"/>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6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1" w:lineRule="exact"/>
        <w:rPr>
          <w:sz w:val="20"/>
          <w:szCs w:val="20"/>
          <w:color w:val="auto"/>
        </w:rPr>
      </w:pPr>
    </w:p>
    <w:p>
      <w:pPr>
        <w:ind w:right="500" w:firstLine="648"/>
        <w:spacing w:after="0" w:line="254" w:lineRule="auto"/>
        <w:rPr>
          <w:sz w:val="20"/>
          <w:szCs w:val="20"/>
          <w:color w:val="auto"/>
        </w:rPr>
      </w:pPr>
      <w:r>
        <w:rPr>
          <w:rFonts w:ascii="Times New Roman" w:cs="Times New Roman" w:eastAsia="Times New Roman" w:hAnsi="Times New Roman"/>
          <w:sz w:val="20"/>
          <w:szCs w:val="20"/>
          <w:color w:val="auto"/>
        </w:rPr>
        <w:t>The calculation of diluted earnings per share excludes 46,314,543 Class B units and 1,962,131 Class C units of the Partnership outstanding as of December 31, 2023, and 46,420,141 Class B units and 2,514,085 Class C units of the Partnership outstanding as of December 31, 2022, which are exchangeable into Class A common stock under the if-converted method, as the inclusion of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As the Company was in a net loss position for the three months ended December 31, 2023, the calculation of diluted earnings per share excludes potential shares of Class A common stock for 1,153,640 outstanding RSUs, 2,566,566 Class B2 units and 23,417 Class B units issuable pursuant to anti-dilution rights in connection with the vesting of Class B2 units that are convertible into Class A common stock under the if-converted method, as the inclusion of such shares would be anti-dilutive.</w:t>
      </w:r>
    </w:p>
    <w:p>
      <w:pPr>
        <w:spacing w:after="0" w:line="17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As the Company was in a net loss position for the three and nine months ended December 31, 2022, the calculation of diluted earnings per share excludes potential shares of Class A common stock for 1,471,982 outstanding RSUs, 2,566,566 Class B2 units and 23,417 Class B units issuable pursuant to anti-dilution rights in connection with the vesting of Class B2 units that are convertible into Class A common stock under the if-converted method, as the inclusion of such shares would be anti-dilutive.</w:t>
      </w:r>
    </w:p>
    <w:p>
      <w:pPr>
        <w:spacing w:after="0" w:line="18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Related Party Transactions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considers its senior executives, employees and equity method investments to be related parties. A substantial portion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 Company’s management and advisory fees and carried interest allocations is earned from various StepStone Funds that are considered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method investments. The Company earned net management and advisory fees from the StepStone Funds of $100.8 million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$88.4 million for the three months ended December 31, 2023 and 2022, respectively, and $289.8 million and $245.9 million for the nine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months ended December 31, 2023 and 2022, respectively. Carried interest allocation revenues earned from the StepStone Funds totaled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$(114.3) million and $(47.0) million for the three months ended December 31, 2023 and 2022, respectively, and $6.5 million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$(241.7) million for the nine months ended December 31, 2023 and 2022, respectively. Legacy Greenspring carried interest allocation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revenues earned from certain legacy Greenspring funds for which the Company has no direct economic interests totaled $(69.7) million and</w:t>
      </w:r>
    </w:p>
    <w:p>
      <w:pPr>
        <w:spacing w:after="0" w:line="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$(88.9) million for the three months ended December 31, 2023 and 2022, respectively, and $(106.3) million and $(371.2) million for the nine months ended December 31, 2023 and 2022, respectively.</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Due from affiliates in the condensed consolidated balance sheets consists primarily of fees and accounts receivable from the</w:t>
      </w:r>
    </w:p>
    <w:p>
      <w:pPr>
        <w:spacing w:after="0" w:line="2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9"/>
          <w:szCs w:val="19"/>
          <w:color w:val="auto"/>
        </w:rPr>
        <w:t>StepStone Funds, advances made on behalf of the StepStone Funds for the payment of certain organization and operating costs and expenses for which the Company is subsequently reimbursed, amounts due from employees and loans due from affiliated entities, as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StepStone Funds</w:t>
            </w: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33,813</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receivable from employees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loans</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from affiliates</w:t>
            </w: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64,021</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54,322</w:t>
            </w:r>
          </w:p>
        </w:tc>
      </w:tr>
      <w:tr>
        <w:trPr>
          <w:trHeight w:val="20"/>
        </w:trPr>
        <w:tc>
          <w:tcPr>
            <w:tcW w:w="8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20"/>
          <w:szCs w:val="20"/>
          <w:color w:val="auto"/>
        </w:rPr>
        <w:t>Due to affiliates in the condensed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payable to non-controlling interest holders in connection with Tax Receivable Agreements</w:t>
            </w: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195,912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payable to StepStone Funds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payable to certain employee equity holders of consolidated subsidiaries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to affiliates</w:t>
            </w: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202,225</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205,424</w:t>
            </w:r>
          </w:p>
        </w:tc>
      </w:tr>
      <w:tr>
        <w:trPr>
          <w:trHeight w:val="20"/>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700" w:firstLine="648"/>
        <w:spacing w:after="0" w:line="261" w:lineRule="auto"/>
        <w:rPr>
          <w:sz w:val="20"/>
          <w:szCs w:val="20"/>
          <w:color w:val="auto"/>
        </w:rPr>
      </w:pPr>
      <w:r>
        <w:rPr>
          <w:rFonts w:ascii="Times New Roman" w:cs="Times New Roman" w:eastAsia="Times New Roman" w:hAnsi="Times New Roman"/>
          <w:sz w:val="20"/>
          <w:szCs w:val="20"/>
          <w:color w:val="auto"/>
        </w:rPr>
        <w:t>The Company made payments of $2.6 million and $1.1 million during the three months ended December 31, 2023 and 2022, respectively, and $10.3 million and $6.0 million for the nine months ended December 31, 2023 and 2022, respectively, under the Tax Receivable Agreements.</w:t>
      </w:r>
    </w:p>
    <w:p>
      <w:pPr>
        <w:spacing w:after="0" w:line="164" w:lineRule="exact"/>
        <w:rPr>
          <w:sz w:val="20"/>
          <w:szCs w:val="20"/>
          <w:color w:val="auto"/>
        </w:rPr>
      </w:pPr>
    </w:p>
    <w:p>
      <w:pPr>
        <w:ind w:left="660" w:right="5320" w:hanging="652"/>
        <w:spacing w:after="0" w:line="481" w:lineRule="auto"/>
        <w:tabs>
          <w:tab w:leader="none" w:pos="457"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and Redeemable Non-Controlling Interests Stockholders’ Equity</w:t>
      </w: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Class C limited partnership interests of the Partnership have substantially the same rights and obligations as are applicable to the existing holders of Class B units of the Partnership. The Company has no ownership interest in the Class C units, which are held by certain employees of the Company. The Company has entered into an agreement with the Class C limited partners of the Partnership (the “Class C Exchange Agreement”) to allow for the exchange of Class C units to shares of Class A common stock of the Company on a one-for-one basis, subject to certain restrictions.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a rollforward of the Company’s shares of common stock outstanding since March 31, 2023:</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62,834,791</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46,420,141</w:t>
            </w: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B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105,598</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(105,598)</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C partnership units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551,954</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2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issued for vesting of RSUs, net of shares withheld for</w:t>
            </w: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43"/>
        </w:trPr>
        <w:tc>
          <w:tcPr>
            <w:tcW w:w="6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employee taxes</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576,609</w:t>
            </w:r>
          </w:p>
        </w:tc>
        <w:tc>
          <w:tcPr>
            <w:tcW w:w="140" w:type="dxa"/>
            <w:vAlign w:val="bottom"/>
            <w:tcBorders>
              <w:bottom w:val="single" w:sz="8" w:color="CCEEFF"/>
            </w:tcBorders>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64,068,952</w:t>
            </w: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46,314,543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The Company has 25,000,000 authorized shares of preferred stock, par value of $0.001 per share, and as of December 31, 2023, no shares of preferred stock were issued or outstanding.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9"/>
          <w:szCs w:val="19"/>
          <w:color w:val="auto"/>
        </w:rPr>
        <w:t>In September 2023, the Company issued 105,598 shares of Class A common stock to certain limited partners of the Partnership in exchange for 105,598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The Company also issued 551,954 shares of Class A common stock to certain limited partners of the Partnership in exchange for 551,954 Class C units in accordance with the elective exchange notices submitted pursuant to the Class C Exchange Agreement and a corresponding number of Class A units of the Partnership were issued to the Company.</w:t>
      </w:r>
    </w:p>
    <w:p>
      <w:pPr>
        <w:spacing w:after="0" w:line="18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In October 2023, SRA completed a transaction to repurchase limited partnership interests in SRA from a certain limited partner for approximately $11.1 million, and subsequently sold such interests to certain employees of SRA for approximately $11.1 million, resulting in no net proceeds to SRA. The transaction did not result in a change in the economic ownership percentage held in SRA by the Company.</w:t>
      </w:r>
    </w:p>
    <w:p>
      <w:pPr>
        <w:spacing w:after="0" w:line="181" w:lineRule="exact"/>
        <w:rPr>
          <w:sz w:val="20"/>
          <w:szCs w:val="20"/>
          <w:color w:val="auto"/>
        </w:rPr>
      </w:pPr>
    </w:p>
    <w:p>
      <w:pPr>
        <w:jc w:val="both"/>
        <w:ind w:right="500" w:firstLine="648"/>
        <w:spacing w:after="0" w:line="261" w:lineRule="auto"/>
        <w:rPr>
          <w:sz w:val="20"/>
          <w:szCs w:val="20"/>
          <w:color w:val="auto"/>
        </w:rPr>
      </w:pPr>
      <w:r>
        <w:rPr>
          <w:rFonts w:ascii="Times New Roman" w:cs="Times New Roman" w:eastAsia="Times New Roman" w:hAnsi="Times New Roman"/>
          <w:sz w:val="20"/>
          <w:szCs w:val="20"/>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68"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61"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On November 6, 2023, the Company announced a quarterly cash dividend of $0.21 per share of Class A common stock, which was paid on December 15, 2023 to holders of record at the close of business on November 30, 2023.</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Redeemable Non-Controlling Interests</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Consolidated Funds: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78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0" w:type="dxa"/>
            <w:vAlign w:val="bottom"/>
          </w:tcPr>
          <w:p>
            <w:pPr>
              <w:spacing w:after="0"/>
              <w:rPr>
                <w:sz w:val="20"/>
                <w:szCs w:val="20"/>
                <w:color w:val="auto"/>
              </w:rPr>
            </w:pPr>
          </w:p>
        </w:tc>
        <w:tc>
          <w:tcPr>
            <w:tcW w:w="32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39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76,076</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76,076</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w:t>
            </w:r>
          </w:p>
        </w:tc>
      </w:tr>
      <w:tr>
        <w:trPr>
          <w:trHeight w:val="21"/>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December 31, 2023.</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 Commitments</w:t>
      </w:r>
    </w:p>
    <w:p>
      <w:pPr>
        <w:spacing w:after="0" w:line="220" w:lineRule="exact"/>
        <w:rPr>
          <w:sz w:val="20"/>
          <w:szCs w:val="20"/>
          <w:color w:val="auto"/>
        </w:rPr>
      </w:pPr>
    </w:p>
    <w:p>
      <w:pPr>
        <w:ind w:right="480" w:firstLine="648"/>
        <w:spacing w:after="0" w:line="268" w:lineRule="auto"/>
        <w:rPr>
          <w:sz w:val="20"/>
          <w:szCs w:val="20"/>
          <w:color w:val="auto"/>
        </w:rPr>
      </w:pPr>
      <w:r>
        <w:rPr>
          <w:rFonts w:ascii="Times New Roman" w:cs="Times New Roman" w:eastAsia="Times New Roman" w:hAnsi="Times New Roman"/>
          <w:sz w:val="20"/>
          <w:szCs w:val="20"/>
          <w:color w:val="auto"/>
        </w:rPr>
        <w:t>The Company leases offices in 27 cities in North America, South America, Europe, Asia and Australia, and certain equipment subject to operating lease agreements expiring through 2039, some of which may include options to extend or terminate the lease. As of December 31, 2023, there were no finance leases outstanding.</w:t>
      </w:r>
    </w:p>
    <w:p>
      <w:pPr>
        <w:spacing w:after="0" w:line="161"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0"/>
          <w:szCs w:val="20"/>
          <w:color w:val="auto"/>
        </w:rPr>
        <w:t>In November 2023, the Company executed an agreement to lease office space in a new location for its San Francisco office. The office space is currently being built out and the Company expects to gain access to the office space in March 2024. At that time, the Company will establish a ROU asset and lease liability for the new lease. Upon lease commencement, total future lease payments are expected to be approximately $3.2 million over approximately 7 years.</w:t>
      </w:r>
    </w:p>
    <w:p>
      <w:pPr>
        <w:spacing w:after="0" w:line="186"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The components of lease expense included in general, administrative and other expenses in the condensed consolidated statements of income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76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396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(1)(2)</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23"/>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w:t>
            </w:r>
          </w:p>
        </w:tc>
      </w:tr>
      <w:tr>
        <w:trPr>
          <w:trHeight w:val="20"/>
        </w:trPr>
        <w:tc>
          <w:tcPr>
            <w:tcW w:w="3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an immaterial amount of short-term leases.</w:t>
      </w:r>
    </w:p>
    <w:p>
      <w:pPr>
        <w:spacing w:after="0" w:line="9" w:lineRule="exact"/>
        <w:rPr>
          <w:rFonts w:ascii="Times New Roman" w:cs="Times New Roman" w:eastAsia="Times New Roman" w:hAnsi="Times New Roman"/>
          <w:sz w:val="18"/>
          <w:szCs w:val="18"/>
          <w:color w:val="auto"/>
        </w:rPr>
      </w:pPr>
    </w:p>
    <w:p>
      <w:pPr>
        <w:ind w:left="660" w:right="580" w:hanging="652"/>
        <w:spacing w:after="0" w:line="260"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gain of $0.1 million for the three months ended December 31, 2023, and $0.1 million and $2.7 million, respectively, for the nine months ended December 31, 2023 and 2022 related to lease remeasurement adjustments due to a reduction in lease terms.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Supplemental cash flow information related to leases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64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76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9,851</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7,448</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 (in years)</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9840" w:type="dxa"/>
            <w:vAlign w:val="bottom"/>
          </w:tcPr>
          <w:p>
            <w:pPr>
              <w:jc w:val="center"/>
              <w:ind w:left="1329"/>
              <w:spacing w:after="0"/>
              <w:rPr>
                <w:sz w:val="20"/>
                <w:szCs w:val="20"/>
                <w:color w:val="auto"/>
              </w:rPr>
            </w:pPr>
            <w:r>
              <w:rPr>
                <w:rFonts w:ascii="Times New Roman" w:cs="Times New Roman" w:eastAsia="Times New Roman" w:hAnsi="Times New Roman"/>
                <w:sz w:val="20"/>
                <w:szCs w:val="20"/>
                <w:b w:val="1"/>
                <w:bCs w:val="1"/>
                <w:color w:val="auto"/>
                <w:w w:val="98"/>
              </w:rPr>
              <w:t>StepStone Group Inc.</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2"/>
        </w:trPr>
        <w:tc>
          <w:tcPr>
            <w:tcW w:w="9840" w:type="dxa"/>
            <w:vAlign w:val="bottom"/>
          </w:tcPr>
          <w:p>
            <w:pPr>
              <w:jc w:val="center"/>
              <w:ind w:left="1309"/>
              <w:spacing w:after="0"/>
              <w:rPr>
                <w:sz w:val="20"/>
                <w:szCs w:val="20"/>
                <w:color w:val="auto"/>
              </w:rPr>
            </w:pPr>
            <w:r>
              <w:rPr>
                <w:rFonts w:ascii="Times New Roman" w:cs="Times New Roman" w:eastAsia="Times New Roman" w:hAnsi="Times New Roman"/>
                <w:sz w:val="20"/>
                <w:szCs w:val="20"/>
                <w:b w:val="1"/>
                <w:bCs w:val="1"/>
                <w:color w:val="auto"/>
                <w:w w:val="98"/>
              </w:rPr>
              <w:t>Notes to Condensed Consolidated Financial Statements (Unaudited)</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8"/>
        </w:trPr>
        <w:tc>
          <w:tcPr>
            <w:tcW w:w="9840" w:type="dxa"/>
            <w:vAlign w:val="bottom"/>
          </w:tcPr>
          <w:p>
            <w:pPr>
              <w:jc w:val="center"/>
              <w:ind w:left="132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673"/>
        </w:trPr>
        <w:tc>
          <w:tcPr>
            <w:tcW w:w="9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As of December 31, 2023, maturities of operating lease liabilities were as follows: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7"/>
        </w:trPr>
        <w:tc>
          <w:tcPr>
            <w:tcW w:w="9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FY2024</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FY2025</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FY2026</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14,876</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98,744</w:t>
            </w:r>
          </w:p>
        </w:tc>
      </w:tr>
      <w:tr>
        <w:trPr>
          <w:trHeight w:val="223"/>
        </w:trPr>
        <w:tc>
          <w:tcPr>
            <w:tcW w:w="9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160,380</w:t>
            </w:r>
          </w:p>
        </w:tc>
      </w:tr>
      <w:tr>
        <w:trPr>
          <w:trHeight w:val="229"/>
        </w:trPr>
        <w:tc>
          <w:tcPr>
            <w:tcW w:w="9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(41,937)</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118,443</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Unfunded Capital Commitments</w:t>
      </w:r>
    </w:p>
    <w:p>
      <w:pPr>
        <w:spacing w:after="0" w:line="23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As of December 31, 2023 and March 31, 2023, the Company, generally in its capacity as general partner or managing member of the StepStone Funds, had unfunded commitments totaling $96.1 million and $88.7 million, respectively. The $96.1 million and $88.7 million of unfunded commitments as of December 31, 2023 and March 31, 2023, respectively, exclude $46.2 million and $50.6 million, respectively, related to commitments held by general partner entities for certain funds in which the Company does not hold any direct economic interests, including the legacy Greenspring funds.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Carried Interest Allocations</w:t>
      </w:r>
    </w:p>
    <w:p>
      <w:pPr>
        <w:spacing w:after="0" w:line="22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December 31, 2023 and March 31, 2023, no material amounts for potential clawback obligations had been accrued. This contingent obligation is normally reduced by income taxes that the Company has paid related to the carried interest allocations. As of December 31, 2023, the maximum amount of carried interest allocations (excluding legacy Greenspring carried interest allocations) attributable to the Company subject to contingent repayment was an estimated $278.7 million, net of tax, assuming the fair value of all investments was zero, a possibility that the Company views as remote.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Indemnification Arrangements</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December 31, 2023 and March 31, 2023. Based on past experience, management believes that the risk of loss related to these indemnities is remote.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2" w:name="page43"/>
    <w:bookmarkEnd w:id="42"/>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Subsequent Events</w:t>
      </w:r>
    </w:p>
    <w:p>
      <w:pPr>
        <w:spacing w:after="0" w:line="233"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On February 8, 2024, the Company announced a quarterly cash dividend of $0.21 per share of Class A common stock, payable on March 15, 2024 to holders of record as of the close of business on February 29, 2024.</w:t>
      </w:r>
    </w:p>
    <w:p>
      <w:pPr>
        <w:spacing w:after="0" w:line="17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SSG (or its subsidiary, in the case of the agreement with SPD) entered into agreements (the “Transaction Agreements”) with SRA, SRE and SPD (the “Asset Class Entities”), their respective asset class heads as seller representatives, and the seller parties signatory thereto. The Transaction Agreements provide a path to the Company owning all of the outstanding equity interests of the Asset Class Entities over a defined period of time.</w:t>
      </w:r>
    </w:p>
    <w:p>
      <w:pPr>
        <w:spacing w:after="0" w:line="172"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20"/>
          <w:szCs w:val="20"/>
          <w:color w:val="auto"/>
        </w:rPr>
        <w:t>The Transaction Agreements provide for, among other things and subject to the terms and conditions therein, the exchange of the sellers’ equity interests in the Asset Class Entities, as applicable, for a combination of (i) newly created Class D equity interests in the Partnership with terms substantially similar to the Partnership’s existing Class C Units, in the case of SRE and SRA, or shares of the Company’s Class A common stock, in the case of SPD and (ii) cash, in up to ten annual exchanges (increased to up to fifteen annual exchanges in certain circumstances in case of the sellers of SRA equity interests).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50" w:right="439" w:bottom="1440" w:gutter="0" w:footer="0" w:header="0"/>
        </w:sectPr>
      </w:pPr>
    </w:p>
    <w:bookmarkStart w:id="43" w:name="page44"/>
    <w:bookmarkEnd w:id="43"/>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2023 filed with the SEC. In this quarterly report, references to “we,” “us,” “our,” “StepStone” and similar terms refer to SSG and its consolidated subsidiaries, including the Partnership.</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December 31, 2023, we were responsible for approximately $659 billion of total capital, including $149 billion of AUM and $510 billion of AUA.</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27 cities across 16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December 31, 2023, we had approximately 980 total employees, including 340 investment professionals and approximately 640 employees across our operating team and implementation teams dedicated to sourcing, executing, analyzing and monitoring private markets opportunities.</w:t>
      </w:r>
    </w:p>
    <w:p>
      <w:pPr>
        <w:spacing w:after="0" w:line="176"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42" w:lineRule="exact"/>
        <w:rPr>
          <w:sz w:val="20"/>
          <w:szCs w:val="20"/>
          <w:color w:val="auto"/>
        </w:rPr>
      </w:pPr>
    </w:p>
    <w:p>
      <w:pPr>
        <w:ind w:left="660" w:right="80" w:hanging="328"/>
        <w:spacing w:after="0" w:line="260"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Separately managed accounts (“SMAs”)</w:t>
      </w:r>
      <w:r>
        <w:rPr>
          <w:rFonts w:ascii="Times New Roman" w:cs="Times New Roman" w:eastAsia="Times New Roman" w:hAnsi="Times New Roman"/>
          <w:sz w:val="20"/>
          <w:szCs w:val="20"/>
          <w:color w:val="000000"/>
        </w:rPr>
        <w:t>. Owned by one client and managed according to their specific preferences, SMAs integrate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$89 billion of our AUM as of December 31, 2023</w:t>
      </w:r>
      <w:r>
        <w:rPr>
          <w:rFonts w:ascii="Times New Roman" w:cs="Times New Roman" w:eastAsia="Times New Roman" w:hAnsi="Times New Roman"/>
          <w:sz w:val="20"/>
          <w:szCs w:val="20"/>
          <w:color w:val="231F20"/>
        </w:rPr>
        <w:t>.</w:t>
      </w:r>
    </w:p>
    <w:p>
      <w:pPr>
        <w:spacing w:after="0" w:line="177" w:lineRule="exact"/>
        <w:rPr>
          <w:rFonts w:ascii="Times New Roman" w:cs="Times New Roman" w:eastAsia="Times New Roman" w:hAnsi="Times New Roman"/>
          <w:sz w:val="20"/>
          <w:szCs w:val="20"/>
          <w:color w:val="auto"/>
        </w:rPr>
      </w:pPr>
    </w:p>
    <w:p>
      <w:pPr>
        <w:ind w:left="660" w:right="200" w:hanging="328"/>
        <w:spacing w:after="0" w:line="273"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Focused commingled funds. </w:t>
      </w:r>
      <w:r>
        <w:rPr>
          <w:rFonts w:ascii="Times New Roman" w:cs="Times New Roman" w:eastAsia="Times New Roman" w:hAnsi="Times New Roman"/>
          <w:sz w:val="20"/>
          <w:szCs w:val="20"/>
          <w:color w:val="231F20"/>
        </w:rPr>
        <w:t>Owned by multiple clients, our focused commingled funds deploy capital in specific asset classes with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defined investment strategies. Focused commingled funds comprised $46 billion of our AUM as of </w:t>
      </w:r>
      <w:r>
        <w:rPr>
          <w:rFonts w:ascii="Times New Roman" w:cs="Times New Roman" w:eastAsia="Times New Roman" w:hAnsi="Times New Roman"/>
          <w:sz w:val="20"/>
          <w:szCs w:val="20"/>
          <w:color w:val="000000"/>
        </w:rPr>
        <w:t>December 31, 2023</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31" w:lineRule="exact"/>
        <w:rPr>
          <w:sz w:val="20"/>
          <w:szCs w:val="20"/>
          <w:color w:val="auto"/>
        </w:rPr>
      </w:pPr>
    </w:p>
    <w:p>
      <w:pPr>
        <w:ind w:left="660" w:right="40" w:hanging="328"/>
        <w:spacing w:after="0" w:line="270" w:lineRule="auto"/>
        <w:tabs>
          <w:tab w:leader="none" w:pos="648"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231F20"/>
        </w:rPr>
        <w:t xml:space="preserve">Advisory and data services. </w:t>
      </w:r>
      <w:r>
        <w:rPr>
          <w:rFonts w:ascii="Times New Roman" w:cs="Times New Roman" w:eastAsia="Times New Roman" w:hAnsi="Times New Roman"/>
          <w:sz w:val="19"/>
          <w:szCs w:val="19"/>
          <w:color w:val="231F20"/>
        </w:rPr>
        <w:t>These services include one or more of the following for our clients: (i) recurring support of portfolio</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xml:space="preserve">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StepStone Private Markets Intelligence (“SPI”) Research and our other proprietary tools. Advisory relationships comprised </w:t>
      </w:r>
      <w:r>
        <w:rPr>
          <w:rFonts w:ascii="Times New Roman" w:cs="Times New Roman" w:eastAsia="Times New Roman" w:hAnsi="Times New Roman"/>
          <w:sz w:val="19"/>
          <w:szCs w:val="19"/>
          <w:color w:val="000000"/>
        </w:rPr>
        <w:t>$510 billion</w:t>
      </w:r>
      <w:r>
        <w:rPr>
          <w:rFonts w:ascii="Times New Roman" w:cs="Times New Roman" w:eastAsia="Times New Roman" w:hAnsi="Times New Roman"/>
          <w:sz w:val="19"/>
          <w:szCs w:val="19"/>
          <w:color w:val="231F20"/>
        </w:rPr>
        <w:t xml:space="preserve"> of our AUA and $15 billion of our AUM as of </w:t>
      </w:r>
      <w:r>
        <w:rPr>
          <w:rFonts w:ascii="Times New Roman" w:cs="Times New Roman" w:eastAsia="Times New Roman" w:hAnsi="Times New Roman"/>
          <w:sz w:val="19"/>
          <w:szCs w:val="19"/>
          <w:color w:val="000000"/>
        </w:rPr>
        <w:t>December 31, 2023</w:t>
      </w:r>
      <w:r>
        <w:rPr>
          <w:rFonts w:ascii="Times New Roman" w:cs="Times New Roman" w:eastAsia="Times New Roman" w:hAnsi="Times New Roman"/>
          <w:sz w:val="19"/>
          <w:szCs w:val="19"/>
          <w:color w:val="231F20"/>
        </w:rPr>
        <w:t>.</w:t>
      </w:r>
    </w:p>
    <w:p>
      <w:pPr>
        <w:spacing w:after="0" w:line="172" w:lineRule="exact"/>
        <w:rPr>
          <w:rFonts w:ascii="Times New Roman" w:cs="Times New Roman" w:eastAsia="Times New Roman" w:hAnsi="Times New Roman"/>
          <w:sz w:val="19"/>
          <w:szCs w:val="19"/>
          <w:color w:val="auto"/>
        </w:rPr>
      </w:pPr>
    </w:p>
    <w:p>
      <w:pPr>
        <w:ind w:left="660" w:right="60" w:hanging="328"/>
        <w:spacing w:after="0" w:line="254"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Portfolio analytics and reporting. </w:t>
      </w:r>
      <w:r>
        <w:rPr>
          <w:rFonts w:ascii="Times New Roman" w:cs="Times New Roman" w:eastAsia="Times New Roman" w:hAnsi="Times New Roman"/>
          <w:sz w:val="20"/>
          <w:szCs w:val="20"/>
          <w:color w:val="231F20"/>
        </w:rPr>
        <w:t>We provide clients with tailored reporting packages, including customized performance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benchmarks as well as associated compliance, administrative and tax capabilities. Mandates for portfolio analytics and reporting services typically include licensed access to our proprietary performance monitoring software, SPI Reporting. SPI Reporting tracked detailed information on over $1,015 billion of client commitments as of </w:t>
      </w:r>
      <w:r>
        <w:rPr>
          <w:rFonts w:ascii="Times New Roman" w:cs="Times New Roman" w:eastAsia="Times New Roman" w:hAnsi="Times New Roman"/>
          <w:sz w:val="20"/>
          <w:szCs w:val="20"/>
          <w:color w:val="000000"/>
        </w:rPr>
        <w:t>December 31, 2023</w:t>
      </w:r>
      <w:r>
        <w:rPr>
          <w:rFonts w:ascii="Times New Roman" w:cs="Times New Roman" w:eastAsia="Times New Roman" w:hAnsi="Times New Roman"/>
          <w:sz w:val="20"/>
          <w:szCs w:val="20"/>
          <w:color w:val="231F20"/>
        </w:rPr>
        <w:t>, inclusive of our total capital responsibility, previously exited investments and investments of former clients.</w:t>
      </w:r>
    </w:p>
    <w:p>
      <w:pPr>
        <w:spacing w:after="0" w:line="191"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20"/>
          <w:szCs w:val="20"/>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3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9"/>
          <w:szCs w:val="19"/>
          <w:color w:val="auto"/>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231F20"/>
        </w:rPr>
        <w:t>In addition to these macroeconomic trends and market factors, we believe our future performance will be influenced by the following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factors:</w:t>
      </w:r>
    </w:p>
    <w:p>
      <w:pPr>
        <w:spacing w:after="0" w:line="196" w:lineRule="exact"/>
        <w:rPr>
          <w:sz w:val="20"/>
          <w:szCs w:val="20"/>
          <w:color w:val="auto"/>
        </w:rPr>
      </w:pPr>
    </w:p>
    <w:p>
      <w:pPr>
        <w:ind w:left="660" w:hanging="328"/>
        <w:spacing w:after="0" w:line="254"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The extent to which clients favor private markets investments. </w:t>
      </w:r>
      <w:r>
        <w:rPr>
          <w:rFonts w:ascii="Times New Roman" w:cs="Times New Roman" w:eastAsia="Times New Roman" w:hAnsi="Times New Roman"/>
          <w:sz w:val="20"/>
          <w:szCs w:val="20"/>
          <w:color w:val="231F20"/>
        </w:rPr>
        <w:t>Our ability to attract new capital is partially dependent on clients’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86" w:lineRule="exact"/>
        <w:rPr>
          <w:rFonts w:ascii="Times New Roman" w:cs="Times New Roman" w:eastAsia="Times New Roman" w:hAnsi="Times New Roman"/>
          <w:sz w:val="20"/>
          <w:szCs w:val="20"/>
          <w:color w:val="auto"/>
        </w:rPr>
      </w:pPr>
    </w:p>
    <w:p>
      <w:pPr>
        <w:ind w:left="660" w:hanging="328"/>
        <w:spacing w:after="0" w:line="254"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generate strong, stable returns. </w:t>
      </w:r>
      <w:r>
        <w:rPr>
          <w:rFonts w:ascii="Times New Roman" w:cs="Times New Roman" w:eastAsia="Times New Roman" w:hAnsi="Times New Roman"/>
          <w:sz w:val="20"/>
          <w:szCs w:val="20"/>
          <w:color w:val="231F20"/>
        </w:rPr>
        <w:t>Our ability to raise and retain capital is partially dependent on the investment returns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31" w:lineRule="exact"/>
        <w:rPr>
          <w:sz w:val="20"/>
          <w:szCs w:val="20"/>
          <w:color w:val="auto"/>
        </w:rPr>
      </w:pPr>
    </w:p>
    <w:p>
      <w:pPr>
        <w:ind w:left="660" w:right="40" w:hanging="328"/>
        <w:spacing w:after="0" w:line="254"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maintain our data advantage relative to competitors. </w:t>
      </w:r>
      <w:r>
        <w:rPr>
          <w:rFonts w:ascii="Times New Roman" w:cs="Times New Roman" w:eastAsia="Times New Roman" w:hAnsi="Times New Roman"/>
          <w:sz w:val="20"/>
          <w:szCs w:val="20"/>
          <w:color w:val="231F20"/>
        </w:rPr>
        <w:t>Our proprietary data and technology platforms, analytical tools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87" w:lineRule="exact"/>
        <w:rPr>
          <w:rFonts w:ascii="Times New Roman" w:cs="Times New Roman" w:eastAsia="Times New Roman" w:hAnsi="Times New Roman"/>
          <w:sz w:val="20"/>
          <w:szCs w:val="20"/>
          <w:color w:val="auto"/>
        </w:rPr>
      </w:pPr>
    </w:p>
    <w:p>
      <w:pPr>
        <w:ind w:left="660" w:hanging="328"/>
        <w:spacing w:after="0" w:line="254"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source investments with attractive risk-adjusted returns. </w:t>
      </w:r>
      <w:r>
        <w:rPr>
          <w:rFonts w:ascii="Times New Roman" w:cs="Times New Roman" w:eastAsia="Times New Roman" w:hAnsi="Times New Roman"/>
          <w:sz w:val="20"/>
          <w:szCs w:val="20"/>
          <w:color w:val="231F20"/>
        </w:rPr>
        <w:t>The continued growth in our revenues is dependent on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72" w:lineRule="exact"/>
        <w:rPr>
          <w:rFonts w:ascii="Times New Roman" w:cs="Times New Roman" w:eastAsia="Times New Roman" w:hAnsi="Times New Roman"/>
          <w:sz w:val="20"/>
          <w:szCs w:val="20"/>
          <w:color w:val="auto"/>
        </w:rPr>
      </w:pPr>
    </w:p>
    <w:p>
      <w:pPr>
        <w:ind w:left="660" w:right="20" w:hanging="328"/>
        <w:spacing w:after="0" w:line="258"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Increased competition and clients’ desire to work with fewer managers. </w:t>
      </w:r>
      <w:r>
        <w:rPr>
          <w:rFonts w:ascii="Times New Roman" w:cs="Times New Roman" w:eastAsia="Times New Roman" w:hAnsi="Times New Roman"/>
          <w:sz w:val="20"/>
          <w:szCs w:val="20"/>
          <w:color w:val="231F20"/>
        </w:rPr>
        <w:t>There has been an increasing desire on the part of larger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In 2023, signs of slowing inflation coupled with a strong labor market contributed to a rebound in financial markets despite banking system volatility as recession fears receded in anticipation that interest rates may not rise as much as previously expected. </w:t>
      </w:r>
      <w:r>
        <w:rPr>
          <w:rFonts w:ascii="Times New Roman" w:cs="Times New Roman" w:eastAsia="Times New Roman" w:hAnsi="Times New Roman"/>
          <w:sz w:val="20"/>
          <w:szCs w:val="20"/>
          <w:color w:val="000000"/>
        </w:rPr>
        <w:t>For calendar 2023,</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most financial markets posted positive returns, despite ongoing concerns of a sustained period of higher interest rates, slowing economic growth and moderated job gains.</w:t>
      </w:r>
    </w:p>
    <w:p>
      <w:pPr>
        <w:spacing w:after="0" w:line="18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 xml:space="preserve">We are continuing to closely monitor developments related to inflation, rising interest rates, the ongoing Russia-Ukraine conflict, banking system volatility, </w:t>
      </w:r>
      <w:r>
        <w:rPr>
          <w:rFonts w:ascii="Times New Roman" w:cs="Times New Roman" w:eastAsia="Times New Roman" w:hAnsi="Times New Roman"/>
          <w:sz w:val="20"/>
          <w:szCs w:val="20"/>
          <w:color w:val="000000"/>
        </w:rPr>
        <w:t>the Israel-Hamas conflict and the geopolitical responses thereto</w:t>
      </w:r>
      <w:r>
        <w:rPr>
          <w:rFonts w:ascii="Times New Roman" w:cs="Times New Roman" w:eastAsia="Times New Roman" w:hAnsi="Times New Roman"/>
          <w:sz w:val="20"/>
          <w:szCs w:val="20"/>
          <w:color w:val="231F20"/>
        </w:rPr>
        <w:t>, and to assess the impact on financial markets and on our business. Our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w:t>
      </w:r>
      <w:r>
        <w:rPr>
          <w:rFonts w:ascii="Times New Roman" w:cs="Times New Roman" w:eastAsia="Times New Roman" w:hAnsi="Times New Roman"/>
          <w:sz w:val="20"/>
          <w:szCs w:val="20"/>
          <w:color w:val="000000"/>
        </w:rPr>
        <w:t>t is currently not possible to predict the ultimate effects of</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these events on the financial markets, overall economy and our condensed consolidated financial statements. See “Risk Factors—Risks Related to Our Industry—Difficult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 and “Risk Factors—Banking system volatility may adversely affect the results and financial condition of the StepStone Funds or StepStone generally” included in our annual report on Form 10-K for the fiscal year ended March 31, 2023.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34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Corporate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Greenspring Back Office Solutions Transaction</w:t>
      </w: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On December 31, 2023, we completed the sale of 100% of the equity interests in Greenspring Back Office Solutions, LLC (“GBOS”) in exchange for a secured promissory note in the amount of $8.4 million to be received by us over approximately six years. GBOS was acquired by us as part of the Greenspring Acquisition and was primarily engaged in the business of providing fund administration services for a select number of third-party managed venture capital funds as well as the Company’s venture capital focused commingled funds and separately managed accounts (together, the “venture funds”). The GBOS team comprised 42 employees as of December 31, 2023. GBOS was sold to a newly formed, independent entity owned by a number of former employees of GBOS, and renamed Viridis Fund Solutions, LLC (“Viridis”). Viridis is expected to continue to perform fund administration services for our venture funds as well as for its current and future third-party clients. The results of GBOS’s operations have been included in the condensed consolidated financial statements through December 31, 2023.</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September 2023, we issued 105,598 shares of Class A common stock to certain limited partners of the Partnership in exchange for</w:t>
      </w:r>
    </w:p>
    <w:p>
      <w:pPr>
        <w:spacing w:after="0" w:line="4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105,598 Class B units in accordance with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 On the same date, we also issued 551,954 shares of Class A common stock to certain limited partners of the Partnership in exchange for 551,954 Class C units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 A corresponding number of Class A units of the Partnership were issued to 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3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and Class C units held by partners of the Partnership in our consolidated financial statements.</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Pursuant to the StepStone Limited Partnership Agreement, the Class B Exchange Agreement and Class C Exchange Agreement that SSG and the Partnership entered into with partners holding Class B units and Class C units of the Partnership, respectively, each Class B unit or Class C unit is exchangeable for one share of SSG’s Class A common stock or, at SSG’s election, for cash, subject to certain restrictions specified in the relevant exchange agreement. When a Class B unit or Class C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units.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diagram below illustrates our organizational structure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160020</wp:posOffset>
            </wp:positionV>
            <wp:extent cx="5452110" cy="2691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sum to 100% due to rounding.</w:t>
      </w:r>
    </w:p>
    <w:p>
      <w:pPr>
        <w:spacing w:after="0" w:line="225"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 of the Partnership other than StepStone Group Inc. are: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which holds a 100% general partner interest and no economic interests;</w:t>
      </w:r>
    </w:p>
    <w:p>
      <w:pPr>
        <w:spacing w:after="0" w:line="9" w:lineRule="exact"/>
        <w:rPr>
          <w:rFonts w:ascii="Times New Roman" w:cs="Times New Roman" w:eastAsia="Times New Roman" w:hAnsi="Times New Roman"/>
          <w:sz w:val="18"/>
          <w:szCs w:val="18"/>
          <w:color w:val="auto"/>
        </w:rPr>
      </w:pPr>
    </w:p>
    <w:p>
      <w:pPr>
        <w:ind w:left="1300" w:right="200" w:hanging="644"/>
        <w:spacing w:after="0" w:line="250" w:lineRule="auto"/>
        <w:tabs>
          <w:tab w:leader="none" w:pos="12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employee owners and outside investors, all of whom own Class B units and an equivalent number of shares of Class B common stock;</w:t>
      </w:r>
    </w:p>
    <w:p>
      <w:pPr>
        <w:ind w:left="1300" w:hanging="644"/>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and employees who own Class B2 units;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C units.</w:t>
      </w:r>
    </w:p>
    <w:p>
      <w:pPr>
        <w:spacing w:after="0" w:line="9" w:lineRule="exact"/>
        <w:rPr>
          <w:rFonts w:ascii="Times New Roman" w:cs="Times New Roman" w:eastAsia="Times New Roman" w:hAnsi="Times New Roman"/>
          <w:sz w:val="18"/>
          <w:szCs w:val="18"/>
          <w:color w:val="auto"/>
        </w:rPr>
      </w:pPr>
    </w:p>
    <w:p>
      <w:pPr>
        <w:ind w:left="660" w:right="40" w:hanging="652"/>
        <w:spacing w:after="0" w:line="250"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40" w:hanging="652"/>
        <w:spacing w:after="0" w:line="255"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pacing w:after="0" w:line="1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December 31, 2023 the Sunset Holders collectively maintained direct or indirect beneficial ownership of approximately 30.8% of the Class A common stock (determined assuming all outstanding Class B units have been exchanged for Class A common stock) and approximately 56.1% of the aggregate voting power of our outstanding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8" w:name="page49"/>
    <w:bookmarkEnd w:id="48"/>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generate revenues primarily from management and advisory fees, incentive fees and allocations of carried interest.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 xml:space="preserve">Management and advisory fees, net, consist of fees received from managing SMAs and focused commingled funds, advisory, data and administrative services, and portfolio analytics and reporting. Management fees include income-based incentive fees, which are predictable and recurring in nature and paid quarterly based on net investment income of certain funds that are regulated as a business development company (“BDC”). </w:t>
      </w:r>
      <w:r>
        <w:rPr>
          <w:rFonts w:ascii="Times New Roman" w:cs="Times New Roman" w:eastAsia="Times New Roman" w:hAnsi="Times New Roman"/>
          <w:sz w:val="20"/>
          <w:szCs w:val="20"/>
          <w:color w:val="000000"/>
        </w:rPr>
        <w:t>Capital gains-based incentive fees from BDC funds are recognized as performance fees. There have been no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capital-gains based incentive fees recognized to date.</w:t>
      </w:r>
    </w:p>
    <w:p>
      <w:pPr>
        <w:spacing w:after="0" w:line="192" w:lineRule="exact"/>
        <w:rPr>
          <w:sz w:val="20"/>
          <w:szCs w:val="20"/>
          <w:color w:val="auto"/>
        </w:rPr>
      </w:pPr>
    </w:p>
    <w:p>
      <w:pPr>
        <w:ind w:left="660" w:right="20" w:hanging="328"/>
        <w:spacing w:after="0" w:line="271" w:lineRule="auto"/>
        <w:tabs>
          <w:tab w:leader="none" w:pos="64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0.40% and 0.40% of average FEAUM for the twelve months ended December 31, 2022 and 2023, respectively.</w:t>
      </w:r>
    </w:p>
    <w:p>
      <w:pPr>
        <w:spacing w:after="0" w:line="174" w:lineRule="exact"/>
        <w:rPr>
          <w:rFonts w:ascii="Times New Roman" w:cs="Times New Roman" w:eastAsia="Times New Roman" w:hAnsi="Times New Roman"/>
          <w:sz w:val="19"/>
          <w:szCs w:val="19"/>
          <w:color w:val="auto"/>
        </w:rPr>
      </w:pPr>
    </w:p>
    <w:p>
      <w:pPr>
        <w:ind w:left="660" w:hanging="328"/>
        <w:spacing w:after="0" w:line="253"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0.80% and 0.90% of average FEAUM for the twelve months ended December 31, 2022 and 2023, respectively, and primarily reflected the timing of new funds, and shifts in asset class mix.</w:t>
      </w:r>
    </w:p>
    <w:p>
      <w:pPr>
        <w:spacing w:after="0" w:line="178" w:lineRule="exact"/>
        <w:rPr>
          <w:rFonts w:ascii="Times New Roman" w:cs="Times New Roman" w:eastAsia="Times New Roman" w:hAnsi="Times New Roman"/>
          <w:sz w:val="20"/>
          <w:szCs w:val="20"/>
          <w:color w:val="auto"/>
        </w:rPr>
      </w:pPr>
    </w:p>
    <w:p>
      <w:pPr>
        <w:ind w:left="660" w:right="140" w:hanging="328"/>
        <w:spacing w:after="0" w:line="268"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The weighted-average management fee rate across SMAs and focused commingled funds was approximately 0.54% and 0.58% of average FEAUM for the twelve months ended December 31, 2022 and 2023, respectively, and primarily reflected the timing of new funds and shifts in mix between SMAs and focused commingled funds.</w:t>
      </w:r>
    </w:p>
    <w:p>
      <w:pPr>
        <w:spacing w:after="0" w:line="161" w:lineRule="exact"/>
        <w:rPr>
          <w:rFonts w:ascii="Times New Roman" w:cs="Times New Roman" w:eastAsia="Times New Roman" w:hAnsi="Times New Roman"/>
          <w:sz w:val="20"/>
          <w:szCs w:val="20"/>
          <w:color w:val="auto"/>
        </w:rPr>
      </w:pPr>
    </w:p>
    <w:p>
      <w:pPr>
        <w:ind w:left="660" w:right="40" w:hanging="328"/>
        <w:spacing w:after="0" w:line="257" w:lineRule="auto"/>
        <w:tabs>
          <w:tab w:leader="none" w:pos="648"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Fee revenues from advisory, StepStone Portfolio Analytics &amp; Reporting (“SPAR”), SPI Research or administrative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5" w:lineRule="exact"/>
        <w:rPr>
          <w:sz w:val="20"/>
          <w:szCs w:val="20"/>
          <w:color w:val="auto"/>
        </w:rPr>
      </w:pPr>
    </w:p>
    <w:p>
      <w:pPr>
        <w:ind w:left="660" w:hanging="328"/>
        <w:spacing w:after="0" w:line="258"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6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Performance Fees</w:t>
      </w:r>
    </w:p>
    <w:p>
      <w:pPr>
        <w:spacing w:after="0" w:line="233"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20"/>
          <w:szCs w:val="20"/>
          <w:color w:val="auto"/>
        </w:rPr>
        <w:t>We earn two types of performance fee revenues: incentive fees and carried interest allocations, as described below. As of December 31, 2023, we had over $70 billion of performance fee-eligible capital (excluding certain legacy Greenspring funds) across over 200 programs.</w:t>
      </w:r>
    </w:p>
    <w:p>
      <w:pPr>
        <w:spacing w:after="0" w:line="17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Incentive fees </w:t>
      </w:r>
      <w:r>
        <w:rPr>
          <w:rFonts w:ascii="Times New Roman" w:cs="Times New Roman" w:eastAsia="Times New Roman" w:hAnsi="Times New Roman"/>
          <w:sz w:val="20"/>
          <w:szCs w:val="20"/>
          <w:color w:val="231F20"/>
        </w:rPr>
        <w:t>comprise fees earned from certain client investment mandates for which we do not have a general partnership interest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 a StepStone Fund. Incentive fees 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9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231F20"/>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8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Carried interest allocations </w:t>
      </w:r>
      <w:r>
        <w:rPr>
          <w:rFonts w:ascii="Times New Roman" w:cs="Times New Roman" w:eastAsia="Times New Roman" w:hAnsi="Times New Roman"/>
          <w:sz w:val="20"/>
          <w:szCs w:val="20"/>
          <w:color w:val="231F20"/>
        </w:rPr>
        <w:t>include the allocation of performance-based fees, commonly referred to as carried interest, to us from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limited partners in the StepStone Funds in 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31"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19"/>
          <w:szCs w:val="19"/>
          <w:i w:val="1"/>
          <w:iCs w:val="1"/>
          <w:color w:val="231F20"/>
        </w:rPr>
        <w:t xml:space="preserve">Legacy Greenspring carried interest allocations </w:t>
      </w:r>
      <w:r>
        <w:rPr>
          <w:rFonts w:ascii="Times New Roman" w:cs="Times New Roman" w:eastAsia="Times New Roman" w:hAnsi="Times New Roman"/>
          <w:sz w:val="19"/>
          <w:szCs w:val="19"/>
          <w:color w:val="231F20"/>
        </w:rPr>
        <w:t>include the allocation of carried interest to legacy Greenspring general partner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w:t>
      </w:r>
    </w:p>
    <w:p>
      <w:pPr>
        <w:spacing w:after="0" w:line="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231F20"/>
        </w:rPr>
        <w:t>interest allocations in respect of such legacy Greenspring funds are payable to employees who are considered affiliates to us and are therefore reflected as legacy Greenspring performance fee-related compensation in the consolidated statements of income.</w:t>
      </w:r>
    </w:p>
    <w:p>
      <w:pPr>
        <w:spacing w:after="0" w:line="20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20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December 31, 2023 and March 31, 2023, no material amounts for potential clawback obligations had been accrued.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primarily includes salaries, bonuses, employee benefits and employer-related payroll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 related awards or arrangements to certain employees and directors.</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Performance fee-related compensation </w:t>
      </w:r>
      <w:r>
        <w:rPr>
          <w:rFonts w:ascii="Times New Roman" w:cs="Times New Roman" w:eastAsia="Times New Roman" w:hAnsi="Times New Roman"/>
          <w:sz w:val="20"/>
          <w:szCs w:val="20"/>
          <w:color w:val="auto"/>
        </w:rPr>
        <w:t>represents the portion of carried interest allocation revenue and incentive fees that have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awarded to employees as a form of long-term incentive compensation. Performance fee-related compensation is generally tied to the investment performance of the StepStone Funds. </w:t>
      </w:r>
      <w:r>
        <w:rPr>
          <w:rFonts w:ascii="Times New Roman" w:cs="Times New Roman" w:eastAsia="Times New Roman" w:hAnsi="Times New Roman"/>
          <w:sz w:val="20"/>
          <w:szCs w:val="20"/>
          <w:color w:val="231F20"/>
        </w:rPr>
        <w:t>Approximately 50% of carried interest allocation revenue is awarded to employees as part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Carried interest-related compensation expense also</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3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Legacy Greenspring performance fee-related compensation </w:t>
      </w:r>
      <w:r>
        <w:rPr>
          <w:rFonts w:ascii="Times New Roman" w:cs="Times New Roman" w:eastAsia="Times New Roman" w:hAnsi="Times New Roman"/>
          <w:sz w:val="20"/>
          <w:szCs w:val="20"/>
          <w:color w:val="auto"/>
        </w:rPr>
        <w:t>represents the legacy Greenspring carried interest allocations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entirely payable to certain employees. Legacy Greenspring </w:t>
      </w:r>
      <w:r>
        <w:rPr>
          <w:rFonts w:ascii="Times New Roman" w:cs="Times New Roman" w:eastAsia="Times New Roman" w:hAnsi="Times New Roman"/>
          <w:sz w:val="20"/>
          <w:szCs w:val="20"/>
          <w:color w:val="231F20"/>
        </w:rPr>
        <w:t>carried interest-related compensation is accounted for as compensation expense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General, administrative and other </w:t>
      </w:r>
      <w:r>
        <w:rPr>
          <w:rFonts w:ascii="Times New Roman" w:cs="Times New Roman" w:eastAsia="Times New Roman" w:hAnsi="Times New Roman"/>
          <w:sz w:val="20"/>
          <w:szCs w:val="20"/>
          <w:color w:val="auto"/>
        </w:rPr>
        <w:t>includes occupancy, travel and related costs, insurance, legal and other professional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amortization of intangible assets, system-related costs, and other general costs associated with operating our business. Beginning in the quarter ended December 31, 2022, general, administrative and other includes costs associated with the Consolidated Funds. Expenses of the Consolidated Funds have no impact on net income or loss attributable to us to the extent such expenses are borne by third-party investors.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1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Investment income (loss) </w:t>
      </w:r>
      <w:r>
        <w:rPr>
          <w:rFonts w:ascii="Times New Roman" w:cs="Times New Roman" w:eastAsia="Times New Roman" w:hAnsi="Times New Roman"/>
          <w:sz w:val="20"/>
          <w:szCs w:val="20"/>
          <w:color w:val="231F20"/>
        </w:rPr>
        <w:t>primarily represents our share of earnings (losses) from the investments we make in our SMAs and focused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231F20"/>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177" w:lineRule="exact"/>
        <w:rPr>
          <w:sz w:val="20"/>
          <w:szCs w:val="20"/>
          <w:color w:val="auto"/>
        </w:rPr>
      </w:pPr>
    </w:p>
    <w:p>
      <w:pPr>
        <w:ind w:right="460"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 xml:space="preserve">Legacy Greenspring investment income (loss) </w:t>
      </w:r>
      <w:r>
        <w:rPr>
          <w:rFonts w:ascii="Times New Roman" w:cs="Times New Roman" w:eastAsia="Times New Roman" w:hAnsi="Times New Roman"/>
          <w:sz w:val="20"/>
          <w:szCs w:val="20"/>
          <w:color w:val="231F20"/>
        </w:rPr>
        <w:t>represents our share of earnings (losses) from the investments we make in certain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Investment income (loss) of Consolidated Funds </w:t>
      </w:r>
      <w:r>
        <w:rPr>
          <w:rFonts w:ascii="Times New Roman" w:cs="Times New Roman" w:eastAsia="Times New Roman" w:hAnsi="Times New Roman"/>
          <w:sz w:val="20"/>
          <w:szCs w:val="20"/>
          <w:color w:val="auto"/>
        </w:rPr>
        <w:t>represents gains (losses) from the investments held by the Consolidated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31" w:lineRule="exact"/>
        <w:rPr>
          <w:sz w:val="20"/>
          <w:szCs w:val="20"/>
          <w:color w:val="auto"/>
        </w:rPr>
      </w:pPr>
    </w:p>
    <w:p>
      <w:pPr>
        <w:ind w:right="1000" w:firstLine="648"/>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income earned on cash and cash equivalents, restricted cash,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primarily consists of the interest expense on the Revolver, as well as the related amortization of deferred financing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w:t>
      </w:r>
    </w:p>
    <w:p>
      <w:pPr>
        <w:spacing w:after="0" w:line="203"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Other income (loss) </w:t>
      </w:r>
      <w:r>
        <w:rPr>
          <w:rFonts w:ascii="Times New Roman" w:cs="Times New Roman" w:eastAsia="Times New Roman" w:hAnsi="Times New Roman"/>
          <w:sz w:val="20"/>
          <w:szCs w:val="20"/>
          <w:color w:val="auto"/>
        </w:rPr>
        <w:t>includes foreign currency transaction gains and losses, non-operating activities,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0"/>
          <w:szCs w:val="20"/>
          <w:color w:val="231F20"/>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condensed consolidated statements of income. As a result, the Partnership does not record U.S. federal and state income taxes on income generated by the Partnership or its subsidiaries, except for certain local and foreign income taxes discussed above.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3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spacing w:after="0" w:line="188"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4"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legacy Greenspring entities </w:t>
      </w:r>
      <w:r>
        <w:rPr>
          <w:rFonts w:ascii="Times New Roman" w:cs="Times New Roman" w:eastAsia="Times New Roman" w:hAnsi="Times New Roman"/>
          <w:sz w:val="19"/>
          <w:szCs w:val="19"/>
          <w:color w:val="auto"/>
        </w:rPr>
        <w:t>represent the economic interests in the legacy Greenspring general partner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entities. We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59"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64" w:lineRule="exact"/>
        <w:rPr>
          <w:sz w:val="20"/>
          <w:szCs w:val="20"/>
          <w:color w:val="auto"/>
        </w:rPr>
      </w:pPr>
    </w:p>
    <w:p>
      <w:pPr>
        <w:ind w:right="36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the Partnership </w:t>
      </w:r>
      <w:r>
        <w:rPr>
          <w:rFonts w:ascii="Times New Roman" w:cs="Times New Roman" w:eastAsia="Times New Roman" w:hAnsi="Times New Roman"/>
          <w:sz w:val="19"/>
          <w:szCs w:val="19"/>
          <w:color w:val="auto"/>
        </w:rPr>
        <w:t>represent the economic interests in the Partnership held by the Class B and Class 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33"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We monitor certain operating metrics that are either common to the asset management industry or that we believe provide important data regarding our business.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20"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8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December 31, 2023 reflects final data for the prior period (September 30, 2023), adjusted for net new client account activity through December 31, 2023. NAV data for underlying investments is as of September 30, 2023, as reported by underlying managers up to the business day occurring on or after 100 days following September 30, 2023. When NAV data is not available by the business day occurring on or after 100 days following September 30, 2023, such NAVs are adjusted for cash activity following the last available reported NAV.</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We believe AUA is a useful metric for assessing the relative size of our advisory business.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Our AUA is calculated as the sum of (i) the NAV of client portfolio assets for which we do not have full discretion and (ii)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unfunded commitments of clients to the underlying investments. Our AUA reflects the investment valuations in respect of the underlying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investments of our client accounts on a three-month lag, adjusted for new client account activity through the period end. Our AUA does not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include post-period investment valuation or cash activity. AUA as of December 31, 2023 reflects final data for the prior period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(September 30, 2023), adjusted for net new client account activity through December 31, 2023. NAV data for underlying investments is as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September 30, 2023, as reported by underlying managers up to the business day occurring on or after 100 days following September 30,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2023. When NAV data is not available by the business day occurring on or after 100 days following September 30, 2023, such NAVs 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adjusted for cash activity following the last available reported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We believe FEAUM is a useful metric in order to assess assets forming the basis of our management fee revenue.</w:t>
      </w:r>
    </w:p>
    <w:p>
      <w:pPr>
        <w:spacing w:after="0" w:line="193"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231F20"/>
        </w:rPr>
        <w:t>Our calculation of FEAUM may differ from the calculations of other asset managers and, as a result, may not be comparable to similar measures presented by other asset managers.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Undeployed Fee-Earning Capital</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Undeployed fee-earning capital represents the amount of capital commitments to StepStone Funds that has not yet been invested or considered active but will generate management fee revenue once this capital is invested or activated. We believe undeployed fee-earning capital is a useful metric for measuring the amount of capital that we can put to work in the future and thus earn management fee revenue thereon.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 of StepStone Funds</w:t>
      </w:r>
    </w:p>
    <w:p>
      <w:pPr>
        <w:spacing w:after="0" w:line="26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The activity of the Consolidated Funds is reflected within the condensed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condensed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5" w:name="page56"/>
    <w:bookmarkEnd w:id="55"/>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33"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0"/>
          <w:szCs w:val="20"/>
          <w:color w:val="auto"/>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unaudited consolidated results of operations for the periods presented. The information is derived from our accompanying condensed consolidated financial statements prepared in accordance with GAAP.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6"/>
                <w:szCs w:val="16"/>
                <w:color w:val="auto"/>
              </w:rPr>
            </w:pPr>
          </w:p>
        </w:tc>
        <w:tc>
          <w:tcPr>
            <w:tcW w:w="254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23"/>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151,492</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128,753</w:t>
            </w:r>
          </w:p>
        </w:tc>
        <w:tc>
          <w:tcPr>
            <w:tcW w:w="2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431,730</w:t>
            </w:r>
          </w:p>
        </w:tc>
        <w:tc>
          <w:tcPr>
            <w:tcW w:w="2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364,606</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Incentive fees</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17,891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Realized</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15,289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112,396</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Unrealized</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(129,584)</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(63,367)</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(24,849)</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(354,095)</w:t>
            </w:r>
          </w:p>
        </w:tc>
        <w:tc>
          <w:tcPr>
            <w:tcW w:w="0" w:type="dxa"/>
            <w:vAlign w:val="bottom"/>
          </w:tcPr>
          <w:p>
            <w:pPr>
              <w:spacing w:after="0"/>
              <w:rPr>
                <w:sz w:val="1"/>
                <w:szCs w:val="1"/>
                <w:color w:val="auto"/>
              </w:rPr>
            </w:pPr>
          </w:p>
        </w:tc>
      </w:tr>
      <w:tr>
        <w:trPr>
          <w:trHeight w:val="195"/>
        </w:trPr>
        <w:tc>
          <w:tcPr>
            <w:tcW w:w="53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(114,295)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(241,699)</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(69,700)</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(88,921)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(106,250)</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(371,200)</w:t>
            </w: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performance fees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(166,104)</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(132,988)</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(76,909)</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(604,554)</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(14,612)</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354,821</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(239,948)</w:t>
            </w:r>
          </w:p>
        </w:tc>
        <w:tc>
          <w:tcPr>
            <w:tcW w:w="0" w:type="dxa"/>
            <w:vAlign w:val="bottom"/>
          </w:tcPr>
          <w:p>
            <w:pPr>
              <w:spacing w:after="0"/>
              <w:rPr>
                <w:sz w:val="1"/>
                <w:szCs w:val="1"/>
                <w:color w:val="auto"/>
              </w:rPr>
            </w:pPr>
          </w:p>
        </w:tc>
      </w:tr>
      <w:tr>
        <w:trPr>
          <w:trHeight w:val="151"/>
        </w:trPr>
        <w:tc>
          <w:tcPr>
            <w:tcW w:w="53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73,619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62,628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218,551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182,190</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14,032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15,605</w:t>
            </w:r>
          </w:p>
        </w:tc>
        <w:tc>
          <w:tcPr>
            <w:tcW w:w="0" w:type="dxa"/>
            <w:vAlign w:val="bottom"/>
          </w:tcPr>
          <w:p>
            <w:pPr>
              <w:spacing w:after="0"/>
              <w:rPr>
                <w:sz w:val="1"/>
                <w:szCs w:val="1"/>
                <w:color w:val="auto"/>
              </w:rPr>
            </w:pPr>
          </w:p>
        </w:tc>
      </w:tr>
      <w:tr>
        <w:trPr>
          <w:trHeight w:val="170"/>
        </w:trPr>
        <w:tc>
          <w:tcPr>
            <w:tcW w:w="53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3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15,444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67,091</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(62,243)</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(31,875)</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(9,320)</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(172,554)</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(46,799)</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(105,463)</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(69,700)</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(88,921)</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(106,250)</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(371,200)</w:t>
            </w: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(28,848)</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157,667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(278,868)</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48,001</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43,582</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113,007</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111,547</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19,153</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270,674</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(167,321)</w:t>
            </w:r>
          </w:p>
        </w:tc>
        <w:tc>
          <w:tcPr>
            <w:tcW w:w="0" w:type="dxa"/>
            <w:vAlign w:val="bottom"/>
          </w:tcPr>
          <w:p>
            <w:pPr>
              <w:spacing w:after="0"/>
              <w:rPr>
                <w:sz w:val="1"/>
                <w:szCs w:val="1"/>
                <w:color w:val="auto"/>
              </w:rPr>
            </w:pPr>
          </w:p>
        </w:tc>
      </w:tr>
      <w:tr>
        <w:trPr>
          <w:trHeight w:val="151"/>
        </w:trPr>
        <w:tc>
          <w:tcPr>
            <w:tcW w:w="53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(loss)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(5,473)</w:t>
            </w:r>
          </w:p>
        </w:tc>
        <w:tc>
          <w:tcPr>
            <w:tcW w:w="0" w:type="dxa"/>
            <w:vAlign w:val="bottom"/>
          </w:tcPr>
          <w:p>
            <w:pPr>
              <w:spacing w:after="0"/>
              <w:rPr>
                <w:sz w:val="1"/>
                <w:szCs w:val="1"/>
                <w:color w:val="auto"/>
              </w:rPr>
            </w:pPr>
          </w:p>
        </w:tc>
      </w:tr>
      <w:tr>
        <w:trPr>
          <w:trHeight w:val="202"/>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Legacy Greenspring investment loss</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(32,927)</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11,223</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0" w:type="dxa"/>
            <w:vAlign w:val="bottom"/>
          </w:tcPr>
          <w:p>
            <w:pPr>
              <w:spacing w:after="0"/>
              <w:rPr>
                <w:sz w:val="1"/>
                <w:szCs w:val="1"/>
                <w:color w:val="auto"/>
              </w:rPr>
            </w:pP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(loss)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4,408</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other income (expense)</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9,623</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(4,804)</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16,734</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(36,332)</w:t>
            </w:r>
          </w:p>
        </w:tc>
        <w:tc>
          <w:tcPr>
            <w:tcW w:w="0" w:type="dxa"/>
            <w:vAlign w:val="bottom"/>
          </w:tcPr>
          <w:p>
            <w:pPr>
              <w:spacing w:after="0"/>
              <w:rPr>
                <w:sz w:val="1"/>
                <w:szCs w:val="1"/>
                <w:color w:val="auto"/>
              </w:rPr>
            </w:pP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100,881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(108,959)</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15,603</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w:t>
            </w:r>
          </w:p>
        </w:tc>
        <w:tc>
          <w:tcPr>
            <w:tcW w:w="0" w:type="dxa"/>
            <w:vAlign w:val="bottom"/>
          </w:tcPr>
          <w:p>
            <w:pPr>
              <w:spacing w:after="0"/>
              <w:rPr>
                <w:sz w:val="1"/>
                <w:szCs w:val="1"/>
                <w:color w:val="auto"/>
              </w:rPr>
            </w:pPr>
          </w:p>
        </w:tc>
      </w:tr>
      <w:tr>
        <w:trPr>
          <w:trHeight w:val="195"/>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85,278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(102,091)</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25,836</w:t>
            </w:r>
          </w:p>
        </w:tc>
        <w:tc>
          <w:tcPr>
            <w:tcW w:w="0" w:type="dxa"/>
            <w:vAlign w:val="bottom"/>
          </w:tcPr>
          <w:p>
            <w:pPr>
              <w:spacing w:after="0"/>
              <w:rPr>
                <w:sz w:val="1"/>
                <w:szCs w:val="1"/>
                <w:color w:val="auto"/>
              </w:rPr>
            </w:pPr>
          </w:p>
        </w:tc>
      </w:tr>
      <w:tr>
        <w:trPr>
          <w:trHeight w:val="203"/>
        </w:trPr>
        <w:tc>
          <w:tcPr>
            <w:tcW w:w="53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Less: Net loss attributable to non-controlling interests in legacy Greenspring entities</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(32,927)</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in the Partnership</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(20,111)</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(48,192)</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5,588</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11,590</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StepStone Group Inc.</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(20,226)</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27,268</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5" w:lineRule="exact"/>
        <w:rPr>
          <w:sz w:val="20"/>
          <w:szCs w:val="20"/>
          <w:color w:val="auto"/>
        </w:rPr>
      </w:pPr>
    </w:p>
    <w:p>
      <w:pPr>
        <w:ind w:left="660" w:right="140" w:hanging="652"/>
        <w:spacing w:after="0" w:line="302" w:lineRule="auto"/>
        <w:tabs>
          <w:tab w:leader="none" w:pos="65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amounts attributable to consolidated VIEs for which we did not acquire any direct economic interests. See notes 3 and 5 to our condensed consolidated financial statements included elsewhere in this quarterly report.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2023 Compared to Three Months Ended December 31, 2022</w:t>
      </w:r>
    </w:p>
    <w:p>
      <w:pPr>
        <w:spacing w:after="0" w:line="2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Total revenues decreased $10.4 million to $(14.6) million for the three months ended December 31, 2023 as compared to the three months ended December 31, 2022. The overall decrease was driven by a larger reversal of carried interest allocations in the current period as compared to the prior year period, partially offset by increases due to higher net management and advisory fees, a lower reversal of legacy Greenspring carried interest allocations and higher incentive fees in each case, as described below.</w:t>
      </w:r>
    </w:p>
    <w:p>
      <w:pPr>
        <w:spacing w:after="0" w:line="17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Net management and advisory fees increased $22.7 million, or 18%, to $151.5 million for the three months ended December 31, 2023 as compared to the three months ended December 31, 2022. The increase was driven by new client activity and 8% growth in average FEAUM across the platform. The three months ended December 31, 2023 included retroactive fees of $8.6 million from the closings of StepStone’s private equity secondaries, multi-strategy global venture capital and infrastructure co-investment funds.</w:t>
      </w:r>
    </w:p>
    <w:p>
      <w:pPr>
        <w:spacing w:after="0" w:line="186"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Incentive fees increased $14.9 million, or 500%, to $17.9 million for the three months ended December 31, 2023 as compared to the three months ended December 31, 2022 due to higher realization activity.</w:t>
      </w:r>
    </w:p>
    <w:p>
      <w:pPr>
        <w:spacing w:after="0" w:line="17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Realized carried interest allocation revenues decreased $1.0 million, or 6%, to $15.3 million for the three months ended December 31, 2023 as compared to the three months ended December 31, 2022, reflecting lower realization activity within our private equity funds. Unrealized carried interest allocation revenues include the reversal of realized carried interest allocation revenues. Excluding the reversal of $15.3 million, unrealized carried interest allocation revenues decreased $67.2 million, or 143%, to $(114.3) million for the three months ended December 31, 2023 as compared to the three months ended December 31, 2022. The decrease in unrealized carried interest allocations for the three months ended December 31, 2023 primarily reflected a net decrease in the cumulative allocation of gains associated with the underlying portfolios within our private equity funds.</w:t>
      </w:r>
    </w:p>
    <w:p>
      <w:pPr>
        <w:spacing w:after="0" w:line="193"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Legacy Greenspring carried interest allocation revenues increased $19.2 million, or 22%, to $(69.7) million for the three months ended December 31, 2023 as compared to the three months ended December 31, 2022 as a result of lower net unrealized depreciation in the fair value of certain underlying fund investments in the current year period as compared to the prior year period. The three months ended December 31, 2023 reflect gross realized carried interest allocations of $0.1 million and unrealized carried interest allocations, net of the reversal of realized carried interest allocations, of $(69.8) million. The three months ended December 31, 2022 reflect gross realized carried interest allocations of $5.2 million and unrealized carried interest allocations, net of the reversal of realized carried interest allocations, of $(94.1) million.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2023 Compared to Nine Months Ended December 31, 2022</w:t>
      </w:r>
    </w:p>
    <w:p>
      <w:pPr>
        <w:spacing w:after="0" w:line="23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Total revenues increased $594.8 million to $354.8 million for the nine months ended December 31, 2023 as compared to the nine months ended December 31, 2022. The overall increase was driven by positive carried interest allocations in the current period as compared to a reversal of carried interest allocations in the prior year period, a lower reversal of legacy Greenspring carried interest allocations in the current period as compared to the prior year period, and increases in net management and advisory fees, and incentive fees in each case, as described below.</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7" w:name="page58"/>
    <w:bookmarkEnd w:id="57"/>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Net management and advisory fees increased $67.1 million, or 18%, to $431.7 million for the nine months ended December 31, 2023 as compared to the nine months ended December 31, 2022. The increase was driven by new client activity and 10% growth in average FEAUM across the platform. The nine months ended December 31, 2023 included retroactive fees of $9.5 million from the closings of StepStone’s private equity secondaries, multi-strategy global venture capital and infrastructure co-investment funds, and the nine months ended December 31, 2022 included retroactive fees of $2.4 million from the final closing of StepStone Capital Partners V.</w:t>
      </w:r>
    </w:p>
    <w:p>
      <w:pPr>
        <w:spacing w:after="0" w:line="192"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Incentive fees increased $14.5 million, or 174%, to $22.8 million for the nine months ended December 31, 2023 as compared to the nine months ended December 31, 2022 due to higher realization activity.</w:t>
      </w:r>
    </w:p>
    <w:p>
      <w:pPr>
        <w:spacing w:after="0" w:line="14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Realized carried interest allocation revenues decreased $81.0 million, or 72%, to $31.3 million for the nine months ended December 31, 2023 as compared to the nine months ended December 31, 2022, reflecting lower realization activity within our private equity funds. Unrealized carried interest allocation revenues include the reversal of realized carried interest allocation revenues. Excluding the reversal of $31.3 million, unrealized carried interest allocation revenues increased $248.2 million to $6.5 million for the nine months ended December 31, 2023 as compared to the nine months ended December 31, 2022. The increase in unrealized carried interest allocations for the nine months ended December 31, 2023 primarily reflected a net increase in the cumulative allocation of gains associated with the underlying portfolios within our private equity funds.</w:t>
      </w:r>
    </w:p>
    <w:p>
      <w:pPr>
        <w:spacing w:after="0" w:line="17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carried interest allocation revenues increased $265.0 million, or 71%, to $(106.3) million for the nine months ended December 31, 2023 as compared to the nine months ended December 31, 2022 as a result of lower net unrealized depreciation in the fair value of certain underlying fund investments in the current year period as compared to the prior year period. The nine months ended December 31, 2023 reflect gross realized carried interest allocations of $26.0 million and unrealized carried interest allocations, net of the reversal of realized carried interest allocations, of $(132.2) million. The nine months ended December 31, 2022 reflect gross realized carried interest allocations of $45.4 million and unrealized carried interest allocations, net of the reversal of realized carried interest allocations, of $(416.6) million.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2023 Compared to Three Months Ended December 31, 2022</w:t>
      </w:r>
    </w:p>
    <w:p>
      <w:pPr>
        <w:spacing w:after="0" w:line="23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Total expenses increased $13.9 million to $19.2 million for the three months ended December 31, 2023 as compared to the three months ended December 31, 2022. The overall increase resulted from a lower reversal of legacy Greenspring performance fee-related compensation in the current year period as compared to the prior year period, and increases in cash-based compensation, equity-based compensation and general, administrative and other expenses, partially offset by a decrease due to higher reversal of performance fee-related compensation in each case, as described below.</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$11.0 million, or 18%, to $73.6 million for the three months ended December 31, 2023 as compared to the three months ended December 31, 2022, due to increased staffing and compensation levels. Our average full-time headcount increased 12% in the current year period as compared to the prior year period.</w:t>
      </w:r>
    </w:p>
    <w:p>
      <w:pPr>
        <w:spacing w:after="0" w:line="16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Equity-based compensation increased $5.9 million, or 73%, to $14.0 million for the three months ended December 31, 2023 as compared to the three months ended December 31, 2022. The increase was primarily attributable to an increase in expenses related to liability classified awards in the current year period of $5.2 million as compared to the prior year period, as well as additional grants of RSUs made in February 2023 and no comparable expense for these grants in the prior year period.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3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Performance fee-related compensation expense decreased $26.7 million to $(46.8) million for the three months ended December 31, 2023 as compared to the three months ended December 31, 2022, primarily reflecting the decrease in carried interest allocation revenue. Realized performance fee-related compensation increased $3.7 million, or 32%, to $15.4 million for the three months ended December 31, 2023 as compared to the three months ended December 31, 2022, primarily reflecting higher realization activity.</w:t>
      </w:r>
    </w:p>
    <w:p>
      <w:pPr>
        <w:spacing w:after="0" w:line="1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performance fee-related compensation expense increased $19.2 million, or 22%, to $(69.7) million for the three months ended December 31, 2023 as compared to the three months ended December 31, 2022. The three months ended December 31, 2023 reflect gross realized performance fee-related compensation expense of $0.1 million and unrealized performance fee-related compensation expense, net of the reversal of realized performance fee-related compensation expense, of $(69.8) million. The three months ended December 31, 2022 reflect gross realized performance fee-related compensation expense of $5.2 million and unrealized performance fee-related compensation expense, net of the reversal of realized performance fee-related compensation expense, of $(94.1) million.</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increased $4.4 million, or 10%, to $48.0 million for the three months ended December 31, 2023 as compared to the three months ended December 31, 2022. The overall increase primarily reflected increases of $7.1 million due to higher loss on change in fair value for contingent consideration obligation, $1.3 million in professional fees, $1.1 million in travel and associated costs for investment evaluation and client service and $0.7 million in information and technology expenses, partially offset by decreases of $6.1 million in transaction fees, $1.0 million in insurance costs and other general operating expenses.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2023 Compared to Nine Months Ended December 31, 2022</w:t>
      </w:r>
    </w:p>
    <w:p>
      <w:pPr>
        <w:spacing w:after="0" w:line="233" w:lineRule="exact"/>
        <w:rPr>
          <w:sz w:val="20"/>
          <w:szCs w:val="20"/>
          <w:color w:val="auto"/>
        </w:rPr>
      </w:pPr>
    </w:p>
    <w:p>
      <w:pPr>
        <w:ind w:right="320" w:firstLine="648"/>
        <w:spacing w:after="0" w:line="254" w:lineRule="auto"/>
        <w:rPr>
          <w:sz w:val="20"/>
          <w:szCs w:val="20"/>
          <w:color w:val="auto"/>
        </w:rPr>
      </w:pPr>
      <w:r>
        <w:rPr>
          <w:rFonts w:ascii="Times New Roman" w:cs="Times New Roman" w:eastAsia="Times New Roman" w:hAnsi="Times New Roman"/>
          <w:sz w:val="20"/>
          <w:szCs w:val="20"/>
          <w:color w:val="auto"/>
        </w:rPr>
        <w:t>Total expenses increased $438.0 million to $270.7 million for the nine months ended December 31, 2023 as compared to the nine months ended December 31, 2022. The overall increase resulted from a lower reversal of legacy Greenspring performance fee-related compensation and increases in performance fee-related compensation, cash-based compensation, equity-based compensation and general, administrative and other expenses in each case, as described below.</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$36.4 million, or 20%, to $218.6 million for the nine months ended December 31, 2023 as compared to the nine months ended December 31, 2022, due to increased staffing and compensation levels. Our average full-time headcount increased 15% in the current year period as compared to the prior year period.</w:t>
      </w:r>
    </w:p>
    <w:p>
      <w:pPr>
        <w:spacing w:after="0" w:line="18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Equity-based compensation increased $12.8 million, or 82%, to $28.4 million for the nine months ended December 31, 2023 as compared to the nine months ended December 31, 2022. The increase was primarily attributable to an increase in expenses related to liability classified awards in the current year period of $10.3 million as compared to the prior year period, as well as additional grants of RSUs made in February 2023 and no comparable expense for these grants in the prior year period.</w:t>
      </w:r>
    </w:p>
    <w:p>
      <w:pPr>
        <w:spacing w:after="0" w:line="18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0"/>
          <w:szCs w:val="20"/>
          <w:color w:val="auto"/>
        </w:rPr>
        <w:t>Performance fee-related compensation expense increased $122.4 million to $16.9 million for the nine months ended December 31, 2023 as compared to the nine months ended December 31, 2022, primarily reflecting the increase in carried interest allocation revenue. Realized performance fee-related compensation decreased $40.8 million, or 61%, to $26.3 million for the nine months ended December 31, 2023 as compared to the nine months ended December 31, 2022, primarily reflecting lower realization activity.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35"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9"/>
          <w:szCs w:val="19"/>
          <w:color w:val="auto"/>
        </w:rPr>
        <w:t>Legacy Greenspring performance fee-related compensation expense increased $265.0 million, or 71%, to $(106.3) million for the nine months ended December 31, 2023 as compared to the nine months ended December 31, 2022. The nine months ended December 31, 2023 reflect gross realized performance fee-related compensation expense of $26.0 million and unrealized performance fee-related compensation expense, net of the reversal of realized performance fee-related compensation expense, of $(132.2) million. The nine months ended December 31, 2022 reflect gross realized performance fee-related compensation expense of $45.4 million and unrealized performance fee-related compensation expense, net of the reversal of realized performance fee-related compensation expense, of $(416.6) million.</w:t>
      </w:r>
    </w:p>
    <w:p>
      <w:pPr>
        <w:spacing w:after="0" w:line="17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General, administrative and other expenses increased $1.5 million, or 1%, to $113.0 million for the nine months ended December 31, 2023 as compared to the nine months ended December 31, 2022. The overall increase primarily reflected increases of $2.6 million due to a prior year gain within occupancy costs related to lease remeasurement adjustments due to a reduction in lease terms, $2.6 million in professional fees, $2.3 million in occupancy costs, $2.1 million of travel and associated costs for investment evaluation and client service, $2.0 million in information and technology expenses and $1.1 million in accelerated depreciation for leasehold improvements due to a reduction in lease terms, partially offset by decreases of $5.9 million in transaction fees, $5.0 million due to a lower loss on change in fair value for contingent consideration obligation and $1.0 million in insurance costs and other general operating 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2023 Compared to Three Months Ended December 31, 2022</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(loss) decreased $1.4 million, or 201%, to $(2.1) million for the three months ended December 31, 2023 as compared to the three months ended December 31, 2022, primarily reflecting overall changes in the valuations of the underlying investments in the StepStone Funds.</w:t>
      </w:r>
    </w:p>
    <w:p>
      <w:pPr>
        <w:spacing w:after="0" w:line="18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investment loss decreased $6.7 million, or 75%, to $2.2 million for the three months ended December 31, 2023 as compared to the three months ended December 31, 2022. The three months ended December 31, 2023 reflected gross realized investment income of $0.4 million and unrealized investment loss, net of the reversal of realized investment income, of $2.6 million. The three months ended December 31, 2022 reflected gross realized investment income of $0.7 million and unrealized investment loss, net of the reversal of realized investment income, of $9.7 million.</w:t>
      </w:r>
    </w:p>
    <w:p>
      <w:pPr>
        <w:spacing w:after="0" w:line="1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of Consolidated Funds increased $6.3 million, or 129%, to $11.2 million for the three months ended December 31, 2023 as compared to the three months ended December 31, 2022, primarily reflecting overall changes in the valuations of the underlying investments of the Consolidated Funds.</w:t>
      </w:r>
    </w:p>
    <w:p>
      <w:pPr>
        <w:spacing w:after="0" w:line="168" w:lineRule="exact"/>
        <w:rPr>
          <w:sz w:val="20"/>
          <w:szCs w:val="20"/>
          <w:color w:val="auto"/>
        </w:rPr>
      </w:pPr>
    </w:p>
    <w:p>
      <w:pPr>
        <w:ind w:right="140" w:firstLine="648"/>
        <w:spacing w:after="0" w:line="288" w:lineRule="auto"/>
        <w:rPr>
          <w:sz w:val="20"/>
          <w:szCs w:val="20"/>
          <w:color w:val="auto"/>
        </w:rPr>
      </w:pPr>
      <w:r>
        <w:rPr>
          <w:rFonts w:ascii="Times New Roman" w:cs="Times New Roman" w:eastAsia="Times New Roman" w:hAnsi="Times New Roman"/>
          <w:sz w:val="19"/>
          <w:szCs w:val="19"/>
          <w:color w:val="auto"/>
        </w:rPr>
        <w:t>Interest income increased $0.1 million, or 18%, to $0.8 million for the three months ended December 31, 2023 as compared to the three months ended December 31, 2022, primarily due to higher average interest rates earned on cash and cash equivalent balances. Interest income attributable to the Consolidated Funds was $0.5 million in the current year period as compared to none in the prior year period.</w:t>
      </w:r>
    </w:p>
    <w:p>
      <w:pPr>
        <w:spacing w:after="0" w:line="1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Interest expense increased $1.5 million, or 131%, to $2.6 million for the three months ended December 31, 2023 as compared to the three months ended December 31, 2022. The increase was due to higher average interest rates and higher average outstanding balances under the Revolver during the current year period, as compared with the prior year period.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13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Other income (loss) increased $4.1 million, or 1,131%, to $4.4 million for the three months ended December 31, 2023 as compared to the three months ended December 31, 2022, primarily reflecting a gain of $5.3 million in the current year period for amounts received as part of negotiations with a third party related to certain corporate matters and net foreign currency transaction gains, partially offset by a loss of $0.8 million associated with the sale of a subsidiary.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2023 Compared to Nine Months Ended December 31, 2022</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Investment income (loss) increased $9.6 million to income of $4.1 million for the nine months ended December 31, 2023 as</w:t>
      </w:r>
    </w:p>
    <w:p>
      <w:pPr>
        <w:spacing w:after="0" w:line="28"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20"/>
          <w:szCs w:val="20"/>
          <w:color w:val="auto"/>
        </w:rPr>
        <w:t>compared to the nine months ended December 31, 2022, primarily reflecting overall changes in the valuations of the underlying investments in the StepStone Funds.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investment loss decreased $23.9 million, or 73%, to $9.1 million for the nine months ended December 31, 2023 as compared to the nine months ended December 31, 2022. The nine months ended December 31, 2023 reflected gross realized investment income of $4.5 million and unrealized investment loss, net of the reversal of realized investment income, of $13.6 million. The nine months ended December 31, 2022 reflected gross realized investment income of $4.1 million and unrealized investment loss, net of the reversal of realized investment income, of $37.0 million.</w:t>
      </w:r>
    </w:p>
    <w:p>
      <w:pPr>
        <w:spacing w:after="0" w:line="192"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of Consolidated Funds increased $17.5 million, or 357%, to $22.4 million for the nine months ended December 31, 2023 as compared to the nine months ended December 31, 2022, primarily reflecting overall changes in the valuations of the underlying investments of the Consolidated Funds.</w:t>
      </w:r>
    </w:p>
    <w:p>
      <w:pPr>
        <w:spacing w:after="0" w:line="181" w:lineRule="exact"/>
        <w:rPr>
          <w:sz w:val="20"/>
          <w:szCs w:val="20"/>
          <w:color w:val="auto"/>
        </w:rPr>
      </w:pPr>
    </w:p>
    <w:p>
      <w:pPr>
        <w:jc w:val="both"/>
        <w:ind w:right="140" w:firstLine="648"/>
        <w:spacing w:after="0" w:line="281" w:lineRule="auto"/>
        <w:rPr>
          <w:sz w:val="20"/>
          <w:szCs w:val="20"/>
          <w:color w:val="auto"/>
        </w:rPr>
      </w:pPr>
      <w:r>
        <w:rPr>
          <w:rFonts w:ascii="Times New Roman" w:cs="Times New Roman" w:eastAsia="Times New Roman" w:hAnsi="Times New Roman"/>
          <w:sz w:val="19"/>
          <w:szCs w:val="19"/>
          <w:color w:val="auto"/>
        </w:rPr>
        <w:t>Interest income increased $1.2 million, or 109%, to $2.2 million for the nine months ended December 31, 2023 as compared to the nine months ended December 31, 2022, primarily due to higher average interest rates earned on cash and cash equivalent balances. Interest income attributable to the Consolidated Funds was $1.0 million in the current year period as compared to none in the prior year period.</w:t>
      </w:r>
    </w:p>
    <w:p>
      <w:pPr>
        <w:spacing w:after="0" w:line="15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Interest expense increased $4.2 million, or 166%, to $6.7 million for the nine months ended December 31, 2023 as compared to the nine months ended December 31, 2022. The increase was due to higher average interest rates and higher average outstanding balances under the Revolver during the current year period, as compared with the prior year period.</w:t>
      </w:r>
    </w:p>
    <w:p>
      <w:pPr>
        <w:spacing w:after="0" w:line="18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Other income (loss) increased $5.1 million to income of $3.8 million for the nine months ended December 31, 2023 as compared to the nine months ended December 31, 2022, primarily reflecting a gain of $5.3 million in the current year period for amounts received as part of negotiations with a third party related to certain corporate matters and net foreign currency transaction gains, partially offset by a loss of $0.8 million associated with the sale of a subsidiary.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right="820" w:firstLine="648"/>
        <w:spacing w:after="0" w:line="283" w:lineRule="auto"/>
        <w:rPr>
          <w:sz w:val="20"/>
          <w:szCs w:val="20"/>
          <w:color w:val="auto"/>
        </w:rPr>
      </w:pPr>
      <w:r>
        <w:rPr>
          <w:rFonts w:ascii="Times New Roman" w:cs="Times New Roman" w:eastAsia="Times New Roman" w:hAnsi="Times New Roman"/>
          <w:sz w:val="20"/>
          <w:szCs w:val="20"/>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1" w:name="page62"/>
    <w:bookmarkEnd w:id="61"/>
    <w:p>
      <w:pPr>
        <w:spacing w:after="0" w:line="13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Our effective income tax rate was 3.0% and 5.1% for the three months ended December 31, 2023 and 2022, respectively, and 15.5% and 6.3% for the nine months ended December 31, 2023 and 2022, respectively. Our overall effective tax rate in each of the periods described above is less than the statutory rate as a portion of income was allocated to non-controlling interests and the tax liability on such income is borne by the holders of non-controlling interests. For the three months ended December 31, 2023 as compared to the three months ended December 31, 2022, the primary rate difference was due to a decrease in tax expense associated with income allocated to non-controlling interests, partially offset by an increase in tax expense related to return to provision adjustments. For the nine months ended December 31, 2023 and 2022, the primary rate difference was due to the Company recognizing pre-tax net income for the nine months ended December 31, 2023 as compared to the Company recognizing pre-tax net loss for the nine months ended December 31, 2022. Additionally, there was an increase in foreign tax expense for the nine months ended December 31, 2023.</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2023 Compared to Three Months Ended December 31, 2022</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Income tax benefit was $0.7 million for both the three months ended December 31, 2023 and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2023 Compared to Nine Months Ended December 31, 2022</w:t>
      </w:r>
    </w:p>
    <w:p>
      <w:pPr>
        <w:spacing w:after="0" w:line="22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Income tax expense increased $22.5 million to $15.6 million for the nine months ended December 31, 2023 as compared to the nine months ended December 31, 2022. The increase in income tax expense was primarily driven by pre-tax net income recognized for the nine months ended December 31, 2023 as compared to pre-tax net loss recognized for the nine months ended December 31, 2022. Additionally, there was an increase in foreign tax expense for the nine months ended December 31, 2023.</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Non-Controlling Interests in Subsidiaries</w:t>
      </w:r>
    </w:p>
    <w:p>
      <w:pPr>
        <w:spacing w:after="0" w:line="22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$4.0 million, or 42%, to $13.6 million for the three months ended December 31, 2023 as compared to the three months ended December 31, 2022. The increase was primarily attributable to an increase in income generated by our consolidated subsidiaries not wholly-owned by us.</w:t>
      </w:r>
    </w:p>
    <w:p>
      <w:pPr>
        <w:spacing w:after="0" w:line="18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$7.0 million, or 27%, to $32.8 million for the nine months ended December 31, 2023 as compared to the nine months ended December 31, 2022. The increase was primarily attributable to an increase in income generated by our consolidated subsidiaries not wholly-owned by us.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Loss Attributable to Non-Controlling Interests in Legacy Greenspring Entities</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loss attributable to non-controlling interests in legacy Greenspring entities was $2.2 million and $9.0 million for the three months ended December 31, 2023 and 2022, respectively, and $9.1 million and $32.9 million for the nine months ended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the Partnership</w:t>
      </w:r>
    </w:p>
    <w:p>
      <w:pPr>
        <w:spacing w:after="0" w:line="23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the Partnership represents the portion of net income or loss attributable to the interests held by the Class B and Class C unitholders of the Partnership. Net income (loss) attributable to non-controlling interests in the Partnership was $(20.1) million and $(7.6) million for the three months ended December 31, 2023 and 2022, respectively, and $22.7 million and $(48.2) million for the nine months ended December 31, 2023 and 2022,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Consolidated Funds</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Consolidated Funds was $5.6 million and $0.4 million for the three months ended December 31, 2023 and 2022, respectively, and $11.6 million and $0.4 million for the nine months ended December 31, 2023 and 2022, respectively, which represents income of the Consolidated Funds attributable to third-party investors.</w:t>
      </w:r>
    </w:p>
    <w:p>
      <w:pPr>
        <w:spacing w:after="0" w:line="1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AUM was $134 billion as of December 31, 2022, $138 billion as of March 31, 2023 and $149 billion as of December 31, 2023.</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33" w:lineRule="exact"/>
        <w:rPr>
          <w:sz w:val="20"/>
          <w:szCs w:val="20"/>
          <w:color w:val="auto"/>
        </w:rPr>
      </w:pPr>
    </w:p>
    <w:p>
      <w:pPr>
        <w:ind w:right="780" w:firstLine="648"/>
        <w:spacing w:after="0" w:line="269" w:lineRule="auto"/>
        <w:rPr>
          <w:sz w:val="20"/>
          <w:szCs w:val="20"/>
          <w:color w:val="auto"/>
        </w:rPr>
      </w:pPr>
      <w:r>
        <w:rPr>
          <w:rFonts w:ascii="Times New Roman" w:cs="Times New Roman" w:eastAsia="Times New Roman" w:hAnsi="Times New Roman"/>
          <w:sz w:val="20"/>
          <w:szCs w:val="20"/>
          <w:color w:val="auto"/>
        </w:rPr>
        <w:t>Assets related to our advisory accounts were $468 billion as of December 31, 2022, $482 billion as of March 31, 2023 and $510 billion as of December 31, 2023.</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2023</w:t>
      </w:r>
    </w:p>
    <w:p>
      <w:pPr>
        <w:spacing w:after="0" w:line="2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FEAUM increased approximately $2.1 billion to $89.4 billion as of December 31, 2023 as compared to September 30, 2023. During the period, FEAUM from SMAs increased approximately $0.3 billion and FEAUM from commingled funds increased approximately $1.9 billion.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2023</w:t>
      </w:r>
    </w:p>
    <w:p>
      <w:pPr>
        <w:spacing w:after="0" w:line="220"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FEAUM increased approximately $4.0 billion, or 5%, to $89.4 billion as of December 31, 2023 as compared to March 31, 2023. Of the increase, approximately $1.3 billion was from SMAs and approximately $2.7 billion was from focused commingled funds.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3" w:name="page64"/>
    <w:bookmarkEnd w:id="63"/>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2023</w:t>
            </w:r>
          </w:p>
        </w:tc>
        <w:tc>
          <w:tcPr>
            <w:tcW w:w="260" w:type="dxa"/>
            <w:vAlign w:val="bottom"/>
          </w:tcPr>
          <w:p>
            <w:pPr>
              <w:spacing w:after="0"/>
              <w:rPr>
                <w:sz w:val="20"/>
                <w:szCs w:val="20"/>
                <w:color w:val="auto"/>
              </w:rPr>
            </w:pPr>
          </w:p>
        </w:tc>
        <w:tc>
          <w:tcPr>
            <w:tcW w:w="390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31, 2023</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5"/>
                <w:szCs w:val="15"/>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SMAs</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8"/>
              </w:rPr>
              <w:t>Commingled</w:t>
            </w:r>
          </w:p>
        </w:tc>
        <w:tc>
          <w:tcPr>
            <w:tcW w:w="280" w:type="dxa"/>
            <w:vAlign w:val="bottom"/>
          </w:tcPr>
          <w:p>
            <w:pPr>
              <w:spacing w:after="0"/>
              <w:rPr>
                <w:sz w:val="15"/>
                <w:szCs w:val="15"/>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5"/>
                <w:szCs w:val="15"/>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SMAs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8"/>
              </w:rPr>
              <w:t>Commingled</w:t>
            </w:r>
          </w:p>
        </w:tc>
        <w:tc>
          <w:tcPr>
            <w:tcW w:w="28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2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87,285</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85,431</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300" w:hanging="652"/>
        <w:spacing w:after="0" w:line="250"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65" w:lineRule="auto"/>
        <w:tabs>
          <w:tab w:leader="none" w:pos="65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ind w:left="660" w:right="200" w:hanging="652"/>
        <w:spacing w:after="0" w:line="260"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tables set forth FEAUM by asset class and selected weighted-average management fee rate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FEAUM</w:t>
            </w: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45,766</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debt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23"/>
        </w:trPr>
        <w:tc>
          <w:tcPr>
            <w:tcW w:w="6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82,985</w:t>
            </w:r>
          </w:p>
        </w:tc>
      </w:tr>
      <w:tr>
        <w:trPr>
          <w:trHeight w:val="20"/>
        </w:trPr>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0"/>
        </w:trPr>
        <w:tc>
          <w:tcPr>
            <w:tcW w:w="582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Weighted-average fee rate</w:t>
            </w:r>
            <w:r>
              <w:rPr>
                <w:rFonts w:ascii="Times New Roman" w:cs="Times New Roman" w:eastAsia="Times New Roman" w:hAnsi="Times New Roman"/>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0.65 %</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infrastructure and private debt asset classes</w:t>
            </w:r>
            <w:r>
              <w:rPr>
                <w:rFonts w:ascii="Times New Roman" w:cs="Times New Roman" w:eastAsia="Times New Roman" w:hAnsi="Times New Roman"/>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r>
      <w:tr>
        <w:trPr>
          <w:trHeight w:val="223"/>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0.54 %</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80" w:hanging="652"/>
        <w:spacing w:after="0" w:line="250"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fee rates reflect the applicable management fees for the last 12 months ending on each period presented, and is inclusive of any retroactive fees for such period.</w:t>
      </w:r>
    </w:p>
    <w:p>
      <w:pPr>
        <w:ind w:left="660" w:right="200" w:hanging="652"/>
        <w:spacing w:after="0" w:line="250"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and shifts in mix between SMAs and focused commingled funds.</w:t>
      </w:r>
    </w:p>
    <w:p>
      <w:pPr>
        <w:ind w:left="640" w:hanging="63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and shifts in asset class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Undeployed Fee-Earning Capital</w:t>
      </w:r>
    </w:p>
    <w:p>
      <w:pPr>
        <w:spacing w:after="0" w:line="233"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2023, we had $21.4 billion of undeployed fee-earning capital, which will generate management fee revenue once this capital is invested or activated.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20"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Net Income</w:t>
      </w:r>
    </w:p>
    <w:p>
      <w:pPr>
        <w:spacing w:after="0" w:line="220"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Adjusted net income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adjusted management and advisory fees, net, incentive fees (including the deferred portion) and realized carried interest allocations. In addition, ANI excludes: (a) unrealized carried interest allocation revenues and related compensation,</w:t>
      </w:r>
    </w:p>
    <w:p>
      <w:pPr>
        <w:spacing w:after="0" w:line="4" w:lineRule="exact"/>
        <w:rPr>
          <w:sz w:val="20"/>
          <w:szCs w:val="20"/>
          <w:color w:val="auto"/>
        </w:rPr>
      </w:pPr>
    </w:p>
    <w:p>
      <w:pPr>
        <w:ind w:right="60" w:firstLine="8"/>
        <w:spacing w:after="0" w:line="261" w:lineRule="auto"/>
        <w:tabs>
          <w:tab w:leader="none" w:pos="28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unrealized investment income (loss), (c) equity-based compensation for awards granted prior to and in connection with our IPO, profits interests issued by our non-wholly owned subsidiaries, and unrealized mark-to-market changes in the fair value of the profits interests issued in the private wealth subsidiary, (d) amortization of intangibles, (e) net income (loss) attributable to non-controlling interests in subsidiaries,</w:t>
      </w:r>
    </w:p>
    <w:p>
      <w:pPr>
        <w:spacing w:after="0" w:line="2" w:lineRule="exact"/>
        <w:rPr>
          <w:rFonts w:ascii="Times New Roman" w:cs="Times New Roman" w:eastAsia="Times New Roman" w:hAnsi="Times New Roman"/>
          <w:sz w:val="19"/>
          <w:szCs w:val="19"/>
          <w:color w:val="auto"/>
        </w:rPr>
      </w:pPr>
    </w:p>
    <w:p>
      <w:pPr>
        <w:jc w:val="both"/>
        <w:ind w:right="160" w:firstLine="8"/>
        <w:spacing w:after="0" w:line="253" w:lineRule="auto"/>
        <w:tabs>
          <w:tab w:leader="none" w:pos="24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charges associated with acquisitions and corporate transactions, and (g) certain other items that we believe are not indicative of our core operating performance (as listed in the below table). ANI is fully taxed at our blended statutory rate. We believe ANI and adjusted revenues are useful to investors because they enable investors to evaluate the performance of our business across reporting periods.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w:t>
      </w:r>
    </w:p>
    <w:p>
      <w:pPr>
        <w:spacing w:after="0" w:line="2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represents the components of revenues used in the determination of ANI and comprise adjusted management and advisory fees, net, incentive fees (including the deferred portion) and realized carried interest allocations. We believe adjusted revenues is useful to investors because it presents a measure of realized revenues.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20" w:lineRule="exact"/>
        <w:rPr>
          <w:sz w:val="20"/>
          <w:szCs w:val="20"/>
          <w:color w:val="auto"/>
        </w:rPr>
      </w:pPr>
    </w:p>
    <w:p>
      <w:pPr>
        <w:ind w:right="200" w:firstLine="648"/>
        <w:spacing w:after="0" w:line="252" w:lineRule="auto"/>
        <w:rPr>
          <w:sz w:val="20"/>
          <w:szCs w:val="20"/>
          <w:color w:val="auto"/>
        </w:rPr>
      </w:pPr>
      <w:r>
        <w:rPr>
          <w:rFonts w:ascii="Times New Roman" w:cs="Times New Roman" w:eastAsia="Times New Roman" w:hAnsi="Times New Roman"/>
          <w:sz w:val="20"/>
          <w:szCs w:val="20"/>
          <w:color w:val="auto"/>
        </w:rPr>
        <w:t>Fee-related earnings (“FRE”) is a non-GAAP performance measure used to monitor our baseline earnings from recurring management and advisory fees. FRE is a component of ANI and comprises adjusted management and advisory fees, net,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the private wealth subsidiary, (c) amortization of intangibles, (d) charges associated with acquisitions and corporate transactions, and (e) certain other items that we believe are not indicative of our core operating performance (as listed in the below table).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ANI per share measures our per-share earnings assuming all Class B units and Class C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2023 Compared to Three Months Ended December 31, 2022</w:t>
      </w:r>
    </w:p>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FRE increased $8.0 million, or 19%, to $50.7 million for the three months ended December 31, 2023 as compared to the three months ended December 31, 2022, primarily reflecting higher adjusted management and advisory fees, net, partially offset by higher adjusted cash-based compensation, adjusted general, administrative and other expenses, and adjusted equity-based compensation.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2023 Compared to Nine Months Ended December 31, 2022</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FRE increased $20.5 million, or 17%, to $138.9 million for the nine months ended December 31, 2023 as compared to the nine months ended December 31, 2022, primarily reflecting higher adjusted management and advisory fees, net, partially offset by higher adjusted cash-based compensation, adjusted general, administrative and other expenses, and adjusted equity-based compensation.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 and Adjusted Net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2023 Compared to Three Months Ended December 31, 2022</w:t>
      </w:r>
    </w:p>
    <w:p>
      <w:pPr>
        <w:spacing w:after="0" w:line="233"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increased $37.1 million, or 25%, to $185.1 million for the three months ended December 31, 2023 as compared to the three months ended December 31, 2022, primarily reflecting increases in adjusted management and advisory fees, net and incentive fees, partially offset by lower realized carried interest allocation revenues.</w:t>
      </w:r>
    </w:p>
    <w:p>
      <w:pPr>
        <w:spacing w:after="0" w:line="168"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20"/>
          <w:szCs w:val="20"/>
          <w:color w:val="auto"/>
        </w:rPr>
        <w:t>ANI increased $11.0 million, or 35%, to $42.1 million for the three months ended December 31, 2023 as compared to the three months ended December 31, 2022, primarily due to an increase in FRE, as discussed above, higher net realized performance fee-related earnings (incentive fees, including the deferred portion, plus realized carried interest allocation revenues, less realized performance fee-related compensation) and higher realized investment income. The overall increase was partially offset by a higher allocation of income to non-controlling interests and higher interest expense.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2023 Compared to Nine Months Ended December 31, 2022</w:t>
      </w:r>
    </w:p>
    <w:p>
      <w:pPr>
        <w:spacing w:after="0" w:line="23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decreased $1.3 million, or 0%, to $487.7 million for the nine months ended December 31, 2023 as compared to the nine months ended December 31, 2022, primarily reflecting lower realized carried interest allocation revenues, partially offset by increases in adjusted management and advisory fees, net and incentive fees (including the deferred portion).</w:t>
      </w:r>
    </w:p>
    <w:p>
      <w:pPr>
        <w:spacing w:after="0" w:line="1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ANI decreased $13.9 million, or 12%, to $101.7 million for the nine months ended December 31, 2023 as compared to the nine months ended December 31, 2022, primarily due to lower net realized performance fee-related earnings, a higher allocation of income to non-controlling interests, and higher interest expense. The overall decrease was partially offset by the increase in FRE as discussed above and lower realized investment income.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The following table shows a reconciliation of diluted weighted-average shares of Class A common stock outstanding to adjusted weighted-average shares outstanding used in the computation of ANI per share for the three and nine months ended December 31, 2023 and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101,677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115,548</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 Basic</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64,068,952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62,192,899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63,255,604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61,583,215</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722,935</w:t>
            </w:r>
          </w:p>
        </w:tc>
        <w:tc>
          <w:tcPr>
            <w:tcW w:w="0" w:type="dxa"/>
            <w:vAlign w:val="bottom"/>
          </w:tcPr>
          <w:p>
            <w:pPr>
              <w:spacing w:after="0"/>
              <w:rPr>
                <w:sz w:val="1"/>
                <w:szCs w:val="1"/>
                <w:color w:val="auto"/>
              </w:rPr>
            </w:pPr>
          </w:p>
        </w:tc>
      </w:tr>
      <w:tr>
        <w:trPr>
          <w:trHeight w:val="184"/>
        </w:trPr>
        <w:tc>
          <w:tcPr>
            <w:tcW w:w="396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Assumed vesting and exchange of Class B2</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units</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2,553,899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2,486,197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2,532,489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2,467,141</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B units in the Partnership</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46,314,543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46,662,062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46,384,046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46,898,733</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C units in the Partnership</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1,962,131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2,852,187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2,325,417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2,903,186</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w:t>
            </w:r>
          </w:p>
        </w:tc>
        <w:tc>
          <w:tcPr>
            <w:tcW w:w="2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115,232,927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114,651,163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115,009,445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114,575,210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B units in the Partnership for Class A common stock of SSG pursuant to the Class B Exchange Agreement.</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C units in the Partnership for Class A common stock of SSG pursuant to the Class C Exchange Agreement.</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Reconciliation of GAAP to Non-GAAP Financial Measures</w:t>
      </w:r>
    </w:p>
    <w:p>
      <w:pPr>
        <w:spacing w:after="0" w:line="23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table below shows a reconciliation of revenues to adjusted 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(239,948)</w:t>
            </w:r>
          </w:p>
        </w:tc>
      </w:tr>
      <w:tr>
        <w:trPr>
          <w:trHeight w:val="230"/>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354,095</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371,200</w:t>
            </w:r>
          </w:p>
        </w:tc>
      </w:tr>
      <w:tr>
        <w:trPr>
          <w:trHeight w:val="181"/>
        </w:trPr>
        <w:tc>
          <w:tcPr>
            <w:tcW w:w="4100" w:type="dxa"/>
            <w:vAlign w:val="bottom"/>
            <w:shd w:val="clear" w:color="auto" w:fill="CCEEFF"/>
          </w:tcPr>
          <w:p>
            <w:pPr>
              <w:ind w:left="460"/>
              <w:spacing w:after="0" w:line="181" w:lineRule="exact"/>
              <w:rPr>
                <w:sz w:val="20"/>
                <w:szCs w:val="20"/>
                <w:color w:val="auto"/>
              </w:rPr>
            </w:pPr>
            <w:r>
              <w:rPr>
                <w:rFonts w:ascii="Times New Roman" w:cs="Times New Roman" w:eastAsia="Times New Roman" w:hAnsi="Times New Roman"/>
                <w:sz w:val="18"/>
                <w:szCs w:val="18"/>
                <w:color w:val="auto"/>
              </w:rPr>
              <w:t>Management and advisory fee revenues for the</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8"/>
        </w:trPr>
        <w:tc>
          <w:tcPr>
            <w:tcW w:w="4100" w:type="dxa"/>
            <w:vAlign w:val="bottom"/>
            <w:shd w:val="clear" w:color="auto" w:fill="CCEEFF"/>
          </w:tcPr>
          <w:p>
            <w:pPr>
              <w:ind w:left="680"/>
              <w:spacing w:after="0" w:line="237" w:lineRule="exact"/>
              <w:rPr>
                <w:sz w:val="20"/>
                <w:szCs w:val="20"/>
                <w:color w:val="auto"/>
              </w:rPr>
            </w:pPr>
            <w:r>
              <w:rPr>
                <w:rFonts w:ascii="Times New Roman" w:cs="Times New Roman" w:eastAsia="Times New Roman" w:hAnsi="Times New Roman"/>
                <w:sz w:val="18"/>
                <w:szCs w:val="18"/>
                <w:color w:val="auto"/>
              </w:rPr>
              <w:t>Consolidated Funds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185,123</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148,053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487,703</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489,030</w:t>
            </w:r>
          </w:p>
        </w:tc>
      </w:tr>
      <w:tr>
        <w:trPr>
          <w:trHeight w:val="20"/>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management and advisory fee revenues for the Consolidated Funds, which have been eliminated in consolidation.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35"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The table below shows a reconciliation of GAAP measures to additional non-GAAP measures. We use the non-GAAP measures presented below as components when calculating FRE and ANI.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management and advisory fees,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364,606</w:t>
            </w:r>
          </w:p>
        </w:tc>
      </w:tr>
      <w:tr>
        <w:trPr>
          <w:trHeight w:val="175"/>
        </w:trPr>
        <w:tc>
          <w:tcPr>
            <w:tcW w:w="41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Management and advisory fee revenues for the</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Pr>
          <w:p>
            <w:pPr>
              <w:ind w:left="680"/>
              <w:spacing w:after="0" w:line="243" w:lineRule="exact"/>
              <w:rPr>
                <w:sz w:val="20"/>
                <w:szCs w:val="20"/>
                <w:color w:val="auto"/>
              </w:rPr>
            </w:pPr>
            <w:r>
              <w:rPr>
                <w:rFonts w:ascii="Times New Roman" w:cs="Times New Roman" w:eastAsia="Times New Roman" w:hAnsi="Times New Roman"/>
                <w:sz w:val="18"/>
                <w:szCs w:val="18"/>
                <w:color w:val="auto"/>
              </w:rPr>
              <w:t>Consolidated Funds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management and advisory fees,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364,606</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interest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176"/>
        </w:trPr>
        <w:tc>
          <w:tcPr>
            <w:tcW w:w="41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Interest income earned by the Consolidated</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Pr>
          <w:p>
            <w:pPr>
              <w:ind w:left="680"/>
              <w:spacing w:after="0" w:line="243" w:lineRule="exact"/>
              <w:rPr>
                <w:sz w:val="20"/>
                <w:szCs w:val="20"/>
                <w:color w:val="auto"/>
              </w:rPr>
            </w:pPr>
            <w:r>
              <w:rPr>
                <w:rFonts w:ascii="Times New Roman" w:cs="Times New Roman" w:eastAsia="Times New Roman" w:hAnsi="Times New Roman"/>
                <w:sz w:val="18"/>
                <w:szCs w:val="18"/>
                <w:color w:val="auto"/>
              </w:rPr>
              <w:t>Funds</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interest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other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29"/>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other income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60" w:right="180" w:hanging="652"/>
        <w:spacing w:after="0" w:line="260"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a gain associated with amounts received as part of negotiations with a third party related to certain corporate matters and the removal of the impact of consolidation of the Consolidated Funds.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income (loss) before income tax to ANI and FRE.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(108,959)</w:t>
            </w:r>
          </w:p>
        </w:tc>
      </w:tr>
      <w:tr>
        <w:trPr>
          <w:trHeight w:val="176"/>
        </w:trPr>
        <w:tc>
          <w:tcPr>
            <w:tcW w:w="41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Pr>
          <w:p>
            <w:pPr>
              <w:ind w:left="680"/>
              <w:spacing w:after="0" w:line="243" w:lineRule="exact"/>
              <w:rPr>
                <w:sz w:val="20"/>
                <w:szCs w:val="20"/>
                <w:color w:val="auto"/>
              </w:rPr>
            </w:pPr>
            <w:r>
              <w:rPr>
                <w:rFonts w:ascii="Times New Roman" w:cs="Times New Roman" w:eastAsia="Times New Roman" w:hAnsi="Times New Roman"/>
                <w:sz w:val="18"/>
                <w:szCs w:val="18"/>
                <w:color w:val="auto"/>
              </w:rPr>
              <w:t>interests in subsidiaries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(28,903)</w:t>
            </w:r>
          </w:p>
        </w:tc>
      </w:tr>
      <w:tr>
        <w:trPr>
          <w:trHeight w:val="176"/>
        </w:trPr>
        <w:tc>
          <w:tcPr>
            <w:tcW w:w="41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 legacy Greenspring entities</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32,927</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354,095</w:t>
            </w:r>
          </w:p>
        </w:tc>
      </w:tr>
      <w:tr>
        <w:trPr>
          <w:trHeight w:val="229"/>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Unrealized performance fee-related compensation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(172,554)</w:t>
            </w:r>
          </w:p>
        </w:tc>
      </w:tr>
      <w:tr>
        <w:trPr>
          <w:trHeight w:val="230"/>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investment (income) loss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w:t>
            </w:r>
          </w:p>
        </w:tc>
      </w:tr>
      <w:tr>
        <w:trPr>
          <w:trHeight w:val="229"/>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Impact of Consolidated Funds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r>
      <w:tr>
        <w:trPr>
          <w:trHeight w:val="230"/>
        </w:trPr>
        <w:tc>
          <w:tcPr>
            <w:tcW w:w="41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32,611</w:t>
            </w:r>
          </w:p>
        </w:tc>
      </w:tr>
      <w:tr>
        <w:trPr>
          <w:trHeight w:val="176"/>
        </w:trPr>
        <w:tc>
          <w:tcPr>
            <w:tcW w:w="41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Tax Receivable Agreements adjustments through</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earnings</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16,847</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ANI</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148,711</w:t>
            </w:r>
          </w:p>
        </w:tc>
      </w:tr>
      <w:tr>
        <w:trPr>
          <w:trHeight w:val="230"/>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(33,163)</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115,548</w:t>
            </w:r>
          </w:p>
        </w:tc>
      </w:tr>
      <w:tr>
        <w:trPr>
          <w:trHeight w:val="229"/>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33,163</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Realized carried interest allocations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(112,396)</w:t>
            </w:r>
          </w:p>
        </w:tc>
      </w:tr>
      <w:tr>
        <w:trPr>
          <w:trHeight w:val="230"/>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w w:val="99"/>
              </w:rPr>
              <w:t>Realized performance fee-related compensation</w:t>
            </w:r>
            <w:r>
              <w:rPr>
                <w:rFonts w:ascii="Times New Roman" w:cs="Times New Roman" w:eastAsia="Times New Roman" w:hAnsi="Times New Roman"/>
                <w:sz w:val="23"/>
                <w:szCs w:val="23"/>
                <w:color w:val="auto"/>
                <w:w w:val="99"/>
                <w:vertAlign w:val="superscript"/>
              </w:rPr>
              <w:t>(5)</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67,091</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Incentive fees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r>
      <w:tr>
        <w:trPr>
          <w:trHeight w:val="230"/>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Adjusted interest income</w:t>
            </w:r>
            <w:r>
              <w:rPr>
                <w:rFonts w:ascii="Times New Roman" w:cs="Times New Roman" w:eastAsia="Times New Roman" w:hAnsi="Times New Roman"/>
                <w:sz w:val="23"/>
                <w:szCs w:val="23"/>
                <w:color w:val="auto"/>
                <w:vertAlign w:val="superscript"/>
              </w:rPr>
              <w:t>(6)</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29"/>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Adjusted other (income) loss</w:t>
            </w:r>
            <w:r>
              <w:rPr>
                <w:rFonts w:ascii="Times New Roman" w:cs="Times New Roman" w:eastAsia="Times New Roman" w:hAnsi="Times New Roman"/>
                <w:sz w:val="23"/>
                <w:szCs w:val="23"/>
                <w:color w:val="auto"/>
                <w:vertAlign w:val="superscript"/>
              </w:rPr>
              <w:t>(6)(7)</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176"/>
        </w:trPr>
        <w:tc>
          <w:tcPr>
            <w:tcW w:w="41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line="243" w:lineRule="exact"/>
              <w:rPr>
                <w:sz w:val="20"/>
                <w:szCs w:val="20"/>
                <w:color w:val="auto"/>
              </w:rPr>
            </w:pPr>
            <w:r>
              <w:rPr>
                <w:rFonts w:ascii="Times New Roman" w:cs="Times New Roman" w:eastAsia="Times New Roman" w:hAnsi="Times New Roman"/>
                <w:sz w:val="18"/>
                <w:szCs w:val="18"/>
                <w:color w:val="auto"/>
              </w:rPr>
              <w:t>interests in subsidiaries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36,398</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28,903</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138,893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118,362</w:t>
            </w:r>
          </w:p>
        </w:tc>
      </w:tr>
      <w:tr>
        <w:trPr>
          <w:trHeight w:val="20"/>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80" w:hanging="652"/>
        <w:spacing w:after="0" w:line="250"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pre-tax ANI of our subsidiaries attributable to non-controlling interests and the profits interests issued in the private wealth subsidiary.</w:t>
      </w:r>
    </w:p>
    <w:p>
      <w:pPr>
        <w:ind w:left="660" w:right="120" w:hanging="652"/>
        <w:spacing w:after="0" w:line="260"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ind w:left="660" w:hanging="652"/>
        <w:spacing w:after="0" w:line="252"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expense related to transaction costs ($0.7 million and $6.8 million for the three months ended December 31, 2023 and 2022, respectively, $0.9 million and $6.8 million for the nine months ended December 31, 2023 and 2022, respectively), lease remeasurement adjustments ($(0.1) million for the three months ended December 31, 2023, $(0.1) million and $(2.7) million for the nine months ended December 31, 2023 and 2022, respectively), accelerated depreciation of leasehold improvements for changes in lease terms ($0.6 million for the three months ended December 31, 2023 and 2022, respectively, $1.9 million and $0.8 million for the nine months ended December 31, 2023 and 2022, respectively), loss on change in fair value for contingent consideration obligation ($9.1 million and $2.0 million for the three months ended December 31, 2023 and 2022, respectively, $4.9 million and $9.9 million for the nine months ended December 31, 2023 and 2022, respectively), compensation paid to certain employees as part of an acquisition earn-out ($0.6 million and $0.5 million for the three months ended December 31, 2023 and 2022, respectively, $1.7 million for the nine months ended December 31, 2023 and 2022, respectively), gain associated with amounts received as part of negotiations with a third party related to certain corporate matters ($5.3 million for the three and nine months ended December 31, 2023), loss on sale of subsidiary ($0.8 million for the three and nine months ended December 31, 2023) and other non-core operating income and expenses.</w:t>
      </w:r>
    </w:p>
    <w:p>
      <w:pPr>
        <w:spacing w:after="0" w:line="2" w:lineRule="exact"/>
        <w:rPr>
          <w:rFonts w:ascii="Times New Roman" w:cs="Times New Roman" w:eastAsia="Times New Roman" w:hAnsi="Times New Roman"/>
          <w:sz w:val="18"/>
          <w:szCs w:val="18"/>
          <w:color w:val="auto"/>
        </w:rPr>
      </w:pPr>
    </w:p>
    <w:p>
      <w:pPr>
        <w:ind w:left="660" w:right="120" w:hanging="652"/>
        <w:spacing w:after="0" w:line="265" w:lineRule="auto"/>
        <w:tabs>
          <w:tab w:leader="none" w:pos="65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corporate income taxes at a blended statutory rate of 22.3% applied to pre-tax ANI for the three and nine months ended December 31, 2023 and 2022, which is based on a federal statutory rate of 21.0% and a combined state, local and foreign rate net of federal benefits of 1.3%.</w:t>
      </w:r>
    </w:p>
    <w:p>
      <w:pPr>
        <w:ind w:left="660" w:right="20" w:hanging="652"/>
        <w:spacing w:after="0" w:line="245"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carried interest-related compensation expense related to the portion of net carried interest allocation revenue attributable to equity holders of the Company’s consolidated subsidiaries that are not 100% owned ($0.7 million and $2.2 million for the three months ended December 31, 2023 and 2022, respectively, $2.8 million and $9.0 million for the nine months ended December 31, 2023 and 2022, respectively).</w:t>
      </w:r>
    </w:p>
    <w:p>
      <w:pPr>
        <w:spacing w:after="0" w:line="2" w:lineRule="exact"/>
        <w:rPr>
          <w:rFonts w:ascii="Times New Roman" w:cs="Times New Roman" w:eastAsia="Times New Roman" w:hAnsi="Times New Roman"/>
          <w:sz w:val="18"/>
          <w:szCs w:val="18"/>
          <w:color w:val="auto"/>
        </w:rPr>
      </w:pPr>
    </w:p>
    <w:p>
      <w:pPr>
        <w:ind w:left="640" w:hanging="632"/>
        <w:spacing w:after="0" w:line="219"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consolidating the Consolidated Funds.</w:t>
      </w:r>
    </w:p>
    <w:p>
      <w:pPr>
        <w:ind w:left="660" w:right="140" w:hanging="652"/>
        <w:spacing w:after="0" w:line="238"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for Tax Receivable Agreements adjustments recognized as other income (loss) ($(0.2) million for the three and nine months ended December 31, 2023), gain associated with amounts received as part of negotiations with a third party related to certain corporate matters ($5.3 million for the three and nine months ended December 31, 2023), and loss on sale of subsidiary ($0.8 million for the three and nine months ended December 31, 2023).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Investment Performance</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are generally presented from the inception date of each strategy and asset class through September 30, 2023 and have not been adjusted to reflect acquisitions or disposals of investments subsequent to that date.</w:t>
      </w:r>
    </w:p>
    <w:p>
      <w:pPr>
        <w:spacing w:after="0" w:line="187"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46"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investment opportunities may differ from those in the past;</w:t>
      </w:r>
    </w:p>
    <w:p>
      <w:pPr>
        <w:spacing w:after="0" w:line="229"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is largely based on the NAV (as defined below) of the funds’ investments, including unrealized gains, which may never be realized;</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newly-established funds may generate lower investment returns during the period that they initially deploy their capital;</w:t>
      </w:r>
    </w:p>
    <w:p>
      <w:pPr>
        <w:spacing w:after="0" w:line="215" w:lineRule="exact"/>
        <w:rPr>
          <w:rFonts w:ascii="Times New Roman" w:cs="Times New Roman" w:eastAsia="Times New Roman" w:hAnsi="Times New Roman"/>
          <w:sz w:val="20"/>
          <w:szCs w:val="20"/>
          <w:color w:val="auto"/>
        </w:rPr>
      </w:pPr>
    </w:p>
    <w:p>
      <w:pPr>
        <w:ind w:left="660" w:hanging="328"/>
        <w:spacing w:after="0" w:line="268"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61" w:lineRule="exact"/>
        <w:rPr>
          <w:rFonts w:ascii="Times New Roman" w:cs="Times New Roman" w:eastAsia="Times New Roman" w:hAnsi="Times New Roman"/>
          <w:sz w:val="20"/>
          <w:szCs w:val="20"/>
          <w:color w:val="auto"/>
        </w:rPr>
      </w:pPr>
    </w:p>
    <w:p>
      <w:pPr>
        <w:ind w:left="660" w:right="340" w:hanging="328"/>
        <w:spacing w:after="0" w:line="310" w:lineRule="auto"/>
        <w:tabs>
          <w:tab w:leader="none" w:pos="64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35"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industries and businesses in which particular funds invest will vary.</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Historical and future returns of investments included in our track record are not directly correlated to potential returns on our Class A common stock.</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the following table:</w:t>
      </w:r>
    </w:p>
    <w:p>
      <w:pPr>
        <w:spacing w:after="0" w:line="216" w:lineRule="exact"/>
        <w:rPr>
          <w:sz w:val="20"/>
          <w:szCs w:val="20"/>
          <w:color w:val="auto"/>
        </w:rPr>
      </w:pPr>
    </w:p>
    <w:p>
      <w:pPr>
        <w:ind w:left="660" w:right="1000" w:hanging="328"/>
        <w:spacing w:after="0" w:line="283"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“Invested capital” refers to the total amount of all investments made by a fund, including commitment-reducing and non-commitment-reducing capital calls;</w:t>
      </w:r>
    </w:p>
    <w:p>
      <w:pPr>
        <w:spacing w:after="0" w:line="159" w:lineRule="exact"/>
        <w:rPr>
          <w:rFonts w:ascii="Times New Roman" w:cs="Times New Roman" w:eastAsia="Times New Roman" w:hAnsi="Times New Roman"/>
          <w:sz w:val="20"/>
          <w:szCs w:val="20"/>
          <w:color w:val="auto"/>
        </w:rPr>
      </w:pPr>
    </w:p>
    <w:p>
      <w:pPr>
        <w:ind w:left="660" w:right="120" w:hanging="328"/>
        <w:spacing w:after="0" w:line="269"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 refers to the estimated fair value of unrealized investments plus any net assets or liabilities associated with the investment as of September 30, 2023;</w:t>
      </w:r>
    </w:p>
    <w:p>
      <w:pPr>
        <w:spacing w:after="0" w:line="172" w:lineRule="exact"/>
        <w:rPr>
          <w:rFonts w:ascii="Times New Roman" w:cs="Times New Roman" w:eastAsia="Times New Roman" w:hAnsi="Times New Roman"/>
          <w:sz w:val="20"/>
          <w:szCs w:val="20"/>
          <w:color w:val="auto"/>
        </w:rPr>
      </w:pPr>
    </w:p>
    <w:p>
      <w:pPr>
        <w:jc w:val="both"/>
        <w:ind w:left="660" w:right="260" w:hanging="328"/>
        <w:spacing w:after="0" w:line="295" w:lineRule="auto"/>
        <w:tabs>
          <w:tab w:leader="none" w:pos="648"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“IRR” refers to the annualized internal rate of return for all investments within the relevant investment strategy on an inception-to-date basis as of September 30, 2023 (except as noted otherwise below), based on contributions, distributions and unrealized value;</w:t>
      </w:r>
    </w:p>
    <w:p>
      <w:pPr>
        <w:spacing w:after="0" w:line="151"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IRR” refers to IRR net of fees and expenses charged by both the underlying fund managers and StepStone; and</w:t>
      </w:r>
    </w:p>
    <w:p>
      <w:pPr>
        <w:spacing w:after="0" w:line="229" w:lineRule="exact"/>
        <w:rPr>
          <w:rFonts w:ascii="Times New Roman" w:cs="Times New Roman" w:eastAsia="Times New Roman" w:hAnsi="Times New Roman"/>
          <w:sz w:val="20"/>
          <w:szCs w:val="20"/>
          <w:color w:val="auto"/>
        </w:rPr>
      </w:pPr>
    </w:p>
    <w:p>
      <w:pPr>
        <w:ind w:left="660" w:right="320" w:hanging="328"/>
        <w:spacing w:after="0" w:line="269"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StepStone Performance Summary by Asset Class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PRIVATE EQUITY</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PRIVATE DEBT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shd w:val="clear" w:color="auto" w:fill="CCEEFF"/>
          </w:tcPr>
          <w:p>
            <w:pPr>
              <w:jc w:val="center"/>
              <w:ind w:left="188"/>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20" w:type="dxa"/>
            <w:vAlign w:val="bottom"/>
            <w:shd w:val="clear" w:color="auto" w:fill="CCEEFF"/>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(1,2,4)</w:t>
            </w:r>
          </w:p>
        </w:tc>
        <w:tc>
          <w:tcPr>
            <w:tcW w:w="900" w:type="dxa"/>
            <w:vAlign w:val="bottom"/>
            <w:shd w:val="clear" w:color="auto" w:fill="CCEEFF"/>
          </w:tcPr>
          <w:p>
            <w:pPr>
              <w:jc w:val="center"/>
              <w:ind w:left="188"/>
              <w:spacing w:after="0" w:line="202" w:lineRule="exact"/>
              <w:rPr>
                <w:sz w:val="20"/>
                <w:szCs w:val="20"/>
                <w:color w:val="auto"/>
              </w:rPr>
            </w:pPr>
            <w:r>
              <w:rPr>
                <w:rFonts w:ascii="Times New Roman" w:cs="Times New Roman" w:eastAsia="Times New Roman" w:hAnsi="Times New Roman"/>
                <w:sz w:val="14"/>
                <w:szCs w:val="14"/>
                <w:b w:val="1"/>
                <w:bCs w:val="1"/>
                <w:color w:val="auto"/>
                <w:w w:val="90"/>
              </w:rPr>
              <w:t>IRR</w:t>
            </w:r>
            <w:r>
              <w:rPr>
                <w:rFonts w:ascii="Times New Roman" w:cs="Times New Roman" w:eastAsia="Times New Roman" w:hAnsi="Times New Roman"/>
                <w:sz w:val="18"/>
                <w:szCs w:val="18"/>
                <w:b w:val="1"/>
                <w:bCs w:val="1"/>
                <w:color w:val="auto"/>
                <w:w w:val="90"/>
                <w:vertAlign w:val="superscript"/>
              </w:rPr>
              <w:t>(3)</w:t>
            </w:r>
          </w:p>
        </w:tc>
        <w:tc>
          <w:tcPr>
            <w:tcW w:w="76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4"/>
              </w:rPr>
              <w:t>TVM</w:t>
            </w:r>
            <w:r>
              <w:rPr>
                <w:rFonts w:ascii="Times New Roman" w:cs="Times New Roman" w:eastAsia="Times New Roman" w:hAnsi="Times New Roman"/>
                <w:sz w:val="18"/>
                <w:szCs w:val="18"/>
                <w:b w:val="1"/>
                <w:bCs w:val="1"/>
                <w:color w:val="auto"/>
                <w:w w:val="94"/>
                <w:vertAlign w:val="superscript"/>
              </w:rPr>
              <w:t>(3)</w:t>
            </w:r>
          </w:p>
        </w:tc>
        <w:tc>
          <w:tcPr>
            <w:tcW w:w="18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(1,4,5)</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IRR</w:t>
            </w:r>
            <w:r>
              <w:rPr>
                <w:rFonts w:ascii="Times New Roman" w:cs="Times New Roman" w:eastAsia="Times New Roman" w:hAnsi="Times New Roman"/>
                <w:sz w:val="18"/>
                <w:szCs w:val="18"/>
                <w:b w:val="1"/>
                <w:bCs w:val="1"/>
                <w:color w:val="auto"/>
                <w:w w:val="95"/>
                <w:vertAlign w:val="superscript"/>
              </w:rPr>
              <w:t>(3)</w:t>
            </w:r>
          </w:p>
        </w:tc>
        <w:tc>
          <w:tcPr>
            <w:tcW w:w="780" w:type="dxa"/>
            <w:vAlign w:val="bottom"/>
            <w:gridSpan w:val="2"/>
            <w:shd w:val="clear" w:color="auto" w:fill="CCEEFF"/>
          </w:tcPr>
          <w:p>
            <w:pPr>
              <w:jc w:val="center"/>
              <w:ind w:right="60"/>
              <w:spacing w:after="0" w:line="202" w:lineRule="exact"/>
              <w:rPr>
                <w:sz w:val="20"/>
                <w:szCs w:val="20"/>
                <w:color w:val="auto"/>
              </w:rPr>
            </w:pPr>
            <w:r>
              <w:rPr>
                <w:rFonts w:ascii="Times New Roman" w:cs="Times New Roman" w:eastAsia="Times New Roman" w:hAnsi="Times New Roman"/>
                <w:sz w:val="14"/>
                <w:szCs w:val="14"/>
                <w:b w:val="1"/>
                <w:bCs w:val="1"/>
                <w:color w:val="auto"/>
                <w:w w:val="94"/>
              </w:rPr>
              <w:t>TVM</w:t>
            </w:r>
            <w:r>
              <w:rPr>
                <w:rFonts w:ascii="Times New Roman" w:cs="Times New Roman" w:eastAsia="Times New Roman" w:hAnsi="Times New Roman"/>
                <w:sz w:val="18"/>
                <w:szCs w:val="18"/>
                <w:b w:val="1"/>
                <w:bCs w:val="1"/>
                <w:color w:val="auto"/>
                <w:w w:val="94"/>
                <w:vertAlign w:val="superscript"/>
              </w:rPr>
              <w:t>(3)</w:t>
            </w:r>
          </w:p>
        </w:tc>
        <w:tc>
          <w:tcPr>
            <w:tcW w:w="18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(1,4,6)</w:t>
            </w:r>
          </w:p>
        </w:tc>
        <w:tc>
          <w:tcPr>
            <w:tcW w:w="520" w:type="dxa"/>
            <w:vAlign w:val="bottom"/>
            <w:shd w:val="clear" w:color="auto" w:fill="CCEEFF"/>
          </w:tcPr>
          <w:p>
            <w:pPr>
              <w:jc w:val="center"/>
              <w:ind w:right="68"/>
              <w:spacing w:after="0" w:line="202" w:lineRule="exact"/>
              <w:rPr>
                <w:sz w:val="20"/>
                <w:szCs w:val="20"/>
                <w:color w:val="auto"/>
              </w:rPr>
            </w:pPr>
            <w:r>
              <w:rPr>
                <w:rFonts w:ascii="Times New Roman" w:cs="Times New Roman" w:eastAsia="Times New Roman" w:hAnsi="Times New Roman"/>
                <w:sz w:val="14"/>
                <w:szCs w:val="14"/>
                <w:b w:val="1"/>
                <w:bCs w:val="1"/>
                <w:color w:val="auto"/>
                <w:w w:val="95"/>
              </w:rPr>
              <w:t>IRR</w:t>
            </w:r>
            <w:r>
              <w:rPr>
                <w:rFonts w:ascii="Times New Roman" w:cs="Times New Roman" w:eastAsia="Times New Roman" w:hAnsi="Times New Roman"/>
                <w:sz w:val="18"/>
                <w:szCs w:val="18"/>
                <w:b w:val="1"/>
                <w:bCs w:val="1"/>
                <w:color w:val="auto"/>
                <w:w w:val="95"/>
                <w:vertAlign w:val="superscript"/>
              </w:rPr>
              <w:t>(3)</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(1,4,8)</w:t>
            </w:r>
          </w:p>
        </w:tc>
        <w:tc>
          <w:tcPr>
            <w:tcW w:w="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IRR</w:t>
            </w:r>
            <w:r>
              <w:rPr>
                <w:rFonts w:ascii="Times New Roman" w:cs="Times New Roman" w:eastAsia="Times New Roman" w:hAnsi="Times New Roman"/>
                <w:sz w:val="18"/>
                <w:szCs w:val="18"/>
                <w:b w:val="1"/>
                <w:bCs w:val="1"/>
                <w:color w:val="auto"/>
                <w:w w:val="95"/>
                <w:vertAlign w:val="superscript"/>
              </w:rPr>
              <w:t>(3)</w:t>
            </w:r>
          </w:p>
        </w:tc>
        <w:tc>
          <w:tcPr>
            <w:tcW w:w="0" w:type="dxa"/>
            <w:vAlign w:val="bottom"/>
          </w:tcPr>
          <w:p>
            <w:pPr>
              <w:spacing w:after="0"/>
              <w:rPr>
                <w:sz w:val="1"/>
                <w:szCs w:val="1"/>
                <w:color w:val="auto"/>
              </w:rPr>
            </w:pPr>
          </w:p>
        </w:tc>
      </w:tr>
      <w:tr>
        <w:trPr>
          <w:trHeight w:val="190"/>
        </w:trPr>
        <w:tc>
          <w:tcPr>
            <w:tcW w:w="1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900" w:type="dxa"/>
            <w:vAlign w:val="bottom"/>
            <w:tcBorders>
              <w:top w:val="single" w:sz="8" w:color="auto"/>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w w:val="99"/>
              </w:rPr>
              <w:t>15.8%</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1.6x</w:t>
            </w:r>
          </w:p>
        </w:tc>
        <w:tc>
          <w:tcPr>
            <w:tcW w:w="80" w:type="dxa"/>
            <w:vAlign w:val="bottom"/>
            <w:tcBorders>
              <w:bottom w:val="single" w:sz="8" w:color="CCEEFF"/>
            </w:tcBorders>
          </w:tcPr>
          <w:p>
            <w:pPr>
              <w:spacing w:after="0"/>
              <w:rPr>
                <w:sz w:val="16"/>
                <w:szCs w:val="16"/>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1.3x</w:t>
            </w:r>
          </w:p>
        </w:tc>
        <w:tc>
          <w:tcPr>
            <w:tcW w:w="100" w:type="dxa"/>
            <w:vAlign w:val="bottom"/>
            <w:tcBorders>
              <w:bottom w:val="single" w:sz="8" w:color="CCEEFF"/>
            </w:tcBorders>
          </w:tcPr>
          <w:p>
            <w:pPr>
              <w:spacing w:after="0"/>
              <w:rPr>
                <w:sz w:val="16"/>
                <w:szCs w:val="16"/>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52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Direct lending</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39"/>
        </w:trPr>
        <w:tc>
          <w:tcPr>
            <w:tcW w:w="1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900" w:type="dxa"/>
            <w:vAlign w:val="bottom"/>
            <w:vMerge w:val="restart"/>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w w:val="99"/>
              </w:rPr>
              <w:t>17.1%</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1.5x</w:t>
            </w:r>
          </w:p>
        </w:tc>
        <w:tc>
          <w:tcPr>
            <w:tcW w:w="80" w:type="dxa"/>
            <w:vAlign w:val="bottom"/>
            <w:vMerge w:val="restart"/>
            <w:shd w:val="clear" w:color="auto" w:fill="CCEEFF"/>
          </w:tcPr>
          <w:p>
            <w:pPr>
              <w:spacing w:after="0"/>
              <w:rPr>
                <w:sz w:val="12"/>
                <w:szCs w:val="12"/>
                <w:color w:val="auto"/>
              </w:rPr>
            </w:pPr>
          </w:p>
        </w:tc>
        <w:tc>
          <w:tcPr>
            <w:tcW w:w="18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1.3x</w:t>
            </w:r>
          </w:p>
        </w:tc>
        <w:tc>
          <w:tcPr>
            <w:tcW w:w="100" w:type="dxa"/>
            <w:vAlign w:val="bottom"/>
            <w:vMerge w:val="restart"/>
            <w:shd w:val="clear" w:color="auto" w:fill="CCEEFF"/>
          </w:tcPr>
          <w:p>
            <w:pPr>
              <w:spacing w:after="0"/>
              <w:rPr>
                <w:sz w:val="12"/>
                <w:szCs w:val="12"/>
                <w:color w:val="auto"/>
              </w:rPr>
            </w:pPr>
          </w:p>
        </w:tc>
        <w:tc>
          <w:tcPr>
            <w:tcW w:w="1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Core</w:t>
            </w:r>
          </w:p>
        </w:tc>
        <w:tc>
          <w:tcPr>
            <w:tcW w:w="52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2"/>
                <w:szCs w:val="12"/>
                <w:color w:val="auto"/>
              </w:rPr>
            </w:pPr>
          </w:p>
        </w:tc>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Distressed debt</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3"/>
        </w:trPr>
        <w:tc>
          <w:tcPr>
            <w:tcW w:w="146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8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Co-investments</w:t>
            </w:r>
            <w:r>
              <w:rPr>
                <w:rFonts w:ascii="Times New Roman" w:cs="Times New Roman" w:eastAsia="Times New Roman" w:hAnsi="Times New Roman"/>
                <w:sz w:val="9"/>
                <w:szCs w:val="9"/>
                <w:color w:val="auto"/>
              </w:rPr>
              <w:t>(7)</w:t>
            </w:r>
          </w:p>
        </w:tc>
        <w:tc>
          <w:tcPr>
            <w:tcW w:w="90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99"/>
              </w:rPr>
              <w:t>16.7%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1.6x</w:t>
            </w:r>
          </w:p>
        </w:tc>
        <w:tc>
          <w:tcPr>
            <w:tcW w:w="80" w:type="dxa"/>
            <w:vAlign w:val="bottom"/>
            <w:vMerge w:val="restart"/>
          </w:tcPr>
          <w:p>
            <w:pPr>
              <w:spacing w:after="0"/>
              <w:rPr>
                <w:sz w:val="11"/>
                <w:szCs w:val="11"/>
                <w:color w:val="auto"/>
              </w:rPr>
            </w:pPr>
          </w:p>
        </w:tc>
        <w:tc>
          <w:tcPr>
            <w:tcW w:w="18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Real estate debt fund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1.2x</w:t>
            </w:r>
          </w:p>
        </w:tc>
        <w:tc>
          <w:tcPr>
            <w:tcW w:w="100" w:type="dxa"/>
            <w:vAlign w:val="bottom"/>
            <w:vMerge w:val="restart"/>
          </w:tcPr>
          <w:p>
            <w:pPr>
              <w:spacing w:after="0"/>
              <w:rPr>
                <w:sz w:val="11"/>
                <w:szCs w:val="11"/>
                <w:color w:val="auto"/>
              </w:rPr>
            </w:pPr>
          </w:p>
        </w:tc>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Core+</w:t>
            </w:r>
          </w:p>
        </w:tc>
        <w:tc>
          <w:tcPr>
            <w:tcW w:w="5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(9)</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3"/>
        </w:trPr>
        <w:tc>
          <w:tcPr>
            <w:tcW w:w="14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Value-add/opportunistic</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12.4%</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1.3x</w:t>
            </w:r>
          </w:p>
        </w:tc>
        <w:tc>
          <w:tcPr>
            <w:tcW w:w="100" w:type="dxa"/>
            <w:vAlign w:val="bottom"/>
            <w:vMerge w:val="restart"/>
            <w:shd w:val="clear" w:color="auto" w:fill="CCEEFF"/>
          </w:tcPr>
          <w:p>
            <w:pPr>
              <w:spacing w:after="0"/>
              <w:rPr>
                <w:sz w:val="11"/>
                <w:szCs w:val="11"/>
                <w:color w:val="auto"/>
              </w:rPr>
            </w:pPr>
          </w:p>
        </w:tc>
        <w:tc>
          <w:tcPr>
            <w:tcW w:w="1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Value-add</w:t>
            </w:r>
          </w:p>
        </w:tc>
        <w:tc>
          <w:tcPr>
            <w:tcW w:w="52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 &amp; co-investments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8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80" w:hanging="652"/>
        <w:spacing w:after="0" w:line="250" w:lineRule="auto"/>
        <w:tabs>
          <w:tab w:leader="none" w:pos="654"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Investment returns reflect NAV data for underlying investments as of September 30, 2023, as reported by underlying managers up to </w:t>
      </w:r>
      <w:r>
        <w:rPr>
          <w:rFonts w:ascii="Times New Roman" w:cs="Times New Roman" w:eastAsia="Times New Roman" w:hAnsi="Times New Roman"/>
          <w:sz w:val="18"/>
          <w:szCs w:val="18"/>
          <w:color w:val="231F20"/>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day occurring on or after 100 </w:t>
      </w:r>
      <w:r>
        <w:rPr>
          <w:rFonts w:ascii="Times New Roman" w:cs="Times New Roman" w:eastAsia="Times New Roman" w:hAnsi="Times New Roman"/>
          <w:sz w:val="18"/>
          <w:szCs w:val="18"/>
          <w:color w:val="000000"/>
        </w:rPr>
        <w:t>days following September 30, 2023. For investment returns where NAV data is not available by</w:t>
      </w:r>
      <w:r>
        <w:rPr>
          <w:rFonts w:ascii="Times New Roman" w:cs="Times New Roman" w:eastAsia="Times New Roman" w:hAnsi="Times New Roman"/>
          <w:sz w:val="18"/>
          <w:szCs w:val="18"/>
          <w:color w:val="231F20"/>
        </w:rPr>
        <w:t xml:space="preserve"> the business day occurring on or after 100 </w:t>
      </w:r>
      <w:r>
        <w:rPr>
          <w:rFonts w:ascii="Times New Roman" w:cs="Times New Roman" w:eastAsia="Times New Roman" w:hAnsi="Times New Roman"/>
          <w:sz w:val="18"/>
          <w:szCs w:val="18"/>
          <w:color w:val="000000"/>
        </w:rPr>
        <w:t>days following September 30, 2023, such NAVs are adjusted for cash activity following the last available reported NAV.</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Investment 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Times New Roman" w:cs="Times New Roman" w:eastAsia="Times New Roman" w:hAnsi="Times New Roman"/>
          <w:sz w:val="18"/>
          <w:szCs w:val="18"/>
          <w:color w:val="231F20"/>
        </w:rPr>
      </w:pPr>
    </w:p>
    <w:p>
      <w:pPr>
        <w:ind w:left="660" w:hanging="652"/>
        <w:spacing w:after="0" w:line="252"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includes 2,534 investments totaling $181.4 billion of capital commitments and excludes (i) two advisory co-investments, totaling $100.0 million of capital commitments, (ii) 263 client-directed private equity investments, totaling $30.0 billion of capital commitments, and (iii) investments for which StepStone does not provide monitoring and reporting services to the client that made the investment. Private equity includes buyout, venture capital, growth equity, fund-of-funds, and energy focused strategies. StepStone’s venture capital and growth equity strategy is composed of a) venture capital and growth equity focused commingled funds and separately managed accounts (the “StepStone VC Platform”) and b) underlying venture capital and growth equity investments within StepStone’s broader private equity funds.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ind w:left="652" w:right="100" w:hanging="652"/>
        <w:spacing w:after="0" w:line="254" w:lineRule="auto"/>
        <w:tabs>
          <w:tab w:leader="none" w:pos="6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charged quarterly):</w:t>
      </w:r>
    </w:p>
    <w:p>
      <w:pPr>
        <w:spacing w:after="0" w:line="3" w:lineRule="exact"/>
        <w:rPr>
          <w:rFonts w:ascii="Times New Roman" w:cs="Times New Roman" w:eastAsia="Times New Roman" w:hAnsi="Times New Roman"/>
          <w:sz w:val="18"/>
          <w:szCs w:val="18"/>
          <w:color w:val="auto"/>
        </w:rPr>
      </w:pPr>
    </w:p>
    <w:p>
      <w:pPr>
        <w:ind w:left="1292" w:right="160" w:hanging="644"/>
        <w:spacing w:after="0" w:line="243" w:lineRule="auto"/>
        <w:tabs>
          <w:tab w:leader="none" w:pos="127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Primaries management fee: 25 basis points of net invested capital for private equity, real estate and infrastructure; 25 basis points of net asset value for private debt; 75 basis points of committed capital for the StepStone VC Platform.</w:t>
      </w:r>
    </w:p>
    <w:p>
      <w:pPr>
        <w:spacing w:after="0" w:line="1" w:lineRule="exact"/>
        <w:rPr>
          <w:rFonts w:ascii="Times New Roman" w:cs="Times New Roman" w:eastAsia="Times New Roman" w:hAnsi="Times New Roman"/>
          <w:sz w:val="18"/>
          <w:szCs w:val="18"/>
          <w:color w:val="auto"/>
        </w:rPr>
      </w:pPr>
    </w:p>
    <w:p>
      <w:pPr>
        <w:ind w:left="1292" w:right="340" w:hanging="644"/>
        <w:spacing w:after="0" w:line="223" w:lineRule="auto"/>
        <w:tabs>
          <w:tab w:leader="none" w:pos="128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Secondaries management fee: 125 basis points, 125 basis points and 60 basis points for private equity, real estate and infrastructure, respectively, of capital commitments in years 1 through 4 for management fees. In year 5, management fees step down to 90% of the previous year’s fee; 65 basis points of net asset value for private debt; 75 basis points of committed capital for the StepStone VC Platform.</w:t>
      </w:r>
    </w:p>
    <w:p>
      <w:pPr>
        <w:ind w:left="1292" w:right="180" w:hanging="644"/>
        <w:spacing w:after="0" w:line="229" w:lineRule="auto"/>
        <w:tabs>
          <w:tab w:leader="none" w:pos="128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management fee: 100 basis points of net committed capital for private equity and real estate; 85 and 50 basis points for infrastructure co-investments and direct asset management investments, respectively, of net committed capital; 65 basis points of net asset value for private debt; 200 basis points of net invested capital for the StepStone VC Platform.</w:t>
      </w:r>
    </w:p>
    <w:p>
      <w:pPr>
        <w:spacing w:after="0" w:line="1" w:lineRule="exact"/>
        <w:rPr>
          <w:rFonts w:ascii="Times New Roman" w:cs="Times New Roman" w:eastAsia="Times New Roman" w:hAnsi="Times New Roman"/>
          <w:sz w:val="18"/>
          <w:szCs w:val="18"/>
          <w:color w:val="auto"/>
        </w:rPr>
      </w:pPr>
    </w:p>
    <w:p>
      <w:pPr>
        <w:ind w:left="1292" w:right="840" w:hanging="644"/>
        <w:spacing w:after="0" w:line="249" w:lineRule="auto"/>
        <w:tabs>
          <w:tab w:leader="none" w:pos="12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assess 5 basis points of capital commitments for fund expenses, charged quarterly, and 1 basis point of capital commitments drawn down in the first cash flow quarter for organizational costs.</w:t>
      </w:r>
    </w:p>
    <w:p>
      <w:pPr>
        <w:ind w:left="1292" w:right="320" w:hanging="644"/>
        <w:spacing w:after="0" w:line="250" w:lineRule="auto"/>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and infrastructure secondaries and co-investments include 12.5% and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 5.0% preferred return hurdle; and the StepStone VC Platform primaries, secondaries and co-investments/directs include 5.0%, 5.0% and 20.0%, respectively, of paid and unrealized carry with no preferred return hurdle.</w:t>
      </w:r>
    </w:p>
    <w:p>
      <w:pPr>
        <w:spacing w:after="0" w:line="2" w:lineRule="exact"/>
        <w:rPr>
          <w:sz w:val="20"/>
          <w:szCs w:val="20"/>
          <w:color w:val="auto"/>
        </w:rPr>
      </w:pPr>
    </w:p>
    <w:p>
      <w:pPr>
        <w:ind w:left="652" w:right="300"/>
        <w:spacing w:after="0" w:line="250" w:lineRule="auto"/>
        <w:rPr>
          <w:sz w:val="20"/>
          <w:szCs w:val="20"/>
          <w:color w:val="auto"/>
        </w:rPr>
      </w:pPr>
      <w:r>
        <w:rPr>
          <w:rFonts w:ascii="Times New Roman" w:cs="Times New Roman" w:eastAsia="Times New Roman" w:hAnsi="Times New Roman"/>
          <w:sz w:val="18"/>
          <w:szCs w:val="18"/>
          <w:color w:val="auto"/>
        </w:rPr>
        <w:t>Net IRR and Net TVM for certain investments may have been impacted by StepStone’s, or the underlying fund manager’s, use of subscription backed credit facilities by such vehicles. Reinvested/recycled amounts increase contributed capital.</w:t>
      </w:r>
    </w:p>
    <w:p>
      <w:pPr>
        <w:spacing w:after="0" w:line="1" w:lineRule="exact"/>
        <w:rPr>
          <w:sz w:val="20"/>
          <w:szCs w:val="20"/>
          <w:color w:val="auto"/>
        </w:rPr>
      </w:pPr>
    </w:p>
    <w:p>
      <w:pPr>
        <w:ind w:left="652" w:hanging="652"/>
        <w:spacing w:after="0" w:line="250" w:lineRule="auto"/>
        <w:tabs>
          <w:tab w:leader="none" w:pos="6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Times New Roman" w:cs="Times New Roman" w:eastAsia="Times New Roman" w:hAnsi="Times New Roman"/>
          <w:sz w:val="18"/>
          <w:szCs w:val="18"/>
          <w:color w:val="auto"/>
        </w:rPr>
      </w:pPr>
    </w:p>
    <w:p>
      <w:pPr>
        <w:ind w:left="652" w:right="20" w:hanging="652"/>
        <w:spacing w:after="0" w:line="250" w:lineRule="auto"/>
        <w:tabs>
          <w:tab w:leader="none" w:pos="6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includes 480 investments totaling $77.4 billion of capital commitments and excludes (i) 88 client-directed real estate investments, totaling $13.7 billion of capital commitments, (ii) 12 secondary/co-investment core/core+ or credit investments, totaling $714.0 million of capital commitments, (iii) four advisory fund investments totaling $463.6 million of capital commitments, and (iv)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52" w:right="120" w:hanging="652"/>
        <w:spacing w:after="0" w:line="250" w:lineRule="auto"/>
        <w:tabs>
          <w:tab w:leader="none" w:pos="6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includes 255 investments totaling $53.4 billion of capital commitments and excludes (i) 11 infrastructure investments made by the Partnership prior to the formation of the infrastructure subsidiary in 2013 or made prior to StepStone’s acquisition of Courtland Partners, Ltd. on April 1, 2018 (the “Courtland acquisition”), totaling $501.9 million of capital commitments, (ii) 29 client-directed infrastructure investments, totaling $4.5 billion of capital commitments, and (iii)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include venture capital and growth equity direct investments for private equity.</w:t>
      </w:r>
    </w:p>
    <w:p>
      <w:pPr>
        <w:spacing w:after="0" w:line="9" w:lineRule="exact"/>
        <w:rPr>
          <w:rFonts w:ascii="Times New Roman" w:cs="Times New Roman" w:eastAsia="Times New Roman" w:hAnsi="Times New Roman"/>
          <w:sz w:val="18"/>
          <w:szCs w:val="18"/>
          <w:color w:val="auto"/>
        </w:rPr>
      </w:pPr>
    </w:p>
    <w:p>
      <w:pPr>
        <w:ind w:left="652" w:right="120" w:hanging="652"/>
        <w:spacing w:after="0" w:line="250" w:lineRule="auto"/>
        <w:tabs>
          <w:tab w:leader="none" w:pos="6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includes 886 investments totaling $46.3 billion of capital commitments and excludes (i) 42 client-directed debt investments, totaling $2.9 billion of capital commitments, (ii) 53 real estate credit investments that were recommended by Courtland Partners, Ltd. prior to the Courtland acquisition, totaling $5.1 billion of capital commitments, and (iii)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52" w:right="180" w:hanging="652"/>
        <w:spacing w:after="0" w:line="260" w:lineRule="auto"/>
        <w:tabs>
          <w:tab w:leader="none" w:pos="6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mezzanine debt, collateralized loan obligations, leasing, regulatory capital, trade finance, intellectual property/royalty, real estate debt and infrastructure debt.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72" w:name="page73"/>
    <w:bookmarkEnd w:id="72"/>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Sources and Uses of Liquidity</w:t>
      </w:r>
    </w:p>
    <w:p>
      <w:pPr>
        <w:spacing w:after="0" w:line="22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0"/>
          <w:szCs w:val="20"/>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for property, equipment, and acquisitions to expand into new businesses.</w:t>
      </w:r>
    </w:p>
    <w:p>
      <w:pPr>
        <w:spacing w:after="0" w:line="173" w:lineRule="exact"/>
        <w:rPr>
          <w:sz w:val="20"/>
          <w:szCs w:val="20"/>
          <w:color w:val="auto"/>
        </w:rPr>
      </w:pPr>
    </w:p>
    <w:p>
      <w:pPr>
        <w:ind w:right="560" w:firstLine="648"/>
        <w:spacing w:after="0" w:line="239" w:lineRule="auto"/>
        <w:rPr>
          <w:sz w:val="20"/>
          <w:szCs w:val="20"/>
          <w:color w:val="auto"/>
        </w:rPr>
      </w:pPr>
      <w:r>
        <w:rPr>
          <w:rFonts w:ascii="Times New Roman" w:cs="Times New Roman" w:eastAsia="Times New Roman" w:hAnsi="Times New Roman"/>
          <w:sz w:val="20"/>
          <w:szCs w:val="20"/>
          <w:color w:val="auto"/>
        </w:rPr>
        <w:t>As of December 31, 2023, we had $140.7 million of cash, cash equivalents and restricted cash ($174.3 million including Consolidated Funds) and $1,330.7 million of investments in StepStone Funds, including $1,203.8 million of accrued carried interest allocations, against $123.7 million in debt obligations, net of debt issuance costs, and $635.2 million in accrued carried interest-related compensation payable.</w:t>
      </w:r>
    </w:p>
    <w:p>
      <w:pPr>
        <w:spacing w:after="0" w:line="218"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to meet our obligations for the next 12 months.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33"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19"/>
          <w:szCs w:val="19"/>
          <w:color w:val="auto"/>
        </w:rPr>
        <w:t>The accompanying condensed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our cash flows attributable to operating, investing and financing activities: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151,699</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(23,412)</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(104,652)</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20" w:lineRule="exact"/>
        <w:rPr>
          <w:sz w:val="20"/>
          <w:szCs w:val="20"/>
          <w:color w:val="auto"/>
        </w:rPr>
      </w:pPr>
    </w:p>
    <w:p>
      <w:pPr>
        <w:ind w:right="340" w:firstLine="648"/>
        <w:spacing w:after="0" w:line="310" w:lineRule="auto"/>
        <w:rPr>
          <w:sz w:val="20"/>
          <w:szCs w:val="20"/>
          <w:color w:val="auto"/>
        </w:rPr>
      </w:pPr>
      <w:r>
        <w:rPr>
          <w:rFonts w:ascii="Times New Roman" w:cs="Times New Roman" w:eastAsia="Times New Roman" w:hAnsi="Times New Roman"/>
          <w:sz w:val="19"/>
          <w:szCs w:val="19"/>
          <w:color w:val="auto"/>
        </w:rPr>
        <w:t>Operating activities provided $153.9 million and $151.7 million of cash for the nine months ended December 31, 2023 and 2022, respectively. For the nine months ended December 31, 2023 and 2022, respectively, these amounts primarily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35" w:lineRule="exact"/>
        <w:rPr>
          <w:sz w:val="20"/>
          <w:szCs w:val="20"/>
          <w:color w:val="auto"/>
        </w:rPr>
      </w:pPr>
    </w:p>
    <w:p>
      <w:pPr>
        <w:ind w:left="980" w:hanging="324"/>
        <w:spacing w:after="0" w:line="261" w:lineRule="auto"/>
        <w:tabs>
          <w:tab w:leader="none" w:pos="9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after adjustments for non-cash items (including unrealized carried interest allocations, unrealized performance fee-related compensation, unrealized investment income and acquisition-related contingent consideration), of $189.0 million and $166.6 million;</w:t>
      </w:r>
    </w:p>
    <w:p>
      <w:pPr>
        <w:spacing w:after="0" w:line="18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$43.8 million and $(0.4)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for unrealized investment income from Consolidated Funds of $(21.0) million and $(4.9)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purchases of investments of Consolidated Funds of $58.2 million and $9.4 million;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Consolidated Funds of $0.3 million and $(0.2)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720" w:firstLine="648"/>
        <w:spacing w:after="0" w:line="269" w:lineRule="auto"/>
        <w:rPr>
          <w:sz w:val="20"/>
          <w:szCs w:val="20"/>
          <w:color w:val="auto"/>
        </w:rPr>
      </w:pPr>
      <w:r>
        <w:rPr>
          <w:rFonts w:ascii="Times New Roman" w:cs="Times New Roman" w:eastAsia="Times New Roman" w:hAnsi="Times New Roman"/>
          <w:sz w:val="20"/>
          <w:szCs w:val="20"/>
          <w:color w:val="auto"/>
        </w:rPr>
        <w:t>Investing activities used $38.3 million and $23.4 million of cash for the nine months ended December 31, 2023 and 2022, respectively, and primarily consisted of the following amounts:</w:t>
      </w:r>
    </w:p>
    <w:p>
      <w:pPr>
        <w:spacing w:after="0" w:line="173" w:lineRule="exact"/>
        <w:rPr>
          <w:sz w:val="20"/>
          <w:szCs w:val="20"/>
          <w:color w:val="auto"/>
        </w:rPr>
      </w:pPr>
    </w:p>
    <w:p>
      <w:pPr>
        <w:ind w:left="960" w:hanging="304"/>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of $12.9 million and $12.4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in legacy Greenspring entities of $6.7 million and $7.9 million; and</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fixed assets of $18.7 million and $3.1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60" w:firstLine="648"/>
        <w:spacing w:after="0" w:line="283" w:lineRule="auto"/>
        <w:rPr>
          <w:sz w:val="20"/>
          <w:szCs w:val="20"/>
          <w:color w:val="auto"/>
        </w:rPr>
      </w:pPr>
      <w:r>
        <w:rPr>
          <w:rFonts w:ascii="Times New Roman" w:cs="Times New Roman" w:eastAsia="Times New Roman" w:hAnsi="Times New Roman"/>
          <w:sz w:val="20"/>
          <w:szCs w:val="20"/>
          <w:color w:val="auto"/>
        </w:rPr>
        <w:t>Financing activities used $67.2 million and $104.7 million of cash for the nine months ended December 31, 2023 and 2022, respectively, and primarily consisted of the following:</w:t>
      </w:r>
    </w:p>
    <w:p>
      <w:pPr>
        <w:spacing w:after="0" w:line="160" w:lineRule="exact"/>
        <w:rPr>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of non-controlling interests of $3.0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borrowings on revolving credit facility of $25.0 million and $20.0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of $71.5 million and $87.2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to legacy Greenspring entities of $8.8 million and $10.6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in legacy Greenspring entities of $6.7 million and $6.8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paid to common stockholders of $55.0 million and $37.4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for employee taxes related to the net settlement of RSUs of $0.6 million and $2.7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related parties under the Tax Receivable Agreements of $10.3 million and $6.0 million; and</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from redeemable non-controlling interests in Consolidated Funds of $40.0 million and $4.6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74" w:name="page75"/>
    <w:bookmarkEnd w:id="74"/>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33"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20"/>
          <w:szCs w:val="20"/>
          <w:color w:val="auto"/>
        </w:rPr>
        <w:t>We are party to the Credit Agreement that was arranged by JPMorgan Chase Bank, N.A., as administrative agent, and provides for a $225.0 million multicurrency Revolver with a five-year maturity. As of December 31, 2023, we had $123.7 million outstanding on the Revolver, net of debt issuance costs.</w:t>
      </w:r>
    </w:p>
    <w:p>
      <w:pPr>
        <w:spacing w:after="0" w:line="215"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9"/>
          <w:szCs w:val="19"/>
          <w:color w:val="auto"/>
        </w:rPr>
        <w:t>Borrowings under the Revolver bear interest at a variable rate per annum. We may designate each borrowing as (i) in the case of any borrowing in U.S. dollars, a base rate loan or a Term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w:t>
      </w:r>
    </w:p>
    <w:p>
      <w:pPr>
        <w:spacing w:after="0" w:line="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December 31, 2023 was 7.48%.</w:t>
      </w:r>
    </w:p>
    <w:p>
      <w:pPr>
        <w:spacing w:after="0" w:line="19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81"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7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As of December 31, 2023, we were in compliance with the total net leverage ratio and minimum fee-earning assets under management covenants.</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We can use available funding capacity under the Revolver to satisfy letters of credit in amounts up to $10.0 million. Amounts used to satisfy the letters of credit reduce the available capacity under the Revolver. As of December 31, 2023, we had outstanding letters of credit totaling $8.0 million.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September 2023, we issued 105,598 shares of Class A common stock to certain limited partners of the Partnership in exchange for</w:t>
      </w:r>
    </w:p>
    <w:p>
      <w:pPr>
        <w:spacing w:after="0" w:line="33" w:lineRule="exact"/>
        <w:rPr>
          <w:sz w:val="20"/>
          <w:szCs w:val="20"/>
          <w:color w:val="auto"/>
        </w:rPr>
      </w:pPr>
    </w:p>
    <w:p>
      <w:pPr>
        <w:ind w:right="420"/>
        <w:spacing w:after="0" w:line="251" w:lineRule="auto"/>
        <w:rPr>
          <w:sz w:val="20"/>
          <w:szCs w:val="20"/>
          <w:color w:val="auto"/>
        </w:rPr>
      </w:pPr>
      <w:r>
        <w:rPr>
          <w:rFonts w:ascii="Times New Roman" w:cs="Times New Roman" w:eastAsia="Times New Roman" w:hAnsi="Times New Roman"/>
          <w:sz w:val="20"/>
          <w:szCs w:val="20"/>
          <w:color w:val="auto"/>
        </w:rPr>
        <w:t>105,598 Class B units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551,954 shares of Class A common stock to certain limited partners of the Partnership in exchange for 551,954 Class C units pursuant to the Class C Exchange Agreement and a corresponding number of Class A units of the partnership were issued to us.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Future Sources and Uses of Liquidity</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Dividend and Distribution Policy</w:t>
      </w:r>
    </w:p>
    <w:p>
      <w:pPr>
        <w:spacing w:after="0" w:line="233"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On February 8, 2024, we announced a dividend of $0.21 per share of Class A common stock, payable on March 15, 2024 to holders of record at the close of business on February 29, 2024.</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information regarding cash quarterly dividends on Class A common shares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30, 2022</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2022</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2022</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2023</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FY2023</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FY2024</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 2023.</w:t>
      </w:r>
    </w:p>
    <w:p>
      <w:pPr>
        <w:spacing w:after="0" w:line="20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Tax Receivable Agreements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We have entered into an Exchanges Tax Receivable Agreement with the Class B limited partners and Class C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3"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64" w:lineRule="exact"/>
        <w:rPr>
          <w:sz w:val="20"/>
          <w:szCs w:val="20"/>
          <w:color w:val="auto"/>
        </w:rPr>
      </w:pPr>
    </w:p>
    <w:p>
      <w:pPr>
        <w:ind w:right="100" w:firstLine="648"/>
        <w:spacing w:after="0" w:line="310" w:lineRule="auto"/>
        <w:rPr>
          <w:sz w:val="20"/>
          <w:szCs w:val="20"/>
          <w:color w:val="auto"/>
        </w:rPr>
      </w:pPr>
      <w:r>
        <w:rPr>
          <w:rFonts w:ascii="Times New Roman" w:cs="Times New Roman" w:eastAsia="Times New Roman" w:hAnsi="Times New Roman"/>
          <w:sz w:val="19"/>
          <w:szCs w:val="19"/>
          <w:color w:val="auto"/>
        </w:rPr>
        <w:t>See note 2 to our condensed consolidated financial statements included elsewhere in this quarterly report, and note 2 to our audited consolidated financial statements in our Form 10-K for the year ended March 31, 2023 for a summary of our significant accounting policies.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Recent Accounting Developments</w:t>
      </w:r>
    </w:p>
    <w:p>
      <w:pPr>
        <w:spacing w:after="0" w:line="220"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3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68"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0"/>
          <w:szCs w:val="20"/>
          <w:color w:val="auto"/>
        </w:rPr>
        <w:t>Our management fee and advisory fee revenue is only marginally affected by changes in investment values because our management fees are generally based on commitments or net invested capital and our advisory fees are fixed. As of December 31, 2023, and March 31, 2023, NAV-based management fees represented approximately 8% and 7%, respectively, of total net management and advisory fees. We estimate that a 10% decline in market values of the investments held in our funds as of December 31, 2023 and March 31, 2023, would result in an approximate decrease to annual management fees of $4.4 million and $3.4 million, respectively.</w:t>
      </w:r>
    </w:p>
    <w:p>
      <w:pPr>
        <w:spacing w:after="0" w:line="17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61" w:lineRule="exact"/>
        <w:rPr>
          <w:sz w:val="20"/>
          <w:szCs w:val="20"/>
          <w:color w:val="auto"/>
        </w:rPr>
      </w:pPr>
    </w:p>
    <w:p>
      <w:pPr>
        <w:ind w:left="660" w:right="240" w:hanging="328"/>
        <w:spacing w:after="0" w:line="257" w:lineRule="auto"/>
        <w:tabs>
          <w:tab w:leader="none" w:pos="6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December 31, 2023 and March 31, 2023, we had $19.0 million and $18.1 million, respectively, of deferred incentive fee revenue recorded in accounts payable, accrued expenses and other liabilities in the condensed consolidated balance sheets.</w:t>
      </w:r>
    </w:p>
    <w:p>
      <w:pPr>
        <w:spacing w:after="0" w:line="172" w:lineRule="exact"/>
        <w:rPr>
          <w:rFonts w:ascii="Times New Roman" w:cs="Times New Roman" w:eastAsia="Times New Roman" w:hAnsi="Times New Roman"/>
          <w:sz w:val="20"/>
          <w:szCs w:val="20"/>
          <w:color w:val="auto"/>
        </w:rPr>
      </w:pPr>
    </w:p>
    <w:p>
      <w:pPr>
        <w:ind w:left="660" w:hanging="328"/>
        <w:spacing w:after="0" w:line="262" w:lineRule="auto"/>
        <w:tabs>
          <w:tab w:leader="none" w:pos="648"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December 31, 2023, and March 31, 2023, the maximum amount of carried interest allocations (excluding legacy Greenspring carried interest allocations) subject to contingent repayment, net of tax, was an estimated</w:t>
      </w:r>
    </w:p>
    <w:p>
      <w:pPr>
        <w:spacing w:after="0" w:line="8" w:lineRule="exact"/>
        <w:rPr>
          <w:rFonts w:ascii="Times New Roman" w:cs="Times New Roman" w:eastAsia="Times New Roman" w:hAnsi="Times New Roman"/>
          <w:sz w:val="19"/>
          <w:szCs w:val="19"/>
          <w:color w:val="auto"/>
        </w:rPr>
      </w:pPr>
    </w:p>
    <w:p>
      <w:pPr>
        <w:ind w:left="660" w:right="2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$278.7 million and $264.1 million, respectively, assuming the fair value of all investments was zero, a possibility that we view as remote. The primary driver for the change in the contingent repayment between periods is due to additional carried interest allocation realizations in fiscal 2024 that are potentially subject to clawback.</w:t>
      </w:r>
    </w:p>
    <w:p>
      <w:pPr>
        <w:spacing w:after="0" w:line="173" w:lineRule="exact"/>
        <w:rPr>
          <w:rFonts w:ascii="Times New Roman" w:cs="Times New Roman" w:eastAsia="Times New Roman" w:hAnsi="Times New Roman"/>
          <w:sz w:val="19"/>
          <w:szCs w:val="19"/>
          <w:color w:val="auto"/>
        </w:rPr>
      </w:pPr>
    </w:p>
    <w:p>
      <w:pPr>
        <w:ind w:left="660" w:right="100" w:hanging="328"/>
        <w:spacing w:after="0" w:line="258" w:lineRule="auto"/>
        <w:tabs>
          <w:tab w:leader="none" w:pos="6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December 31, 2023 and March 31, 2023, we estimate that a 10% decline in fair value of the investments in funds would result in a decrease in investment income of $12.7 million and $11.5 million, respectively.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Exchange Rate Risk</w:t>
      </w:r>
    </w:p>
    <w:p>
      <w:pPr>
        <w:spacing w:after="0" w:line="23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3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20"/>
          <w:szCs w:val="20"/>
          <w:color w:val="auto"/>
        </w:rPr>
        <w:t>As of December 31, 2023 and March 31, 2023, we had $125.0 million and $100.0 million, respectively, in borrowings outstanding under our Revolver. The Revolver accrues interest at a variable rate. As of December 31, 2023 and March 31, 2023, we estimate that interest expense would increase by $1.3 million and $1.0 million, respectively, on an annualized basis as a result of a 100 basis point increase in interest rates. Based on the $140.7 million and $103.5 million of cash, cash equivalents and restricted cash (excluding Consolidated Funds) as of December 31, 2023 and March 31, 2023, we estimate that interest income would increase by $1.4 million and $1.0 million, respectively, on an annualized basis as a result of a 100 basis point increase in interest rates.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33" w:lineRule="exact"/>
        <w:rPr>
          <w:sz w:val="20"/>
          <w:szCs w:val="20"/>
          <w:color w:val="auto"/>
        </w:rPr>
      </w:pPr>
    </w:p>
    <w:p>
      <w:pPr>
        <w:jc w:val="both"/>
        <w:ind w:right="140" w:firstLine="648"/>
        <w:spacing w:after="0" w:line="253"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Disclosure Controls and Procedures</w:t>
      </w:r>
    </w:p>
    <w:p>
      <w:pPr>
        <w:spacing w:after="0" w:line="23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35"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Changes in Internal Controls over Financial Reporting</w:t>
      </w:r>
    </w:p>
    <w:p>
      <w:pPr>
        <w:spacing w:after="0" w:line="220"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such term is defined in Rules 13a-15(f) and 15d-15(f) under the Exchange Act) during our most recent quarter ended December 31, 2023, that have materially affected, or are reasonably likely to materially affect, our internal control over financial reporting.</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II—OTHER INFORMATION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20" w:lineRule="exact"/>
        <w:rPr>
          <w:sz w:val="20"/>
          <w:szCs w:val="20"/>
          <w:color w:val="auto"/>
        </w:rPr>
      </w:pPr>
    </w:p>
    <w:p>
      <w:pPr>
        <w:jc w:val="both"/>
        <w:ind w:right="600" w:firstLine="648"/>
        <w:spacing w:after="0" w:line="268" w:lineRule="auto"/>
        <w:rPr>
          <w:sz w:val="20"/>
          <w:szCs w:val="20"/>
          <w:color w:val="auto"/>
        </w:rPr>
      </w:pPr>
      <w:r>
        <w:rPr>
          <w:rFonts w:ascii="Times New Roman" w:cs="Times New Roman" w:eastAsia="Times New Roman" w:hAnsi="Times New Roman"/>
          <w:sz w:val="20"/>
          <w:szCs w:val="20"/>
          <w:color w:val="auto"/>
        </w:rPr>
        <w:t>The information required with respect to this item can be found under the heading “Litigation” in note 14, Commitments and Contingencies, to our condensed consolidated financial statements included elsewhere in this quarterly report, and such information is incorporated by reference into this Item 1.</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There have been no material changes from the risk factors previously disclosed in Part 1, Item 1A of our annual report on Form 10-K for the fiscal year ended March 31, 2023.</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 Trading Arrangements.</w:t>
      </w:r>
    </w:p>
    <w:p>
      <w:pPr>
        <w:spacing w:after="0" w:line="21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During the period covered by this Quarterly Report on Form 10-Q, none of our directors or officers (as defined in Exchange Act Rule 16a-1(f))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3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35"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0" w:type="dxa"/>
            <w:vAlign w:val="bottom"/>
          </w:tcPr>
          <w:p>
            <w:pPr>
              <w:spacing w:after="0"/>
              <w:rPr>
                <w:sz w:val="15"/>
                <w:szCs w:val="15"/>
                <w:color w:val="auto"/>
              </w:rPr>
            </w:pPr>
          </w:p>
        </w:tc>
        <w:tc>
          <w:tcPr>
            <w:tcW w:w="94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2"/>
            <w:vMerge w:val="continue"/>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wp:posOffset>
            </wp:positionV>
            <wp:extent cx="71151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21"/>
          </w:cols>
          <w:pgMar w:left="359" w:top="1440" w:right="519" w:bottom="1440" w:gutter="0" w:footer="0" w:header="0"/>
        </w:sectPr>
      </w:pPr>
    </w:p>
    <w:tbl>
      <w:tblPr>
        <w:tblLayout w:type="fixed"/>
        <w:tblInd w:w="1" w:type="dxa"/>
        <w:tblCellMar>
          <w:top w:w="0" w:type="dxa"/>
          <w:left w:w="0" w:type="dxa"/>
          <w:bottom w:w="0" w:type="dxa"/>
          <w:right w:w="0" w:type="dxa"/>
        </w:tblCellMar>
      </w:tblP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80" w:type="dxa"/>
            <w:vAlign w:val="bottom"/>
          </w:tcPr>
          <w:p>
            <w:pPr>
              <w:spacing w:after="0"/>
              <w:rPr>
                <w:sz w:val="16"/>
                <w:szCs w:val="16"/>
                <w:color w:val="auto"/>
              </w:rPr>
            </w:pPr>
          </w:p>
        </w:tc>
        <w:tc>
          <w:tcPr>
            <w:tcW w:w="4740" w:type="dxa"/>
            <w:vAlign w:val="bottom"/>
            <w:gridSpan w:val="12"/>
          </w:tcPr>
          <w:p>
            <w:pPr>
              <w:spacing w:after="0" w:line="194"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Amended and Restated Certificate of Incorporation of</w:t>
              </w:r>
            </w:hyperlink>
          </w:p>
        </w:tc>
        <w:tc>
          <w:tcPr>
            <w:tcW w:w="8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2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9/18/2020</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001-39510</w:t>
            </w:r>
          </w:p>
        </w:tc>
        <w:tc>
          <w:tcPr>
            <w:tcW w:w="0" w:type="dxa"/>
            <w:vAlign w:val="bottom"/>
          </w:tcPr>
          <w:p>
            <w:pPr>
              <w:spacing w:after="0"/>
              <w:rPr>
                <w:sz w:val="1"/>
                <w:szCs w:val="1"/>
                <w:color w:val="auto"/>
              </w:rPr>
            </w:pPr>
          </w:p>
        </w:tc>
      </w:tr>
      <w:tr>
        <w:trPr>
          <w:trHeight w:val="156"/>
        </w:trPr>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8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StepStone Group Inc.</w:t>
              </w:r>
            </w:hyperlink>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2"/>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80" w:type="dxa"/>
            <w:vAlign w:val="bottom"/>
          </w:tcPr>
          <w:p>
            <w:pPr>
              <w:spacing w:after="0"/>
              <w:rPr>
                <w:sz w:val="19"/>
                <w:szCs w:val="19"/>
                <w:color w:val="auto"/>
              </w:rPr>
            </w:pPr>
          </w:p>
        </w:tc>
        <w:tc>
          <w:tcPr>
            <w:tcW w:w="4740" w:type="dxa"/>
            <w:vAlign w:val="bottom"/>
            <w:gridSpan w:val="12"/>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Bylaws of StepStone Group Inc.</w:t>
              </w:r>
            </w:hyperlink>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10-Q</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2/09/2023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001-39510</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80" w:type="dxa"/>
            <w:vAlign w:val="bottom"/>
          </w:tcPr>
          <w:p>
            <w:pPr>
              <w:spacing w:after="0"/>
              <w:rPr>
                <w:sz w:val="18"/>
                <w:szCs w:val="18"/>
                <w:color w:val="auto"/>
              </w:rPr>
            </w:pPr>
          </w:p>
        </w:tc>
        <w:tc>
          <w:tcPr>
            <w:tcW w:w="4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6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5"/>
              </w:rPr>
              <w:t>amended</w:t>
            </w:r>
          </w:p>
        </w:tc>
        <w:tc>
          <w:tcPr>
            <w:tcW w:w="368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5"/>
              </w:rPr>
              <w:t>amended</w:t>
            </w:r>
          </w:p>
        </w:tc>
        <w:tc>
          <w:tcPr>
            <w:tcW w:w="3680" w:type="dxa"/>
            <w:vAlign w:val="bottom"/>
            <w:tcBorders>
              <w:top w:val="single" w:sz="8" w:color="0000FF"/>
            </w:tcBorders>
            <w:gridSpan w:val="7"/>
          </w:tcPr>
          <w:p>
            <w:pPr>
              <w:spacing w:after="0"/>
              <w:rPr>
                <w:sz w:val="13"/>
                <w:szCs w:val="13"/>
                <w:color w:val="auto"/>
              </w:rPr>
            </w:pPr>
          </w:p>
        </w:tc>
        <w:tc>
          <w:tcPr>
            <w:tcW w:w="24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w:t>
            </w: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8"/>
              </w:rPr>
              <w:t>906 of the Sarbanes-Oxley Act of 2002</w:t>
            </w:r>
          </w:p>
        </w:tc>
        <w:tc>
          <w:tcPr>
            <w:tcW w:w="1480" w:type="dxa"/>
            <w:vAlign w:val="bottom"/>
            <w:tcBorders>
              <w:top w:val="single" w:sz="8" w:color="0000FF"/>
            </w:tcBorders>
            <w:gridSpan w:val="3"/>
          </w:tcPr>
          <w:p>
            <w:pPr>
              <w:spacing w:after="0"/>
              <w:rPr>
                <w:sz w:val="13"/>
                <w:szCs w:val="13"/>
                <w:color w:val="auto"/>
              </w:rPr>
            </w:pPr>
          </w:p>
        </w:tc>
        <w:tc>
          <w:tcPr>
            <w:tcW w:w="260" w:type="dxa"/>
            <w:vAlign w:val="bottom"/>
            <w:gridSpan w:val="4"/>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w:t>
            </w: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181" w:right="4080" w:hanging="1181"/>
        <w:spacing w:after="0" w:line="215" w:lineRule="auto"/>
        <w:tabs>
          <w:tab w:leader="none" w:pos="11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quarter ended December 31, 2023 formatted in Inline XBRL (Extensible Business Reporting Language): (i) the Condensed Consolidated Balance Sheets; (ii) the Condensed Consolidated Statements of Income (Loss); (iii) the Condensed Consolidated Statements of Comprehensive Income (Loss); (iv) the Condensed Consolidated Statements of Stockholders’ Equity; (v) the Condensed Consolidated Statements of Cash Flows; (vi) Notes to Condensed Consolidated Financial Statements; and (vii) Part II, Item 5(c).</w:t>
      </w:r>
    </w:p>
    <w:p>
      <w:pPr>
        <w:ind w:left="1181" w:right="4320" w:hanging="1181"/>
        <w:spacing w:after="0" w:line="234" w:lineRule="auto"/>
        <w:tabs>
          <w:tab w:leader="none" w:pos="11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 w:lineRule="exact"/>
        <w:rPr>
          <w:sz w:val="20"/>
          <w:szCs w:val="20"/>
          <w:color w:val="auto"/>
        </w:rPr>
      </w:pPr>
    </w:p>
    <w:p>
      <w:pPr>
        <w:ind w:left="1181" w:hanging="1181"/>
        <w:spacing w:after="0"/>
        <w:tabs>
          <w:tab w:leader="none" w:pos="118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429" w:lineRule="exact"/>
        <w:rPr>
          <w:sz w:val="20"/>
          <w:szCs w:val="20"/>
          <w:color w:val="auto"/>
        </w:rPr>
      </w:pPr>
    </w:p>
    <w:p>
      <w:pPr>
        <w:sectPr>
          <w:pgSz w:w="11900" w:h="16838" w:orient="portrait"/>
          <w:cols w:equalWidth="0" w:num="2">
            <w:col w:w="9861" w:space="700"/>
            <w:col w:w="460"/>
          </w:cols>
          <w:pgMar w:left="359"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1"/>
          </w:cols>
          <w:pgMar w:left="359" w:top="1440" w:right="519" w:bottom="1440" w:gutter="0" w:footer="0" w:header="0"/>
          <w:type w:val="continuous"/>
        </w:sectPr>
      </w:pPr>
    </w:p>
    <w:bookmarkStart w:id="81" w:name="page82"/>
    <w:bookmarkEnd w:id="81"/>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 on February 8, 2024</w:t>
      </w:r>
      <w:r>
        <w:rPr>
          <w:rFonts w:ascii="Times New Roman" w:cs="Times New Roman" w:eastAsia="Times New Roman" w:hAnsi="Times New Roman"/>
          <w:sz w:val="20"/>
          <w:szCs w:val="20"/>
          <w:b w:val="1"/>
          <w:bCs w:val="1"/>
          <w:color w:val="auto"/>
        </w:rPr>
        <w:t>.</w:t>
      </w:r>
    </w:p>
    <w:p>
      <w:pPr>
        <w:spacing w:after="0" w:line="2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0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40"/>
          </w:cols>
          <w:pgMar w:left="320" w:top="1440" w:right="6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CERTIFICATION BY THE CHIEF EXECUTIVE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Scott W. Hart, certify that:</w:t>
      </w:r>
    </w:p>
    <w:p>
      <w:pPr>
        <w:spacing w:after="0" w:line="22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StepStone Group Inc.;</w:t>
      </w:r>
    </w:p>
    <w:p>
      <w:pPr>
        <w:spacing w:after="0" w:line="215"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8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20"/>
          <w:szCs w:val="20"/>
          <w:color w:val="auto"/>
        </w:rPr>
      </w:pPr>
    </w:p>
    <w:p>
      <w:pPr>
        <w:ind w:left="1300" w:right="560" w:hanging="320"/>
        <w:spacing w:after="0" w:line="288" w:lineRule="auto"/>
        <w:tabs>
          <w:tab w:leader="none" w:pos="130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9"/>
          <w:szCs w:val="19"/>
          <w:color w:val="auto"/>
        </w:rPr>
      </w:pPr>
    </w:p>
    <w:p>
      <w:pPr>
        <w:ind w:left="1300" w:right="60" w:hanging="320"/>
        <w:spacing w:after="0" w:line="261" w:lineRule="auto"/>
        <w:tabs>
          <w:tab w:leader="none" w:pos="128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ind w:left="1300" w:right="600" w:hanging="320"/>
        <w:spacing w:after="0" w:line="269" w:lineRule="auto"/>
        <w:tabs>
          <w:tab w:leader="none" w:pos="13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w:t>
      </w:r>
    </w:p>
    <w:p>
      <w:pPr>
        <w:sectPr>
          <w:pgSz w:w="11900" w:h="16838" w:orient="portrait"/>
          <w:cols w:equalWidth="0" w:num="1">
            <w:col w:w="11240"/>
          </w:cols>
          <w:pgMar w:left="320" w:top="114" w:right="339" w:bottom="1440" w:gutter="0" w:footer="0" w:header="0"/>
        </w:sectPr>
      </w:pPr>
    </w:p>
    <w:bookmarkStart w:id="83" w:name="page84"/>
    <w:bookmarkEnd w:id="83"/>
    <w:p>
      <w:pPr>
        <w:spacing w:after="0" w:line="135" w:lineRule="exact"/>
        <w:rPr>
          <w:sz w:val="20"/>
          <w:szCs w:val="20"/>
          <w:color w:val="auto"/>
        </w:rPr>
      </w:pPr>
    </w:p>
    <w:p>
      <w:pPr>
        <w:ind w:left="1280" w:right="160"/>
        <w:spacing w:after="0" w:line="283" w:lineRule="auto"/>
        <w:rPr>
          <w:sz w:val="20"/>
          <w:szCs w:val="20"/>
          <w:color w:val="auto"/>
        </w:rPr>
      </w:pPr>
      <w:r>
        <w:rPr>
          <w:rFonts w:ascii="Times New Roman" w:cs="Times New Roman" w:eastAsia="Times New Roman" w:hAnsi="Times New Roman"/>
          <w:sz w:val="20"/>
          <w:szCs w:val="20"/>
          <w:color w:val="auto"/>
        </w:rPr>
        <w:t>the case of an annual report) that has materially affected, or is reasonably likely to materially affect, the registrant’s internal control over financial reporting; and</w:t>
      </w:r>
    </w:p>
    <w:p>
      <w:pPr>
        <w:spacing w:after="0" w:line="146" w:lineRule="exact"/>
        <w:rPr>
          <w:sz w:val="20"/>
          <w:szCs w:val="20"/>
          <w:color w:val="auto"/>
        </w:rPr>
      </w:pPr>
    </w:p>
    <w:p>
      <w:pPr>
        <w:ind w:left="640" w:right="60" w:hanging="328"/>
        <w:spacing w:after="0" w:line="261" w:lineRule="auto"/>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ind w:left="1280" w:right="340" w:hanging="320"/>
        <w:spacing w:after="0" w:line="261" w:lineRule="auto"/>
        <w:tabs>
          <w:tab w:leader="none" w:pos="1269"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20"/>
          <w:szCs w:val="20"/>
          <w:color w:val="auto"/>
        </w:rPr>
      </w:pPr>
    </w:p>
    <w:p>
      <w:pPr>
        <w:ind w:left="1280" w:right="740" w:hanging="320"/>
        <w:spacing w:after="0" w:line="269" w:lineRule="auto"/>
        <w:tabs>
          <w:tab w:leader="none" w:pos="128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8, 2024</w:t>
            </w:r>
          </w:p>
        </w:tc>
        <w:tc>
          <w:tcPr>
            <w:tcW w:w="77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By: /s/ Scott W. Hart</w:t>
            </w:r>
          </w:p>
        </w:tc>
      </w:tr>
      <w:tr>
        <w:trPr>
          <w:trHeight w:val="244"/>
        </w:trPr>
        <w:tc>
          <w:tcPr>
            <w:tcW w:w="3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Scott W. Hart</w:t>
            </w:r>
          </w:p>
        </w:tc>
      </w:tr>
      <w:tr>
        <w:trPr>
          <w:trHeight w:val="253"/>
        </w:trPr>
        <w:tc>
          <w:tcPr>
            <w:tcW w:w="3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62"/>
        </w:trPr>
        <w:tc>
          <w:tcPr>
            <w:tcW w:w="3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ectPr>
          <w:pgSz w:w="11900" w:h="16838" w:orient="portrait"/>
          <w:cols w:equalWidth="0" w:num="1">
            <w:col w:w="11220"/>
          </w:cols>
          <w:pgMar w:left="340" w:top="1440" w:right="339" w:bottom="1440" w:gutter="0" w:footer="0" w:header="0"/>
        </w:sectPr>
      </w:pPr>
    </w:p>
    <w:bookmarkStart w:id="84" w:name="page85"/>
    <w:bookmarkEnd w:id="84"/>
    <w:p>
      <w:pPr>
        <w:ind w:left="10000"/>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CERTIFICATION BY THE CHIEF FINANCIAL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Y. Park, certify that:</w:t>
      </w:r>
    </w:p>
    <w:p>
      <w:pPr>
        <w:spacing w:after="0" w:line="229"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StepStone Group Inc.;</w:t>
      </w:r>
    </w:p>
    <w:p>
      <w:pPr>
        <w:spacing w:after="0" w:line="215"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8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20"/>
          <w:szCs w:val="20"/>
          <w:color w:val="auto"/>
        </w:rPr>
      </w:pPr>
    </w:p>
    <w:p>
      <w:pPr>
        <w:ind w:left="1300" w:right="560" w:hanging="320"/>
        <w:spacing w:after="0" w:line="288" w:lineRule="auto"/>
        <w:tabs>
          <w:tab w:leader="none" w:pos="130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9"/>
          <w:szCs w:val="19"/>
          <w:color w:val="auto"/>
        </w:rPr>
      </w:pPr>
    </w:p>
    <w:p>
      <w:pPr>
        <w:ind w:left="1300" w:right="60" w:hanging="320"/>
        <w:spacing w:after="0" w:line="261" w:lineRule="auto"/>
        <w:tabs>
          <w:tab w:leader="none" w:pos="128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ind w:left="1300" w:right="80" w:hanging="320"/>
        <w:spacing w:after="0" w:line="261" w:lineRule="auto"/>
        <w:tabs>
          <w:tab w:leader="none" w:pos="130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14" w:right="339" w:bottom="1440" w:gutter="0" w:footer="0" w:header="0"/>
        </w:sectPr>
      </w:pPr>
    </w:p>
    <w:bookmarkStart w:id="85" w:name="page86"/>
    <w:bookmarkEnd w:id="85"/>
    <w:p>
      <w:pPr>
        <w:spacing w:after="0" w:line="351" w:lineRule="exact"/>
        <w:rPr>
          <w:sz w:val="20"/>
          <w:szCs w:val="20"/>
          <w:color w:val="auto"/>
        </w:rPr>
      </w:pPr>
    </w:p>
    <w:p>
      <w:pPr>
        <w:ind w:left="640" w:right="60" w:hanging="328"/>
        <w:spacing w:after="0" w:line="261" w:lineRule="auto"/>
        <w:tabs>
          <w:tab w:leader="none" w:pos="6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ind w:left="1280" w:right="340" w:hanging="320"/>
        <w:spacing w:after="0" w:line="261" w:lineRule="auto"/>
        <w:tabs>
          <w:tab w:leader="none" w:pos="1269"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20"/>
          <w:szCs w:val="20"/>
          <w:color w:val="auto"/>
        </w:rPr>
      </w:pPr>
    </w:p>
    <w:p>
      <w:pPr>
        <w:ind w:left="1280" w:right="740" w:hanging="320"/>
        <w:spacing w:after="0" w:line="269" w:lineRule="auto"/>
        <w:tabs>
          <w:tab w:leader="none" w:pos="128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8, 2024</w:t>
            </w:r>
          </w:p>
        </w:tc>
        <w:tc>
          <w:tcPr>
            <w:tcW w:w="77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By: /s/ David Y. Park</w:t>
            </w:r>
          </w:p>
        </w:tc>
      </w:tr>
      <w:tr>
        <w:trPr>
          <w:trHeight w:val="244"/>
        </w:trPr>
        <w:tc>
          <w:tcPr>
            <w:tcW w:w="3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David Y. Park</w:t>
            </w:r>
          </w:p>
        </w:tc>
      </w:tr>
      <w:tr>
        <w:trPr>
          <w:trHeight w:val="253"/>
        </w:trPr>
        <w:tc>
          <w:tcPr>
            <w:tcW w:w="3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2"/>
        </w:trPr>
        <w:tc>
          <w:tcPr>
            <w:tcW w:w="3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r>
    </w:tbl>
    <w:p>
      <w:pPr>
        <w:sectPr>
          <w:pgSz w:w="11900" w:h="16838" w:orient="portrait"/>
          <w:cols w:equalWidth="0" w:num="1">
            <w:col w:w="11220"/>
          </w:cols>
          <w:pgMar w:left="340" w:top="144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StepStone Group Inc. (the “Company”) on Form 10-Q for the three months ended December 31, 2023,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February 8, 2024</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Scott W. Hart</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StepStone Group Inc. (the “Company”) on Form 10-Q for the three months ended December 31, 2023, as filed with the Securities and Exchange Commission (the “SEC”) on or about the date hereof (the “Report”), I, David Y. Park, Chief Financial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February 8, 2024</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endash "/>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3"/>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lvl w:ilvl="1">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lowerLetter"/>
      <w:start w:val="2"/>
    </w:lvl>
  </w:abstractNum>
  <w:abstractNum w:abstractNumId="29">
    <w:nsid w:val="6A2342EC"/>
    <w:multiLevelType w:val="hybridMultilevel"/>
    <w:lvl w:ilvl="0">
      <w:lvlJc w:val="left"/>
      <w:lvlText w:val="(%1)"/>
      <w:numFmt w:val="lowerLetter"/>
      <w:start w:val="6"/>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3"/>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3"/>
    </w:lvl>
    <w:lvl w:ilvl="1">
      <w:lvlJc w:val="left"/>
      <w:lvlText w:val="%2."/>
      <w:numFmt w:val="lowerRoman"/>
      <w:start w:val="1"/>
    </w:lvl>
  </w:abstractNum>
  <w:abstractNum w:abstractNumId="40">
    <w:nsid w:val="7644A45C"/>
    <w:multiLevelType w:val="hybridMultilevel"/>
    <w:lvl w:ilvl="0">
      <w:lvlJc w:val="left"/>
      <w:lvlText w:val="(%1)"/>
      <w:numFmt w:val="decimal"/>
      <w:start w:val="4"/>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decimal"/>
      <w:start w:val="101"/>
    </w:lvl>
  </w:abstractNum>
  <w:abstractNum w:abstractNumId="47">
    <w:nsid w:val="79A1DEAA"/>
    <w:multiLevelType w:val="hybridMultilevel"/>
    <w:lvl w:ilvl="0">
      <w:lvlJc w:val="left"/>
      <w:lvlText w:val="%1"/>
      <w:numFmt w:val="decimal"/>
      <w:start w:val="104"/>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5"/>
    </w:lvl>
    <w:lvl w:ilvl="1">
      <w:lvlJc w:val="left"/>
      <w:lvlText w:val="%2."/>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5"/>
    </w:lvl>
    <w:lvl w:ilvl="1">
      <w:lvlJc w:val="left"/>
      <w:lvlText w:val="%2."/>
      <w:numFmt w:val="lowerLetter"/>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99" Type="http://schemas.openxmlformats.org/officeDocument/2006/relationships/hyperlink" Target="https://www.sec.gov/Archives/edgar/data/1796022/000119312520248881/d23934dex31.htm" TargetMode="External"/><Relationship Id="rId100" Type="http://schemas.openxmlformats.org/officeDocument/2006/relationships/hyperlink" Target="https://www.sec.gov/Archives/edgar/data/1796022/000179602223000011/exhibit32q3fy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2024-02-08T15:30:11Z</dcterms:created>
  <dcterms:modified xsi:type="dcterms:W3CDTF">2024-02-08T15:30:11Z</dcterms:modified>
</cp:coreProperties>
</file>