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27536ddefa14a.htm"/>
      <w:bookmarkStart w:id="1" w:name="ksd127536ddefa14a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DC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14A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PROXY STATEMENT PURSUANT TO SECTION 14(a) OF THE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(Amendment No. )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the Registrant ☒         Filed by a party other than the Registrant ☐ </w:t>
      </w:r>
    </w:p>
    <w:p>
      <w:pPr>
        <w:pStyle w:val="TextBody"/>
        <w:bidi w:val="0"/>
        <w:spacing w:before="48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Check the appropriate box:  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101"/>
        <w:gridCol w:w="9697"/>
      </w:tblGrid>
      <w:tr>
        <w:trPr/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Preliminary Proxy Statement</w:t>
            </w:r>
          </w:p>
        </w:tc>
      </w:tr>
      <w:tr>
        <w:trPr>
          <w:trHeight w:val="120" w:hRule="atLeast"/>
        </w:trPr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 14a-6(e)(2))</w:t>
            </w:r>
          </w:p>
        </w:tc>
      </w:tr>
      <w:tr>
        <w:trPr>
          <w:trHeight w:val="120" w:hRule="atLeast"/>
        </w:trPr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Proxy Statement</w:t>
            </w:r>
          </w:p>
        </w:tc>
      </w:tr>
      <w:tr>
        <w:trPr>
          <w:trHeight w:val="120" w:hRule="atLeast"/>
        </w:trPr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Additional Materials</w:t>
            </w:r>
          </w:p>
        </w:tc>
      </w:tr>
      <w:tr>
        <w:trPr>
          <w:trHeight w:val="120" w:hRule="atLeast"/>
        </w:trPr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Soliciting Material under §240.14a-12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 xml:space="preserve">STEPSTONE GROUP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Payment of Filing Fee (Check all boxes that apply):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101"/>
        <w:gridCol w:w="9697"/>
      </w:tblGrid>
      <w:tr>
        <w:trPr/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 fee required</w:t>
            </w:r>
          </w:p>
        </w:tc>
      </w:tr>
      <w:tr>
        <w:trPr>
          <w:trHeight w:val="120" w:hRule="atLeast"/>
        </w:trPr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paid previously with preliminary materials</w:t>
            </w:r>
          </w:p>
        </w:tc>
      </w:tr>
      <w:tr>
        <w:trPr>
          <w:trHeight w:val="120" w:hRule="atLeast"/>
        </w:trPr>
        <w:tc>
          <w:tcPr>
            <w:tcW w:w="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9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79"/>
        <w:gridCol w:w="76"/>
        <w:gridCol w:w="4350"/>
      </w:tblGrid>
      <w:tr>
        <w:trPr/>
        <w:tc>
          <w:tcPr>
            <w:tcW w:w="57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7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457575" cy="23526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35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StepStone Group Inc.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Annual Meeting of Stockholders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Tuesday, September 8, 2026, 1:00 PM Eastern Time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Annual Meeting to be held live via the Internet - please visit www.proxydocs.com/STEP for more details.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You must register to attend the Annual Meeting online and/or participate at www.proxydocs.com/STEP</w:t>
            </w:r>
          </w:p>
          <w:p>
            <w:pPr>
              <w:pStyle w:val="TableContents"/>
              <w:pBdr>
                <w:bottom w:val="single" w:sz="12" w:space="1" w:color="000000"/>
              </w:pBdr>
              <w:bidi w:val="0"/>
              <w:spacing w:before="0" w:after="0"/>
              <w:jc w:val="left"/>
              <w:rPr/>
            </w:pPr>
            <w:r>
              <w:rPr/>
              <w:t> 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 a convenient way to view proxy materials, VOTE, and obtain directions to attend the meeting go to www.proxydocs.com/STEP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 vote your proxy while visiting this site, you will need the 12 digit control number in the box below.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you want to receive a paper or e-mail copy of the proxy materials for this and/or future stockholder meetings, you must request one. There is no charge to you for requesting a copy. In order to receive a paper package in time for this year’s meeting, you must make this request on or before August 28, 2026.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SEE REVERSE FOR FULL AGENDA</w:t>
            </w:r>
          </w:p>
        </w:tc>
        <w:tc>
          <w:tcPr>
            <w:tcW w:w="7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35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714625" cy="81057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810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p>
      <w:pPr>
        <w:pStyle w:val="TextBody"/>
        <w:bidi w:val="0"/>
        <w:spacing w:before="360" w:after="0"/>
        <w:jc w:val="right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Copyright © 2026 BetaNXT, Inc. or its affiliates. All Rights Reserved    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71"/>
        <w:gridCol w:w="120"/>
        <w:gridCol w:w="5314"/>
      </w:tblGrid>
      <w:tr>
        <w:trPr/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7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590800" cy="46672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314" w:type="dxa"/>
            <w:tcBorders/>
          </w:tcPr>
          <w:p>
            <w:pPr>
              <w:pStyle w:val="TableContents"/>
              <w:bidi w:val="0"/>
              <w:spacing w:before="0" w:after="2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StepStone Group Inc. Annual Meeting of Stockholders</w:t>
            </w:r>
          </w:p>
        </w:tc>
      </w:tr>
    </w:tbl>
    <w:p>
      <w:pPr>
        <w:pStyle w:val="TextBody"/>
        <w:bidi w:val="0"/>
        <w:spacing w:before="360" w:after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THE BOARD OF DIRECTORS RECOMMENDS A VOTE: </w:t>
      </w:r>
    </w:p>
    <w:p>
      <w:pPr>
        <w:pStyle w:val="TextBody"/>
        <w:bidi w:val="0"/>
        <w:spacing w:before="0" w:after="0"/>
        <w:jc w:val="lef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FOR</w:t>
      </w:r>
      <w:r>
        <w:rPr>
          <w:rFonts w:ascii="Arial" w:hAnsi="Arial"/>
          <w:sz w:val="16"/>
        </w:rPr>
        <w:t xml:space="preserve"> EACH OF THE DIRECTOR NOMINEES NAMED IN PROPOSAL 1 AND </w:t>
      </w:r>
      <w:r>
        <w:rPr>
          <w:rFonts w:ascii="Arial" w:hAnsi="Arial"/>
          <w:b/>
          <w:sz w:val="16"/>
        </w:rPr>
        <w:t xml:space="preserve">FOR </w:t>
      </w:r>
      <w:r>
        <w:rPr>
          <w:rFonts w:ascii="Arial" w:hAnsi="Arial"/>
          <w:sz w:val="16"/>
        </w:rPr>
        <w:t xml:space="preserve">PROPOSALS 2 AND 3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5"/>
        <w:gridCol w:w="101"/>
        <w:gridCol w:w="9799"/>
      </w:tblGrid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shd w:fill="D9D9D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shd w:fill="D9D9D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  <w:shd w:fill="D9D9D9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PROPOSAL</w:t>
            </w:r>
          </w:p>
        </w:tc>
      </w:tr>
      <w:tr>
        <w:trPr>
          <w:trHeight w:val="6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1. 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elect the seven director nominees named in the proxy statement, each to serve for a one-year term and until his or her successor has been duly elected and qualified, or until his or her earlier death, resignation, removal, retirement or disqualification</w:t>
            </w:r>
          </w:p>
        </w:tc>
      </w:tr>
      <w:tr>
        <w:trPr>
          <w:trHeight w:val="36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1.01 Monte M. Brem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1.02 Valerie G. Brown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1.03 Scott W. Hart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1.04 David F. Hoffmeister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1.05 Thomas Keck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1.06 Steven R. Mitchell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1.07 Anne L. Raymond</w:t>
            </w:r>
          </w:p>
        </w:tc>
      </w:tr>
      <w:tr>
        <w:trPr>
          <w:trHeight w:val="36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2.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ratify the appointment of Ernst &amp; Young LLP as the Company’s independent registered public accounting firm for the fiscal year ending March 31, 2027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3.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approve, on a non-binding and advisory basis, the compensation of our named executive officers (“Say-on-Pay”)</w:t>
            </w:r>
          </w:p>
        </w:tc>
      </w:tr>
      <w:tr>
        <w:trPr>
          <w:trHeight w:val="120" w:hRule="atLeast"/>
        </w:trPr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79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NOTE: Includes authority for proxy holder to transact any other business that may be properly presented at the Annual Meeting or any adjournment or postponement thereof.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545</Words>
  <Characters>2795</Characters>
  <CharactersWithSpaces>3365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